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png" ContentType="image/png"/>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Default Extension="jpeg" ContentType="image/jpeg"/>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Heading1"/>
        <w:spacing w:line="168" w:lineRule="auto" w:before="69"/>
        <w:ind w:left="115" w:right="1670"/>
      </w:pPr>
      <w:r>
        <w:rPr>
          <w:color w:val="FFFFFF"/>
        </w:rPr>
        <w:t>行业</w:t>
      </w:r>
    </w:p>
    <w:p>
      <w:pPr>
        <w:tabs>
          <w:tab w:pos="842" w:val="left" w:leader="none"/>
        </w:tabs>
        <w:spacing w:line="330" w:lineRule="exact" w:before="0"/>
        <w:ind w:left="115" w:right="0" w:firstLine="0"/>
        <w:jc w:val="left"/>
        <w:rPr>
          <w:rFonts w:ascii="Microsoft JhengHei" w:eastAsia="Microsoft JhengHei" w:hint="eastAsia"/>
          <w:b/>
          <w:sz w:val="18"/>
        </w:rPr>
      </w:pPr>
      <w:r>
        <w:rPr>
          <w:rFonts w:ascii="Microsoft JhengHei" w:eastAsia="Microsoft JhengHei" w:hint="eastAsia"/>
          <w:b/>
          <w:color w:val="FFFFFF"/>
          <w:position w:val="2"/>
          <w:sz w:val="28"/>
        </w:rPr>
        <w:t>研</w:t>
        <w:tab/>
      </w:r>
      <w:r>
        <w:rPr>
          <w:rFonts w:ascii="Microsoft JhengHei" w:eastAsia="Microsoft JhengHei" w:hint="eastAsia"/>
          <w:b/>
          <w:sz w:val="18"/>
        </w:rPr>
        <w:t>证券研究报告</w:t>
      </w:r>
    </w:p>
    <w:p>
      <w:pPr>
        <w:pStyle w:val="Heading1"/>
        <w:tabs>
          <w:tab w:pos="902" w:val="left" w:leader="none"/>
        </w:tabs>
        <w:spacing w:line="598" w:lineRule="exact"/>
        <w:ind w:left="115"/>
      </w:pPr>
      <w:r>
        <w:rPr>
          <w:color w:val="FFFFFF"/>
          <w:position w:val="16"/>
        </w:rPr>
        <w:t>究</w:t>
        <w:tab/>
      </w:r>
      <w:r>
        <w:rPr/>
        <w:t>医药生物</w:t>
      </w:r>
    </w:p>
    <w:p>
      <w:pPr>
        <w:pStyle w:val="BodyText"/>
        <w:rPr>
          <w:rFonts w:ascii="Microsoft JhengHei"/>
          <w:b/>
          <w:sz w:val="30"/>
        </w:rPr>
      </w:pPr>
      <w:r>
        <w:rPr/>
        <w:br w:type="column"/>
      </w:r>
      <w:r>
        <w:rPr>
          <w:rFonts w:ascii="Microsoft JhengHei"/>
          <w:b/>
          <w:sz w:val="30"/>
        </w:rPr>
      </w:r>
    </w:p>
    <w:p>
      <w:pPr>
        <w:pStyle w:val="BodyText"/>
        <w:rPr>
          <w:rFonts w:ascii="Microsoft JhengHei"/>
          <w:b/>
          <w:sz w:val="30"/>
        </w:rPr>
      </w:pPr>
    </w:p>
    <w:p>
      <w:pPr>
        <w:pStyle w:val="BodyText"/>
        <w:spacing w:before="14"/>
        <w:rPr>
          <w:rFonts w:ascii="Microsoft JhengHei"/>
          <w:b/>
          <w:sz w:val="36"/>
        </w:rPr>
      </w:pPr>
    </w:p>
    <w:p>
      <w:pPr>
        <w:pStyle w:val="Title"/>
        <w:spacing w:line="168" w:lineRule="auto"/>
      </w:pPr>
      <w:r>
        <w:rPr/>
        <w:t>阿尔茨海默病深度报告：诊疗终现双突破，蓝海市场正起航</w:t>
      </w:r>
    </w:p>
    <w:p>
      <w:pPr>
        <w:spacing w:after="0" w:line="168" w:lineRule="auto"/>
        <w:sectPr>
          <w:footerReference w:type="default" r:id="rId5"/>
          <w:type w:val="continuous"/>
          <w:pgSz w:w="11910" w:h="16840"/>
          <w:pgMar w:footer="1205" w:top="220" w:bottom="1400" w:left="240" w:right="400"/>
          <w:cols w:num="2" w:equalWidth="0">
            <w:col w:w="2069" w:space="1681"/>
            <w:col w:w="7520"/>
          </w:cols>
        </w:sectPr>
      </w:pPr>
    </w:p>
    <w:p>
      <w:pPr>
        <w:tabs>
          <w:tab w:pos="3874" w:val="left" w:leader="none"/>
        </w:tabs>
        <w:spacing w:line="477" w:lineRule="exact" w:before="296"/>
        <w:ind w:left="115" w:right="0" w:firstLine="0"/>
        <w:jc w:val="left"/>
        <w:rPr>
          <w:rFonts w:ascii="Microsoft JhengHei" w:eastAsia="Microsoft JhengHei" w:hint="eastAsia"/>
          <w:b/>
          <w:sz w:val="21"/>
        </w:rPr>
      </w:pPr>
      <w:r>
        <w:rPr/>
        <w:pict>
          <v:rect style="position:absolute;margin-left:127.940002pt;margin-top:25.481083pt;width:54.864003pt;height:1.44pt;mso-position-horizontal-relative:page;mso-position-vertical-relative:paragraph;z-index:-17894400" filled="true" fillcolor="#333366" stroked="false">
            <v:fill type="solid"/>
            <w10:wrap type="none"/>
          </v:rect>
        </w:pict>
      </w:r>
      <w:r>
        <w:rPr/>
        <w:pict>
          <v:shape style="position:absolute;margin-left:64.783997pt;margin-top:-13.271384pt;width:118.75pt;height:39.5pt;mso-position-horizontal-relative:page;mso-position-vertical-relative:paragraph;z-index:15729664"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02"/>
                    <w:gridCol w:w="484"/>
                    <w:gridCol w:w="527"/>
                    <w:gridCol w:w="258"/>
                  </w:tblGrid>
                  <w:tr>
                    <w:trPr>
                      <w:trHeight w:val="789" w:hRule="atLeast"/>
                    </w:trPr>
                    <w:tc>
                      <w:tcPr>
                        <w:tcW w:w="1102" w:type="dxa"/>
                      </w:tcPr>
                      <w:p>
                        <w:pPr>
                          <w:pStyle w:val="TableParagraph"/>
                          <w:spacing w:line="500" w:lineRule="exact"/>
                          <w:ind w:left="200"/>
                          <w:rPr>
                            <w:rFonts w:ascii="Microsoft JhengHei" w:eastAsia="Microsoft JhengHei" w:hint="eastAsia"/>
                            <w:b/>
                            <w:sz w:val="28"/>
                          </w:rPr>
                        </w:pPr>
                        <w:r>
                          <w:rPr>
                            <w:rFonts w:ascii="Microsoft JhengHei" w:eastAsia="Microsoft JhengHei" w:hint="eastAsia"/>
                            <w:b/>
                            <w:sz w:val="28"/>
                          </w:rPr>
                          <w:t>推荐</w:t>
                        </w:r>
                      </w:p>
                    </w:tc>
                    <w:tc>
                      <w:tcPr>
                        <w:tcW w:w="484" w:type="dxa"/>
                      </w:tcPr>
                      <w:p>
                        <w:pPr>
                          <w:pStyle w:val="TableParagraph"/>
                          <w:spacing w:line="333" w:lineRule="exact"/>
                          <w:ind w:right="20"/>
                          <w:jc w:val="right"/>
                          <w:rPr>
                            <w:rFonts w:ascii="Microsoft JhengHei"/>
                            <w:b/>
                            <w:sz w:val="24"/>
                          </w:rPr>
                        </w:pPr>
                        <w:r>
                          <w:rPr>
                            <w:rFonts w:ascii="Microsoft JhengHei"/>
                            <w:b/>
                            <w:w w:val="142"/>
                            <w:sz w:val="24"/>
                          </w:rPr>
                          <w:t>(</w:t>
                        </w:r>
                      </w:p>
                    </w:tc>
                    <w:tc>
                      <w:tcPr>
                        <w:tcW w:w="527" w:type="dxa"/>
                      </w:tcPr>
                      <w:p>
                        <w:pPr>
                          <w:pStyle w:val="TableParagraph"/>
                          <w:spacing w:line="328" w:lineRule="exact"/>
                          <w:ind w:left="25"/>
                          <w:rPr>
                            <w:rFonts w:ascii="Microsoft JhengHei" w:eastAsia="Microsoft JhengHei" w:hint="eastAsia"/>
                            <w:b/>
                            <w:sz w:val="24"/>
                          </w:rPr>
                        </w:pPr>
                        <w:r>
                          <w:rPr>
                            <w:rFonts w:ascii="Microsoft JhengHei" w:eastAsia="Microsoft JhengHei" w:hint="eastAsia"/>
                            <w:b/>
                            <w:sz w:val="24"/>
                          </w:rPr>
                          <w:t>维持</w:t>
                        </w:r>
                      </w:p>
                    </w:tc>
                    <w:tc>
                      <w:tcPr>
                        <w:tcW w:w="258" w:type="dxa"/>
                      </w:tcPr>
                      <w:p>
                        <w:pPr>
                          <w:pStyle w:val="TableParagraph"/>
                          <w:spacing w:line="333" w:lineRule="exact"/>
                          <w:ind w:left="21" w:right="-15"/>
                          <w:rPr>
                            <w:rFonts w:ascii="Microsoft JhengHei" w:eastAsia="Microsoft JhengHei" w:hint="eastAsia"/>
                            <w:b/>
                            <w:sz w:val="24"/>
                          </w:rPr>
                        </w:pPr>
                        <w:r>
                          <w:rPr>
                            <w:rFonts w:ascii="Microsoft JhengHei" w:eastAsia="Microsoft JhengHei" w:hint="eastAsia"/>
                            <w:b/>
                            <w:sz w:val="24"/>
                          </w:rPr>
                          <w:t>）</w:t>
                        </w:r>
                      </w:p>
                    </w:tc>
                  </w:tr>
                </w:tbl>
                <w:p>
                  <w:pPr>
                    <w:pStyle w:val="BodyText"/>
                  </w:pPr>
                </w:p>
              </w:txbxContent>
            </v:textbox>
            <w10:wrap type="none"/>
          </v:shape>
        </w:pict>
      </w:r>
      <w:r>
        <w:rPr>
          <w:rFonts w:ascii="Microsoft JhengHei" w:eastAsia="Microsoft JhengHei" w:hint="eastAsia"/>
          <w:b/>
          <w:color w:val="FFFFFF"/>
          <w:position w:val="11"/>
          <w:sz w:val="28"/>
        </w:rPr>
        <w:t>行</w:t>
        <w:tab/>
      </w:r>
      <w:r>
        <w:rPr>
          <w:rFonts w:ascii="Microsoft JhengHei" w:eastAsia="Microsoft JhengHei" w:hint="eastAsia"/>
          <w:b/>
          <w:color w:val="CE1200"/>
          <w:sz w:val="21"/>
        </w:rPr>
        <w:t>投资要点</w:t>
      </w:r>
    </w:p>
    <w:p>
      <w:pPr>
        <w:pStyle w:val="Heading1"/>
        <w:spacing w:line="230" w:lineRule="exact"/>
        <w:ind w:left="115"/>
      </w:pPr>
      <w:r>
        <w:rPr/>
        <w:pict>
          <v:shape style="position:absolute;margin-left:49.560001pt;margin-top:5.60441pt;width:133.050pt;height:228.2pt;mso-position-horizontal-relative:page;mso-position-vertical-relative:paragraph;z-index:15730176"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660"/>
                  </w:tblGrid>
                  <w:tr>
                    <w:trPr>
                      <w:trHeight w:val="341" w:hRule="atLeast"/>
                    </w:trPr>
                    <w:tc>
                      <w:tcPr>
                        <w:tcW w:w="2660" w:type="dxa"/>
                      </w:tcPr>
                      <w:p>
                        <w:pPr>
                          <w:pStyle w:val="TableParagraph"/>
                          <w:spacing w:line="288" w:lineRule="exact"/>
                          <w:ind w:left="26"/>
                          <w:rPr>
                            <w:rFonts w:ascii="Microsoft JhengHei" w:eastAsia="Microsoft JhengHei" w:hint="eastAsia"/>
                            <w:b/>
                            <w:sz w:val="21"/>
                          </w:rPr>
                        </w:pPr>
                        <w:r>
                          <w:rPr>
                            <w:rFonts w:ascii="Microsoft JhengHei" w:eastAsia="Microsoft JhengHei" w:hint="eastAsia"/>
                            <w:b/>
                            <w:color w:val="CE1200"/>
                            <w:sz w:val="21"/>
                          </w:rPr>
                          <w:t>相关报告</w:t>
                        </w:r>
                      </w:p>
                    </w:tc>
                  </w:tr>
                  <w:tr>
                    <w:trPr>
                      <w:trHeight w:val="1457" w:hRule="atLeast"/>
                    </w:trPr>
                    <w:tc>
                      <w:tcPr>
                        <w:tcW w:w="2660" w:type="dxa"/>
                        <w:tcBorders>
                          <w:bottom w:val="single" w:sz="4" w:space="0" w:color="333366"/>
                        </w:tcBorders>
                      </w:tcPr>
                      <w:p>
                        <w:pPr>
                          <w:pStyle w:val="TableParagraph"/>
                          <w:spacing w:line="302" w:lineRule="auto" w:before="111"/>
                          <w:ind w:left="26" w:right="21"/>
                          <w:jc w:val="both"/>
                          <w:rPr>
                            <w:sz w:val="18"/>
                          </w:rPr>
                        </w:pPr>
                        <w:r>
                          <w:rPr>
                            <w:spacing w:val="-16"/>
                            <w:sz w:val="18"/>
                          </w:rPr>
                          <w:t>《【兴证医药】医药生物行业 </w:t>
                        </w:r>
                        <w:r>
                          <w:rPr>
                            <w:rFonts w:ascii="Times New Roman" w:eastAsia="Times New Roman"/>
                            <w:spacing w:val="-5"/>
                            <w:sz w:val="18"/>
                          </w:rPr>
                          <w:t>2023 </w:t>
                        </w:r>
                        <w:r>
                          <w:rPr>
                            <w:spacing w:val="-12"/>
                            <w:sz w:val="18"/>
                          </w:rPr>
                          <w:t>年中期策略：复苏、创新，把握行</w:t>
                        </w:r>
                        <w:r>
                          <w:rPr>
                            <w:sz w:val="18"/>
                          </w:rPr>
                          <w:t>业结构性机会》</w:t>
                        </w:r>
                      </w:p>
                      <w:p>
                        <w:pPr>
                          <w:pStyle w:val="TableParagraph"/>
                          <w:spacing w:before="122"/>
                          <w:ind w:left="26"/>
                          <w:rPr>
                            <w:rFonts w:ascii="楷体"/>
                            <w:sz w:val="18"/>
                          </w:rPr>
                        </w:pPr>
                        <w:r>
                          <w:rPr>
                            <w:rFonts w:ascii="楷体"/>
                            <w:sz w:val="18"/>
                          </w:rPr>
                          <w:t>2023-06-28</w:t>
                        </w:r>
                      </w:p>
                    </w:tc>
                  </w:tr>
                  <w:tr>
                    <w:trPr>
                      <w:trHeight w:val="365" w:hRule="atLeast"/>
                    </w:trPr>
                    <w:tc>
                      <w:tcPr>
                        <w:tcW w:w="2660" w:type="dxa"/>
                        <w:tcBorders>
                          <w:top w:val="single" w:sz="4" w:space="0" w:color="333366"/>
                        </w:tcBorders>
                      </w:tcPr>
                      <w:p>
                        <w:pPr>
                          <w:pStyle w:val="TableParagraph"/>
                          <w:spacing w:line="317" w:lineRule="exact" w:before="29"/>
                          <w:ind w:left="105"/>
                          <w:rPr>
                            <w:rFonts w:ascii="Microsoft JhengHei" w:eastAsia="Microsoft JhengHei" w:hint="eastAsia"/>
                            <w:b/>
                            <w:sz w:val="18"/>
                          </w:rPr>
                        </w:pPr>
                        <w:r>
                          <w:rPr>
                            <w:rFonts w:ascii="Microsoft JhengHei" w:eastAsia="Microsoft JhengHei" w:hint="eastAsia"/>
                            <w:b/>
                            <w:sz w:val="18"/>
                          </w:rPr>
                          <w:t>分析师：</w:t>
                        </w:r>
                      </w:p>
                    </w:tc>
                  </w:tr>
                  <w:tr>
                    <w:trPr>
                      <w:trHeight w:val="2038" w:hRule="atLeast"/>
                    </w:trPr>
                    <w:tc>
                      <w:tcPr>
                        <w:tcW w:w="2660" w:type="dxa"/>
                      </w:tcPr>
                      <w:p>
                        <w:pPr>
                          <w:pStyle w:val="TableParagraph"/>
                          <w:spacing w:line="300" w:lineRule="auto" w:before="46"/>
                          <w:ind w:left="105" w:right="517"/>
                          <w:rPr>
                            <w:rFonts w:ascii="Times New Roman" w:eastAsia="Times New Roman"/>
                            <w:sz w:val="18"/>
                          </w:rPr>
                        </w:pPr>
                        <w:r>
                          <w:rPr>
                            <w:sz w:val="18"/>
                          </w:rPr>
                          <w:t>孙媛媛</w:t>
                        </w:r>
                        <w:hyperlink r:id="rId6">
                          <w:r>
                            <w:rPr>
                              <w:rFonts w:ascii="Times New Roman" w:eastAsia="Times New Roman"/>
                              <w:spacing w:val="-1"/>
                              <w:sz w:val="18"/>
                            </w:rPr>
                            <w:t>sunyuanyuan@xyzq.com.cn</w:t>
                          </w:r>
                        </w:hyperlink>
                        <w:r>
                          <w:rPr>
                            <w:rFonts w:ascii="Times New Roman" w:eastAsia="Times New Roman"/>
                            <w:spacing w:val="-1"/>
                            <w:sz w:val="18"/>
                          </w:rPr>
                          <w:t> </w:t>
                        </w:r>
                        <w:r>
                          <w:rPr>
                            <w:rFonts w:ascii="Times New Roman" w:eastAsia="Times New Roman"/>
                            <w:sz w:val="18"/>
                          </w:rPr>
                          <w:t>S0190515090001</w:t>
                        </w:r>
                      </w:p>
                      <w:p>
                        <w:pPr>
                          <w:pStyle w:val="TableParagraph"/>
                          <w:spacing w:before="6"/>
                          <w:rPr>
                            <w:sz w:val="20"/>
                          </w:rPr>
                        </w:pPr>
                      </w:p>
                      <w:p>
                        <w:pPr>
                          <w:pStyle w:val="TableParagraph"/>
                          <w:spacing w:line="300" w:lineRule="auto"/>
                          <w:ind w:left="105" w:right="417"/>
                          <w:rPr>
                            <w:rFonts w:ascii="Times New Roman" w:eastAsia="Times New Roman"/>
                            <w:sz w:val="18"/>
                          </w:rPr>
                        </w:pPr>
                        <w:r>
                          <w:rPr>
                            <w:sz w:val="18"/>
                          </w:rPr>
                          <w:t>黄翰漾</w:t>
                        </w:r>
                        <w:hyperlink r:id="rId7">
                          <w:r>
                            <w:rPr>
                              <w:rFonts w:ascii="Times New Roman" w:eastAsia="Times New Roman"/>
                              <w:spacing w:val="-1"/>
                              <w:sz w:val="18"/>
                            </w:rPr>
                            <w:t>huanghanyang@xyzq.com.cn</w:t>
                          </w:r>
                        </w:hyperlink>
                        <w:r>
                          <w:rPr>
                            <w:rFonts w:ascii="Times New Roman" w:eastAsia="Times New Roman"/>
                            <w:spacing w:val="-1"/>
                            <w:sz w:val="18"/>
                          </w:rPr>
                          <w:t> </w:t>
                        </w:r>
                        <w:r>
                          <w:rPr>
                            <w:rFonts w:ascii="Times New Roman" w:eastAsia="Times New Roman"/>
                            <w:sz w:val="18"/>
                          </w:rPr>
                          <w:t>S0190519020002</w:t>
                        </w:r>
                      </w:p>
                    </w:tc>
                  </w:tr>
                  <w:tr>
                    <w:trPr>
                      <w:trHeight w:val="349" w:hRule="atLeast"/>
                    </w:trPr>
                    <w:tc>
                      <w:tcPr>
                        <w:tcW w:w="2660" w:type="dxa"/>
                      </w:tcPr>
                      <w:p>
                        <w:pPr>
                          <w:pStyle w:val="TableParagraph"/>
                          <w:spacing w:line="185" w:lineRule="exact" w:before="144"/>
                          <w:ind w:left="105"/>
                          <w:rPr>
                            <w:sz w:val="18"/>
                          </w:rPr>
                        </w:pPr>
                        <w:r>
                          <w:rPr>
                            <w:sz w:val="18"/>
                          </w:rPr>
                          <w:t>杨希成</w:t>
                        </w:r>
                      </w:p>
                    </w:tc>
                  </w:tr>
                </w:tbl>
                <w:p>
                  <w:pPr>
                    <w:pStyle w:val="BodyText"/>
                  </w:pPr>
                </w:p>
              </w:txbxContent>
            </v:textbox>
            <w10:wrap type="none"/>
          </v:shape>
        </w:pict>
      </w:r>
      <w:r>
        <w:rPr>
          <w:color w:val="FFFFFF"/>
          <w:w w:val="100"/>
        </w:rPr>
        <w:t>业</w:t>
      </w:r>
    </w:p>
    <w:p>
      <w:pPr>
        <w:pStyle w:val="Heading2"/>
        <w:spacing w:before="68"/>
        <w:ind w:left="115" w:firstLine="0"/>
      </w:pPr>
      <w:r>
        <w:rPr>
          <w:b w:val="0"/>
        </w:rPr>
        <w:br w:type="column"/>
      </w:r>
      <w:r>
        <w:rPr>
          <w:rFonts w:ascii="Times New Roman" w:eastAsia="Times New Roman"/>
          <w:color w:val="CE1200"/>
        </w:rPr>
        <w:t>2023 </w:t>
      </w:r>
      <w:r>
        <w:rPr>
          <w:color w:val="CE1200"/>
        </w:rPr>
        <w:t>年 </w:t>
      </w:r>
      <w:r>
        <w:rPr>
          <w:rFonts w:ascii="Times New Roman" w:eastAsia="Times New Roman"/>
          <w:color w:val="CE1200"/>
        </w:rPr>
        <w:t>7 </w:t>
      </w:r>
      <w:r>
        <w:rPr>
          <w:color w:val="CE1200"/>
        </w:rPr>
        <w:t>月 </w:t>
      </w:r>
      <w:r>
        <w:rPr>
          <w:rFonts w:ascii="Times New Roman" w:eastAsia="Times New Roman"/>
          <w:color w:val="CE1200"/>
        </w:rPr>
        <w:t>31 </w:t>
      </w:r>
      <w:r>
        <w:rPr>
          <w:color w:val="CE1200"/>
        </w:rPr>
        <w:t>日</w:t>
      </w:r>
    </w:p>
    <w:p>
      <w:pPr>
        <w:spacing w:after="0"/>
        <w:sectPr>
          <w:type w:val="continuous"/>
          <w:pgSz w:w="11910" w:h="16840"/>
          <w:pgMar w:top="220" w:bottom="1400" w:left="240" w:right="400"/>
          <w:cols w:num="2" w:equalWidth="0">
            <w:col w:w="4760" w:space="4072"/>
            <w:col w:w="2438"/>
          </w:cols>
        </w:sectPr>
      </w:pPr>
    </w:p>
    <w:p>
      <w:pPr>
        <w:tabs>
          <w:tab w:pos="3460" w:val="left" w:leader="none"/>
          <w:tab w:pos="3756" w:val="left" w:leader="none"/>
          <w:tab w:pos="4176" w:val="left" w:leader="none"/>
        </w:tabs>
        <w:spacing w:line="151" w:lineRule="exact" w:before="0"/>
        <w:ind w:left="751" w:right="0" w:firstLine="0"/>
        <w:jc w:val="left"/>
        <w:rPr>
          <w:rFonts w:ascii="Microsoft JhengHei" w:hAnsi="Microsoft JhengHei" w:eastAsia="Microsoft JhengHei" w:hint="eastAsia"/>
          <w:b/>
          <w:sz w:val="20"/>
        </w:rPr>
      </w:pPr>
      <w:r>
        <w:rPr>
          <w:rFonts w:ascii="Times New Roman" w:hAnsi="Times New Roman" w:eastAsia="Times New Roman"/>
          <w:w w:val="99"/>
          <w:sz w:val="20"/>
          <w:u w:val="single" w:color="333366"/>
        </w:rPr>
        <w:t> </w:t>
      </w:r>
      <w:r>
        <w:rPr>
          <w:rFonts w:ascii="Times New Roman" w:hAnsi="Times New Roman" w:eastAsia="Times New Roman"/>
          <w:sz w:val="20"/>
          <w:u w:val="single" w:color="333366"/>
        </w:rPr>
        <w:tab/>
      </w:r>
      <w:r>
        <w:rPr>
          <w:rFonts w:ascii="Times New Roman" w:hAnsi="Times New Roman" w:eastAsia="Times New Roman"/>
          <w:sz w:val="20"/>
        </w:rPr>
        <w:tab/>
      </w:r>
      <w:r>
        <w:rPr>
          <w:rFonts w:ascii="Wingdings" w:hAnsi="Wingdings" w:eastAsia="Wingdings"/>
          <w:sz w:val="20"/>
        </w:rPr>
        <w:t></w:t>
      </w:r>
      <w:r>
        <w:rPr>
          <w:rFonts w:ascii="Times New Roman" w:hAnsi="Times New Roman" w:eastAsia="Times New Roman"/>
          <w:sz w:val="20"/>
        </w:rPr>
        <w:tab/>
      </w:r>
      <w:r>
        <w:rPr>
          <w:rFonts w:ascii="Microsoft JhengHei" w:hAnsi="Microsoft JhengHei" w:eastAsia="Microsoft JhengHei" w:hint="eastAsia"/>
          <w:b/>
          <w:sz w:val="20"/>
        </w:rPr>
        <w:t>阿尔茨海默病的药物研发已有单抗药物成功上市，血液测试亦将写入指南，</w:t>
      </w:r>
    </w:p>
    <w:p>
      <w:pPr>
        <w:tabs>
          <w:tab w:pos="4176" w:val="left" w:leader="none"/>
        </w:tabs>
        <w:spacing w:line="345" w:lineRule="exact" w:before="0"/>
        <w:ind w:left="115" w:right="0" w:firstLine="0"/>
        <w:jc w:val="left"/>
        <w:rPr>
          <w:sz w:val="20"/>
        </w:rPr>
      </w:pPr>
      <w:r>
        <w:rPr>
          <w:rFonts w:ascii="Microsoft JhengHei" w:eastAsia="Microsoft JhengHei" w:hint="eastAsia"/>
          <w:b/>
          <w:color w:val="FFFFFF"/>
          <w:position w:val="11"/>
          <w:sz w:val="28"/>
        </w:rPr>
        <w:t>深</w:t>
        <w:tab/>
      </w:r>
      <w:r>
        <w:rPr>
          <w:rFonts w:ascii="Times New Roman" w:eastAsia="Times New Roman"/>
          <w:b/>
          <w:sz w:val="20"/>
        </w:rPr>
        <w:t>AD</w:t>
      </w:r>
      <w:r>
        <w:rPr>
          <w:rFonts w:ascii="Times New Roman" w:eastAsia="Times New Roman"/>
          <w:b/>
          <w:spacing w:val="6"/>
          <w:sz w:val="20"/>
        </w:rPr>
        <w:t> </w:t>
      </w:r>
      <w:r>
        <w:rPr>
          <w:rFonts w:ascii="Microsoft JhengHei" w:eastAsia="Microsoft JhengHei" w:hint="eastAsia"/>
          <w:b/>
          <w:sz w:val="20"/>
        </w:rPr>
        <w:t>领域终实现治疗和诊断领域的双突</w:t>
      </w:r>
      <w:r>
        <w:rPr>
          <w:rFonts w:ascii="Microsoft JhengHei" w:eastAsia="Microsoft JhengHei" w:hint="eastAsia"/>
          <w:b/>
          <w:spacing w:val="5"/>
          <w:sz w:val="20"/>
        </w:rPr>
        <w:t>破</w:t>
      </w:r>
      <w:r>
        <w:rPr>
          <w:rFonts w:ascii="Microsoft JhengHei" w:eastAsia="Microsoft JhengHei" w:hint="eastAsia"/>
          <w:b/>
          <w:sz w:val="20"/>
        </w:rPr>
        <w:t>。</w:t>
      </w:r>
      <w:r>
        <w:rPr>
          <w:rFonts w:ascii="Times New Roman" w:eastAsia="Times New Roman"/>
          <w:sz w:val="20"/>
        </w:rPr>
        <w:t>Lecanemab</w:t>
      </w:r>
      <w:r>
        <w:rPr>
          <w:rFonts w:ascii="Times New Roman" w:eastAsia="Times New Roman"/>
          <w:spacing w:val="8"/>
          <w:sz w:val="20"/>
        </w:rPr>
        <w:t> </w:t>
      </w:r>
      <w:r>
        <w:rPr>
          <w:sz w:val="20"/>
        </w:rPr>
        <w:t>已于近期获得</w:t>
      </w:r>
      <w:r>
        <w:rPr>
          <w:spacing w:val="-44"/>
          <w:sz w:val="20"/>
        </w:rPr>
        <w:t> </w:t>
      </w:r>
      <w:r>
        <w:rPr>
          <w:rFonts w:ascii="Times New Roman" w:eastAsia="Times New Roman"/>
          <w:sz w:val="20"/>
        </w:rPr>
        <w:t>FDA</w:t>
      </w:r>
      <w:r>
        <w:rPr>
          <w:rFonts w:ascii="Times New Roman" w:eastAsia="Times New Roman"/>
          <w:spacing w:val="10"/>
          <w:sz w:val="20"/>
        </w:rPr>
        <w:t> </w:t>
      </w:r>
      <w:r>
        <w:rPr>
          <w:sz w:val="20"/>
        </w:rPr>
        <w:t>的</w:t>
      </w:r>
    </w:p>
    <w:p>
      <w:pPr>
        <w:tabs>
          <w:tab w:pos="4176" w:val="left" w:leader="none"/>
        </w:tabs>
        <w:spacing w:line="331" w:lineRule="exact" w:before="0"/>
        <w:ind w:left="115" w:right="0" w:firstLine="0"/>
        <w:jc w:val="left"/>
        <w:rPr>
          <w:sz w:val="20"/>
        </w:rPr>
      </w:pPr>
      <w:r>
        <w:rPr>
          <w:rFonts w:ascii="Microsoft JhengHei" w:eastAsia="Microsoft JhengHei" w:hint="eastAsia"/>
          <w:b/>
          <w:color w:val="FFFFFF"/>
          <w:position w:val="7"/>
          <w:sz w:val="28"/>
        </w:rPr>
        <w:t>度</w:t>
        <w:tab/>
      </w:r>
      <w:r>
        <w:rPr>
          <w:sz w:val="20"/>
        </w:rPr>
        <w:t>完全批准，未来随着美国医疗保险和医疗补助服务中心的医保覆盖也将实现</w:t>
      </w:r>
    </w:p>
    <w:p>
      <w:pPr>
        <w:tabs>
          <w:tab w:pos="4176" w:val="left" w:leader="none"/>
        </w:tabs>
        <w:spacing w:line="362" w:lineRule="exact" w:before="0"/>
        <w:ind w:left="115" w:right="0" w:firstLine="0"/>
        <w:jc w:val="left"/>
        <w:rPr>
          <w:sz w:val="20"/>
        </w:rPr>
      </w:pPr>
      <w:r>
        <w:rPr>
          <w:rFonts w:ascii="Microsoft JhengHei" w:eastAsia="Microsoft JhengHei" w:hint="eastAsia"/>
          <w:b/>
          <w:color w:val="FFFFFF"/>
          <w:position w:val="3"/>
          <w:sz w:val="28"/>
        </w:rPr>
        <w:t>研</w:t>
        <w:tab/>
      </w:r>
      <w:r>
        <w:rPr>
          <w:sz w:val="20"/>
        </w:rPr>
        <w:t>进一步的销售放量</w:t>
      </w:r>
      <w:r>
        <w:rPr>
          <w:spacing w:val="-56"/>
          <w:sz w:val="20"/>
        </w:rPr>
        <w:t>。</w:t>
      </w:r>
      <w:r>
        <w:rPr>
          <w:sz w:val="20"/>
        </w:rPr>
        <w:t>与此同时</w:t>
      </w:r>
      <w:r>
        <w:rPr>
          <w:spacing w:val="-58"/>
          <w:sz w:val="20"/>
        </w:rPr>
        <w:t>，</w:t>
      </w:r>
      <w:r>
        <w:rPr>
          <w:sz w:val="20"/>
        </w:rPr>
        <w:t>礼来的</w:t>
      </w:r>
      <w:r>
        <w:rPr>
          <w:spacing w:val="-51"/>
          <w:sz w:val="20"/>
        </w:rPr>
        <w:t> </w:t>
      </w:r>
      <w:r>
        <w:rPr>
          <w:rFonts w:ascii="Times New Roman" w:eastAsia="Times New Roman"/>
          <w:sz w:val="20"/>
        </w:rPr>
        <w:t>Donanemab</w:t>
      </w:r>
      <w:r>
        <w:rPr>
          <w:rFonts w:ascii="Times New Roman" w:eastAsia="Times New Roman"/>
          <w:spacing w:val="2"/>
          <w:sz w:val="20"/>
        </w:rPr>
        <w:t> </w:t>
      </w:r>
      <w:r>
        <w:rPr>
          <w:sz w:val="20"/>
        </w:rPr>
        <w:t>也显示出可比的治疗效</w:t>
      </w:r>
      <w:r>
        <w:rPr>
          <w:spacing w:val="3"/>
          <w:sz w:val="20"/>
        </w:rPr>
        <w:t>果</w:t>
      </w:r>
      <w:r>
        <w:rPr>
          <w:sz w:val="20"/>
        </w:rPr>
        <w:t>，</w:t>
      </w:r>
    </w:p>
    <w:p>
      <w:pPr>
        <w:tabs>
          <w:tab w:pos="4176" w:val="left" w:leader="none"/>
        </w:tabs>
        <w:spacing w:line="359" w:lineRule="exact" w:before="0"/>
        <w:ind w:left="115" w:right="0" w:firstLine="0"/>
        <w:jc w:val="left"/>
        <w:rPr>
          <w:sz w:val="20"/>
        </w:rPr>
      </w:pPr>
      <w:r>
        <w:rPr>
          <w:rFonts w:ascii="Microsoft JhengHei" w:eastAsia="Microsoft JhengHei" w:hint="eastAsia"/>
          <w:b/>
          <w:color w:val="FFFFFF"/>
          <w:sz w:val="28"/>
        </w:rPr>
        <w:t>究</w:t>
        <w:tab/>
      </w:r>
      <w:r>
        <w:rPr>
          <w:sz w:val="20"/>
        </w:rPr>
        <w:t>且对亚组有更优的治疗效果</w:t>
      </w:r>
      <w:r>
        <w:rPr>
          <w:spacing w:val="-44"/>
          <w:sz w:val="20"/>
        </w:rPr>
        <w:t>，</w:t>
      </w:r>
      <w:r>
        <w:rPr>
          <w:sz w:val="20"/>
        </w:rPr>
        <w:t>包括疾病早期或</w:t>
      </w:r>
      <w:r>
        <w:rPr>
          <w:spacing w:val="-49"/>
          <w:sz w:val="20"/>
        </w:rPr>
        <w:t> </w:t>
      </w:r>
      <w:r>
        <w:rPr>
          <w:rFonts w:ascii="Times New Roman" w:eastAsia="Times New Roman"/>
          <w:sz w:val="20"/>
        </w:rPr>
        <w:t>75 </w:t>
      </w:r>
      <w:r>
        <w:rPr>
          <w:sz w:val="20"/>
        </w:rPr>
        <w:t>岁以下</w:t>
      </w:r>
      <w:r>
        <w:rPr>
          <w:spacing w:val="-51"/>
          <w:sz w:val="20"/>
        </w:rPr>
        <w:t> </w:t>
      </w:r>
      <w:r>
        <w:rPr>
          <w:rFonts w:ascii="Times New Roman" w:eastAsia="Times New Roman"/>
          <w:spacing w:val="-5"/>
          <w:sz w:val="20"/>
        </w:rPr>
        <w:t>Tau</w:t>
      </w:r>
      <w:r>
        <w:rPr>
          <w:rFonts w:ascii="Times New Roman" w:eastAsia="Times New Roman"/>
          <w:sz w:val="20"/>
        </w:rPr>
        <w:t> </w:t>
      </w:r>
      <w:r>
        <w:rPr>
          <w:sz w:val="20"/>
        </w:rPr>
        <w:t>蛋白中低表达的</w:t>
      </w:r>
    </w:p>
    <w:p>
      <w:pPr>
        <w:tabs>
          <w:tab w:pos="4176" w:val="left" w:leader="none"/>
        </w:tabs>
        <w:spacing w:line="362" w:lineRule="exact" w:before="0"/>
        <w:ind w:left="115" w:right="0" w:firstLine="0"/>
        <w:jc w:val="left"/>
        <w:rPr>
          <w:sz w:val="20"/>
        </w:rPr>
      </w:pPr>
      <w:r>
        <w:rPr>
          <w:rFonts w:ascii="Microsoft JhengHei" w:eastAsia="Microsoft JhengHei" w:hint="eastAsia"/>
          <w:b/>
          <w:color w:val="FFFFFF"/>
          <w:position w:val="-3"/>
          <w:sz w:val="28"/>
        </w:rPr>
        <w:t>报</w:t>
        <w:tab/>
      </w:r>
      <w:r>
        <w:rPr>
          <w:sz w:val="20"/>
        </w:rPr>
        <w:t>人群</w:t>
      </w:r>
      <w:r>
        <w:rPr>
          <w:spacing w:val="-85"/>
          <w:sz w:val="20"/>
        </w:rPr>
        <w:t>。</w:t>
      </w:r>
      <w:r>
        <w:rPr>
          <w:sz w:val="20"/>
        </w:rPr>
        <w:t>此外</w:t>
      </w:r>
      <w:r>
        <w:rPr>
          <w:spacing w:val="-85"/>
          <w:sz w:val="20"/>
        </w:rPr>
        <w:t>，</w:t>
      </w:r>
      <w:r>
        <w:rPr>
          <w:sz w:val="20"/>
        </w:rPr>
        <w:t>还有几款产品展现出不错的临床表现</w:t>
      </w:r>
      <w:r>
        <w:rPr>
          <w:spacing w:val="-82"/>
          <w:sz w:val="20"/>
        </w:rPr>
        <w:t>，</w:t>
      </w:r>
      <w:r>
        <w:rPr>
          <w:sz w:val="20"/>
        </w:rPr>
        <w:t>包括口服小分子</w:t>
      </w:r>
      <w:r>
        <w:rPr>
          <w:spacing w:val="-50"/>
          <w:sz w:val="20"/>
        </w:rPr>
        <w:t> </w:t>
      </w:r>
      <w:r>
        <w:rPr>
          <w:rFonts w:ascii="Times New Roman" w:eastAsia="Times New Roman"/>
          <w:sz w:val="20"/>
        </w:rPr>
        <w:t>ALZ-801</w:t>
      </w:r>
      <w:r>
        <w:rPr>
          <w:sz w:val="20"/>
        </w:rPr>
        <w:t>、</w:t>
      </w:r>
    </w:p>
    <w:p>
      <w:pPr>
        <w:tabs>
          <w:tab w:pos="4176" w:val="left" w:leader="none"/>
        </w:tabs>
        <w:spacing w:line="184" w:lineRule="auto" w:before="0"/>
        <w:ind w:left="4177" w:right="434" w:hanging="4062"/>
        <w:jc w:val="left"/>
        <w:rPr>
          <w:sz w:val="20"/>
        </w:rPr>
      </w:pPr>
      <w:r>
        <w:rPr>
          <w:rFonts w:ascii="Microsoft JhengHei" w:hAnsi="Microsoft JhengHei" w:eastAsia="Microsoft JhengHei" w:hint="eastAsia"/>
          <w:b/>
          <w:color w:val="FFFFFF"/>
          <w:position w:val="-7"/>
          <w:sz w:val="28"/>
        </w:rPr>
        <w:t>告</w:t>
        <w:tab/>
      </w:r>
      <w:r>
        <w:rPr>
          <w:sz w:val="20"/>
        </w:rPr>
        <w:t>注射用单抗</w:t>
      </w:r>
      <w:r>
        <w:rPr>
          <w:spacing w:val="-53"/>
          <w:sz w:val="20"/>
        </w:rPr>
        <w:t> </w:t>
      </w:r>
      <w:r>
        <w:rPr>
          <w:rFonts w:ascii="Times New Roman" w:hAnsi="Times New Roman" w:eastAsia="Times New Roman"/>
          <w:sz w:val="20"/>
        </w:rPr>
        <w:t>TB006</w:t>
      </w:r>
      <w:r>
        <w:rPr>
          <w:sz w:val="20"/>
        </w:rPr>
        <w:t>、抗</w:t>
      </w:r>
      <w:r>
        <w:rPr>
          <w:spacing w:val="-52"/>
          <w:sz w:val="20"/>
        </w:rPr>
        <w:t> </w:t>
      </w:r>
      <w:r>
        <w:rPr>
          <w:rFonts w:ascii="Times New Roman" w:hAnsi="Times New Roman" w:eastAsia="Times New Roman"/>
          <w:sz w:val="20"/>
        </w:rPr>
        <w:t>A</w:t>
      </w:r>
      <w:r>
        <w:rPr>
          <w:sz w:val="20"/>
        </w:rPr>
        <w:t>β寡聚体（</w:t>
      </w:r>
      <w:r>
        <w:rPr>
          <w:rFonts w:ascii="Times New Roman" w:hAnsi="Times New Roman" w:eastAsia="Times New Roman"/>
          <w:sz w:val="20"/>
        </w:rPr>
        <w:t>A</w:t>
      </w:r>
      <w:r>
        <w:rPr>
          <w:sz w:val="20"/>
        </w:rPr>
        <w:t>β</w:t>
      </w:r>
      <w:r>
        <w:rPr>
          <w:rFonts w:ascii="Times New Roman" w:hAnsi="Times New Roman" w:eastAsia="Times New Roman"/>
          <w:sz w:val="20"/>
        </w:rPr>
        <w:t>Os</w:t>
      </w:r>
      <w:r>
        <w:rPr>
          <w:sz w:val="20"/>
        </w:rPr>
        <w:t>）单抗</w:t>
      </w:r>
      <w:r>
        <w:rPr>
          <w:spacing w:val="-51"/>
          <w:sz w:val="20"/>
        </w:rPr>
        <w:t> </w:t>
      </w:r>
      <w:r>
        <w:rPr>
          <w:rFonts w:ascii="Times New Roman" w:hAnsi="Times New Roman" w:eastAsia="Times New Roman"/>
          <w:sz w:val="20"/>
        </w:rPr>
        <w:t>ACU193</w:t>
      </w:r>
      <w:r>
        <w:rPr>
          <w:rFonts w:ascii="Times New Roman" w:hAnsi="Times New Roman" w:eastAsia="Times New Roman"/>
          <w:spacing w:val="-1"/>
          <w:sz w:val="20"/>
        </w:rPr>
        <w:t> </w:t>
      </w:r>
      <w:r>
        <w:rPr>
          <w:sz w:val="20"/>
        </w:rPr>
        <w:t>和口服小分子</w:t>
      </w:r>
      <w:r>
        <w:rPr>
          <w:spacing w:val="-6"/>
          <w:sz w:val="20"/>
        </w:rPr>
        <w:t>σ</w:t>
      </w:r>
      <w:r>
        <w:rPr>
          <w:rFonts w:ascii="Times New Roman" w:hAnsi="Times New Roman" w:eastAsia="Times New Roman"/>
          <w:spacing w:val="-6"/>
          <w:sz w:val="20"/>
        </w:rPr>
        <w:t>- </w:t>
      </w:r>
      <w:r>
        <w:rPr>
          <w:rFonts w:ascii="Times New Roman" w:hAnsi="Times New Roman" w:eastAsia="Times New Roman"/>
          <w:sz w:val="20"/>
        </w:rPr>
        <w:t>1</w:t>
      </w:r>
      <w:r>
        <w:rPr>
          <w:rFonts w:ascii="Times New Roman" w:hAnsi="Times New Roman" w:eastAsia="Times New Roman"/>
          <w:spacing w:val="30"/>
          <w:sz w:val="20"/>
        </w:rPr>
        <w:t> </w:t>
      </w:r>
      <w:r>
        <w:rPr>
          <w:sz w:val="20"/>
        </w:rPr>
        <w:t>受体激活剂</w:t>
      </w:r>
      <w:r>
        <w:rPr>
          <w:spacing w:val="-20"/>
          <w:sz w:val="20"/>
        </w:rPr>
        <w:t> </w:t>
      </w:r>
      <w:r>
        <w:rPr>
          <w:rFonts w:ascii="Times New Roman" w:hAnsi="Times New Roman" w:eastAsia="Times New Roman"/>
          <w:spacing w:val="-3"/>
          <w:sz w:val="20"/>
        </w:rPr>
        <w:t>ANAVEX®2-73</w:t>
      </w:r>
      <w:r>
        <w:rPr>
          <w:spacing w:val="-3"/>
          <w:sz w:val="20"/>
        </w:rPr>
        <w:t>，</w:t>
      </w:r>
      <w:r>
        <w:rPr>
          <w:sz w:val="20"/>
        </w:rPr>
        <w:t>另外司美格鲁肽</w:t>
      </w:r>
      <w:r>
        <w:rPr>
          <w:spacing w:val="3"/>
          <w:sz w:val="20"/>
        </w:rPr>
        <w:t>也</w:t>
      </w:r>
      <w:r>
        <w:rPr>
          <w:sz w:val="20"/>
        </w:rPr>
        <w:t>可能有治疗</w:t>
      </w:r>
      <w:r>
        <w:rPr>
          <w:spacing w:val="-20"/>
          <w:sz w:val="20"/>
        </w:rPr>
        <w:t> </w:t>
      </w:r>
      <w:r>
        <w:rPr>
          <w:rFonts w:ascii="Times New Roman" w:hAnsi="Times New Roman" w:eastAsia="Times New Roman"/>
          <w:sz w:val="20"/>
        </w:rPr>
        <w:t>AD</w:t>
      </w:r>
      <w:r>
        <w:rPr>
          <w:rFonts w:ascii="Times New Roman" w:hAnsi="Times New Roman" w:eastAsia="Times New Roman"/>
          <w:spacing w:val="30"/>
          <w:sz w:val="20"/>
        </w:rPr>
        <w:t> </w:t>
      </w:r>
      <w:r>
        <w:rPr>
          <w:sz w:val="20"/>
        </w:rPr>
        <w:t>患者的潜</w:t>
      </w:r>
    </w:p>
    <w:p>
      <w:pPr>
        <w:spacing w:line="302" w:lineRule="auto" w:before="71"/>
        <w:ind w:left="4177" w:right="436" w:firstLine="0"/>
        <w:jc w:val="left"/>
        <w:rPr>
          <w:sz w:val="20"/>
        </w:rPr>
      </w:pPr>
      <w:r>
        <w:rPr>
          <w:sz w:val="20"/>
        </w:rPr>
        <w:t>力；阿尔茨海默病协会国际会议公布了一项最新的 </w:t>
      </w:r>
      <w:r>
        <w:rPr>
          <w:rFonts w:ascii="Times New Roman" w:eastAsia="Times New Roman"/>
          <w:sz w:val="20"/>
        </w:rPr>
        <w:t>AD </w:t>
      </w:r>
      <w:r>
        <w:rPr>
          <w:sz w:val="20"/>
        </w:rPr>
        <w:t>诊断指南草案，提出将血液生物标志物应用于 </w:t>
      </w:r>
      <w:r>
        <w:rPr>
          <w:rFonts w:ascii="Times New Roman" w:eastAsia="Times New Roman"/>
          <w:sz w:val="20"/>
        </w:rPr>
        <w:t>AD </w:t>
      </w:r>
      <w:r>
        <w:rPr>
          <w:sz w:val="20"/>
        </w:rPr>
        <w:t>的诊断。</w:t>
      </w:r>
    </w:p>
    <w:p>
      <w:pPr>
        <w:pStyle w:val="ListParagraph"/>
        <w:numPr>
          <w:ilvl w:val="0"/>
          <w:numId w:val="1"/>
        </w:numPr>
        <w:tabs>
          <w:tab w:pos="4176" w:val="left" w:leader="none"/>
          <w:tab w:pos="4177" w:val="left" w:leader="none"/>
        </w:tabs>
        <w:spacing w:line="324" w:lineRule="exact" w:before="63" w:after="0"/>
        <w:ind w:left="4177" w:right="336" w:hanging="420"/>
        <w:jc w:val="left"/>
        <w:rPr>
          <w:sz w:val="20"/>
        </w:rPr>
      </w:pPr>
      <w:r>
        <w:rPr>
          <w:rFonts w:ascii="Microsoft JhengHei" w:hAnsi="Microsoft JhengHei" w:eastAsia="Microsoft JhengHei" w:hint="eastAsia"/>
          <w:b/>
          <w:sz w:val="20"/>
        </w:rPr>
        <w:t>国内阿尔茨海默病患者需求旺盛，现有传统治疗药物尚无法满足用药需求。</w:t>
      </w:r>
      <w:r>
        <w:rPr>
          <w:spacing w:val="-8"/>
          <w:sz w:val="20"/>
        </w:rPr>
        <w:t>国内已有至少 </w:t>
      </w:r>
      <w:r>
        <w:rPr>
          <w:rFonts w:ascii="Times New Roman" w:hAnsi="Times New Roman" w:eastAsia="Times New Roman"/>
          <w:sz w:val="20"/>
        </w:rPr>
        <w:t>983</w:t>
      </w:r>
      <w:r>
        <w:rPr>
          <w:rFonts w:ascii="Times New Roman" w:hAnsi="Times New Roman" w:eastAsia="Times New Roman"/>
          <w:spacing w:val="1"/>
          <w:sz w:val="20"/>
        </w:rPr>
        <w:t> </w:t>
      </w:r>
      <w:r>
        <w:rPr>
          <w:spacing w:val="-26"/>
          <w:sz w:val="20"/>
        </w:rPr>
        <w:t>万 </w:t>
      </w:r>
      <w:r>
        <w:rPr>
          <w:rFonts w:ascii="Times New Roman" w:hAnsi="Times New Roman" w:eastAsia="Times New Roman"/>
          <w:sz w:val="20"/>
        </w:rPr>
        <w:t>AD</w:t>
      </w:r>
      <w:r>
        <w:rPr>
          <w:rFonts w:ascii="Times New Roman" w:hAnsi="Times New Roman" w:eastAsia="Times New Roman"/>
          <w:spacing w:val="-1"/>
          <w:sz w:val="20"/>
        </w:rPr>
        <w:t> </w:t>
      </w:r>
      <w:r>
        <w:rPr>
          <w:spacing w:val="-13"/>
          <w:sz w:val="20"/>
        </w:rPr>
        <w:t>患者和 </w:t>
      </w:r>
      <w:r>
        <w:rPr>
          <w:rFonts w:ascii="Times New Roman" w:hAnsi="Times New Roman" w:eastAsia="Times New Roman"/>
          <w:sz w:val="20"/>
        </w:rPr>
        <w:t>3877</w:t>
      </w:r>
      <w:r>
        <w:rPr>
          <w:rFonts w:ascii="Times New Roman" w:hAnsi="Times New Roman" w:eastAsia="Times New Roman"/>
          <w:spacing w:val="-1"/>
          <w:sz w:val="20"/>
        </w:rPr>
        <w:t> </w:t>
      </w:r>
      <w:r>
        <w:rPr>
          <w:spacing w:val="-26"/>
          <w:sz w:val="20"/>
        </w:rPr>
        <w:t>万 </w:t>
      </w:r>
      <w:r>
        <w:rPr>
          <w:rFonts w:ascii="Times New Roman" w:hAnsi="Times New Roman" w:eastAsia="Times New Roman"/>
          <w:sz w:val="20"/>
        </w:rPr>
        <w:t>MCI </w:t>
      </w:r>
      <w:r>
        <w:rPr>
          <w:spacing w:val="-5"/>
          <w:sz w:val="20"/>
        </w:rPr>
        <w:t>患者，随着人口老龄化的发展， </w:t>
      </w:r>
      <w:r>
        <w:rPr>
          <w:spacing w:val="-18"/>
          <w:sz w:val="20"/>
        </w:rPr>
        <w:t>国内 </w:t>
      </w:r>
      <w:r>
        <w:rPr>
          <w:rFonts w:ascii="Times New Roman" w:hAnsi="Times New Roman" w:eastAsia="Times New Roman"/>
          <w:sz w:val="20"/>
        </w:rPr>
        <w:t>AD</w:t>
      </w:r>
      <w:r>
        <w:rPr>
          <w:rFonts w:ascii="Times New Roman" w:hAnsi="Times New Roman" w:eastAsia="Times New Roman"/>
          <w:spacing w:val="-2"/>
          <w:sz w:val="20"/>
        </w:rPr>
        <w:t> </w:t>
      </w:r>
      <w:r>
        <w:rPr>
          <w:spacing w:val="-26"/>
          <w:sz w:val="20"/>
        </w:rPr>
        <w:t>和 </w:t>
      </w:r>
      <w:r>
        <w:rPr>
          <w:rFonts w:ascii="Times New Roman" w:hAnsi="Times New Roman" w:eastAsia="Times New Roman"/>
          <w:sz w:val="20"/>
        </w:rPr>
        <w:t>MCI </w:t>
      </w:r>
      <w:r>
        <w:rPr>
          <w:spacing w:val="-1"/>
          <w:sz w:val="20"/>
        </w:rPr>
        <w:t>患者数量也将维持增长态势。目前的治疗方案仍然以多奈哌</w:t>
      </w:r>
    </w:p>
    <w:p>
      <w:pPr>
        <w:spacing w:line="220" w:lineRule="exact" w:before="62"/>
        <w:ind w:left="4177" w:right="0" w:firstLine="0"/>
        <w:jc w:val="left"/>
        <w:rPr>
          <w:sz w:val="20"/>
        </w:rPr>
      </w:pPr>
      <w:r>
        <w:rPr>
          <w:sz w:val="20"/>
        </w:rPr>
        <w:t>齐和美金刚等传统药物为主，缺乏有效的药物治疗方案，仅有 </w:t>
      </w:r>
      <w:r>
        <w:rPr>
          <w:rFonts w:ascii="Times New Roman" w:eastAsia="Times New Roman"/>
          <w:sz w:val="20"/>
        </w:rPr>
        <w:t>5%</w:t>
      </w:r>
      <w:r>
        <w:rPr>
          <w:sz w:val="20"/>
        </w:rPr>
        <w:t>左右的患者</w:t>
      </w:r>
    </w:p>
    <w:p>
      <w:pPr>
        <w:spacing w:after="0" w:line="220" w:lineRule="exact"/>
        <w:jc w:val="left"/>
        <w:rPr>
          <w:sz w:val="20"/>
        </w:rPr>
        <w:sectPr>
          <w:type w:val="continuous"/>
          <w:pgSz w:w="11910" w:h="16840"/>
          <w:pgMar w:top="220" w:bottom="1400" w:left="240" w:right="400"/>
        </w:sectPr>
      </w:pPr>
    </w:p>
    <w:p>
      <w:pPr>
        <w:spacing w:line="300" w:lineRule="auto" w:before="0"/>
        <w:ind w:left="856" w:right="-19" w:firstLine="0"/>
        <w:jc w:val="left"/>
        <w:rPr>
          <w:rFonts w:ascii="Times New Roman"/>
          <w:sz w:val="18"/>
        </w:rPr>
      </w:pPr>
      <w:r>
        <w:rPr/>
        <w:pict>
          <v:group style="position:absolute;margin-left:-.125pt;margin-top:-.275017pt;width:553pt;height:842.6pt;mso-position-horizontal-relative:page;mso-position-vertical-relative:page;z-index:-17894912" coordorigin="-3,-6" coordsize="11060,16852">
            <v:rect style="position:absolute;left:854;top:15357;width:10162;height:29" filled="true" fillcolor="#333366" stroked="false">
              <v:fill type="solid"/>
            </v:rect>
            <v:rect style="position:absolute;left:12;top:7290;width:794;height:9549" filled="true" fillcolor="#e0dfff" stroked="false">
              <v:fill type="solid"/>
            </v:rect>
            <v:shape style="position:absolute;left:12;top:7290;width:794;height:9549" coordorigin="12,7290" coordsize="794,9549" path="m806,16838l806,7290,12,7290,12,16838e" filled="false" stroked="true" strokeweight=".75pt" strokecolor="#d7d4eb">
              <v:path arrowok="t"/>
              <v:stroke dashstyle="solid"/>
            </v:shape>
            <v:rect style="position:absolute;left:5;top:2;width:794;height:1984" filled="true" fillcolor="#9da2d2" stroked="false">
              <v:fill type="solid"/>
            </v:rect>
            <v:rect style="position:absolute;left:5;top:2;width:794;height:1984" filled="false" stroked="true" strokeweight=".75pt" strokecolor="#9da2d2">
              <v:stroke dashstyle="solid"/>
            </v:rect>
            <v:rect style="position:absolute;left:5;top:1981;width:794;height:5309" filled="true" fillcolor="#010081" stroked="false">
              <v:fill type="solid"/>
            </v:rect>
            <v:rect style="position:absolute;left:5;top:1981;width:794;height:5309" filled="false" stroked="true" strokeweight=".75pt" strokecolor="#010081">
              <v:stroke dashstyle="solid"/>
            </v:rect>
            <v:shape style="position:absolute;left:991;top:1894;width:10066;height:1436" coordorigin="991,1894" coordsize="10066,1436" path="m2573,3300l991,3300,991,3329,2573,3329,2573,3300xm3678,1899l991,1899,991,1928,3678,1928,3678,1899xm11052,3288l3963,3288,3963,3317,11052,3317,11052,3288xm11057,1894l6688,1894,6659,1894,6659,1894,5694,1894,5665,1894,5547,1894,5519,1894,3963,1894,3963,1923,5519,1923,5547,1923,5665,1923,5694,1923,6659,1923,6659,1923,6688,1923,11057,1923,11057,1894xe" filled="true" fillcolor="#333366" stroked="false">
              <v:path arrowok="t"/>
              <v:fill type="solid"/>
            </v:shape>
            <v:shape style="position:absolute;left:8445;top:1288;width:2347;height:546" type="#_x0000_t75" alt="说明: 说明: 说明: C:\Users\xyzq\Desktop\兴业证券LOGO新版本 (1).png" stroked="false">
              <v:imagedata r:id="rId8" o:title=""/>
            </v:shape>
            <w10:wrap type="none"/>
          </v:group>
        </w:pict>
      </w:r>
      <w:hyperlink r:id="rId9">
        <w:r>
          <w:rPr>
            <w:rFonts w:ascii="Times New Roman"/>
            <w:sz w:val="18"/>
          </w:rPr>
          <w:t>yangxicheng@xyzq.com.cn</w:t>
        </w:r>
      </w:hyperlink>
      <w:r>
        <w:rPr>
          <w:rFonts w:ascii="Times New Roman"/>
          <w:sz w:val="18"/>
        </w:rPr>
        <w:t> S0190522090002</w:t>
      </w:r>
    </w:p>
    <w:p>
      <w:pPr>
        <w:spacing w:line="302" w:lineRule="auto" w:before="104"/>
        <w:ind w:left="1274" w:right="436" w:firstLine="0"/>
        <w:jc w:val="left"/>
        <w:rPr>
          <w:sz w:val="20"/>
        </w:rPr>
      </w:pPr>
      <w:r>
        <w:rPr/>
        <w:br w:type="column"/>
      </w:r>
      <w:r>
        <w:rPr>
          <w:sz w:val="20"/>
        </w:rPr>
        <w:t>在用药后明显好转。随着 </w:t>
      </w:r>
      <w:r>
        <w:rPr>
          <w:rFonts w:ascii="Times New Roman" w:eastAsia="Times New Roman"/>
          <w:sz w:val="20"/>
        </w:rPr>
        <w:t>Lecanemab</w:t>
      </w:r>
      <w:r>
        <w:rPr>
          <w:sz w:val="20"/>
        </w:rPr>
        <w:t>、</w:t>
      </w:r>
      <w:r>
        <w:rPr>
          <w:rFonts w:ascii="Times New Roman" w:eastAsia="Times New Roman"/>
          <w:sz w:val="20"/>
        </w:rPr>
        <w:t>Donanemab </w:t>
      </w:r>
      <w:r>
        <w:rPr>
          <w:sz w:val="20"/>
        </w:rPr>
        <w:t>及其他创新药物的审批进展，国内的 </w:t>
      </w:r>
      <w:r>
        <w:rPr>
          <w:rFonts w:ascii="Times New Roman" w:eastAsia="Times New Roman"/>
          <w:sz w:val="20"/>
        </w:rPr>
        <w:t>AD </w:t>
      </w:r>
      <w:r>
        <w:rPr>
          <w:sz w:val="20"/>
        </w:rPr>
        <w:t>创新药物的渗透率有明显提升，市场容量将进一步提高。</w:t>
      </w:r>
    </w:p>
    <w:p>
      <w:pPr>
        <w:pStyle w:val="ListParagraph"/>
        <w:numPr>
          <w:ilvl w:val="0"/>
          <w:numId w:val="2"/>
        </w:numPr>
        <w:tabs>
          <w:tab w:pos="1274" w:val="left" w:leader="none"/>
          <w:tab w:pos="1275" w:val="left" w:leader="none"/>
        </w:tabs>
        <w:spacing w:line="324" w:lineRule="exact" w:before="63" w:after="0"/>
        <w:ind w:left="1274" w:right="338" w:hanging="420"/>
        <w:jc w:val="left"/>
        <w:rPr>
          <w:sz w:val="20"/>
        </w:rPr>
      </w:pPr>
      <w:r>
        <w:rPr>
          <w:rFonts w:ascii="Microsoft JhengHei" w:hAnsi="Microsoft JhengHei" w:eastAsia="Microsoft JhengHei" w:hint="eastAsia"/>
          <w:b/>
          <w:sz w:val="20"/>
        </w:rPr>
        <w:t>健康中国行动推动阿尔茨海默病的早发现早治疗，助力国内诊断和治疗相关行业发展。</w:t>
      </w:r>
      <w:r>
        <w:rPr>
          <w:spacing w:val="-3"/>
          <w:sz w:val="20"/>
        </w:rPr>
        <w:t>同时为贯彻落实健康中国行动提出的“到 </w:t>
      </w:r>
      <w:r>
        <w:rPr>
          <w:rFonts w:ascii="Times New Roman" w:hAnsi="Times New Roman" w:eastAsia="Times New Roman"/>
          <w:sz w:val="20"/>
        </w:rPr>
        <w:t>2022</w:t>
      </w:r>
      <w:r>
        <w:rPr>
          <w:rFonts w:ascii="Times New Roman" w:hAnsi="Times New Roman" w:eastAsia="Times New Roman"/>
          <w:spacing w:val="1"/>
          <w:sz w:val="20"/>
        </w:rPr>
        <w:t> </w:t>
      </w:r>
      <w:r>
        <w:rPr>
          <w:spacing w:val="-26"/>
          <w:sz w:val="20"/>
        </w:rPr>
        <w:t>和 </w:t>
      </w:r>
      <w:r>
        <w:rPr>
          <w:rFonts w:ascii="Times New Roman" w:hAnsi="Times New Roman" w:eastAsia="Times New Roman"/>
          <w:sz w:val="20"/>
        </w:rPr>
        <w:t>2030</w:t>
      </w:r>
      <w:r>
        <w:rPr>
          <w:rFonts w:ascii="Times New Roman" w:hAnsi="Times New Roman" w:eastAsia="Times New Roman"/>
          <w:spacing w:val="1"/>
          <w:sz w:val="20"/>
        </w:rPr>
        <w:t> </w:t>
      </w:r>
      <w:r>
        <w:rPr>
          <w:sz w:val="20"/>
        </w:rPr>
        <w:t>年，</w:t>
      </w:r>
      <w:r>
        <w:rPr>
          <w:rFonts w:ascii="Times New Roman" w:hAnsi="Times New Roman" w:eastAsia="Times New Roman"/>
          <w:sz w:val="20"/>
        </w:rPr>
        <w:t>65</w:t>
      </w:r>
      <w:r>
        <w:rPr>
          <w:rFonts w:ascii="Times New Roman" w:hAnsi="Times New Roman" w:eastAsia="Times New Roman"/>
          <w:spacing w:val="1"/>
          <w:sz w:val="20"/>
        </w:rPr>
        <w:t> </w:t>
      </w:r>
      <w:r>
        <w:rPr>
          <w:sz w:val="20"/>
        </w:rPr>
        <w:t>岁及以上人群老年期痴呆患病率增速下降”的目标要求，增强全社会的老年期</w:t>
      </w:r>
      <w:r>
        <w:rPr>
          <w:spacing w:val="-7"/>
          <w:sz w:val="20"/>
        </w:rPr>
        <w:t>痴呆预防意识，推动预防关口前移，政府部门加大对于老年痴呆病症的宣传， </w:t>
      </w:r>
      <w:r>
        <w:rPr>
          <w:spacing w:val="-13"/>
          <w:sz w:val="20"/>
        </w:rPr>
        <w:t>强调预防的重要性。因此，政策推动叠加药物的审批进展，将开启国内 </w:t>
      </w:r>
      <w:r>
        <w:rPr>
          <w:rFonts w:ascii="Times New Roman" w:hAnsi="Times New Roman" w:eastAsia="Times New Roman"/>
          <w:sz w:val="20"/>
        </w:rPr>
        <w:t>AD</w:t>
      </w:r>
      <w:r>
        <w:rPr>
          <w:rFonts w:ascii="Times New Roman" w:hAnsi="Times New Roman" w:eastAsia="Times New Roman"/>
          <w:spacing w:val="-3"/>
          <w:sz w:val="20"/>
        </w:rPr>
        <w:t> </w:t>
      </w:r>
      <w:r>
        <w:rPr>
          <w:sz w:val="20"/>
        </w:rPr>
        <w:t>治疗和诊断的新篇章。</w:t>
      </w:r>
    </w:p>
    <w:p>
      <w:pPr>
        <w:pStyle w:val="ListParagraph"/>
        <w:numPr>
          <w:ilvl w:val="0"/>
          <w:numId w:val="2"/>
        </w:numPr>
        <w:tabs>
          <w:tab w:pos="1274" w:val="left" w:leader="none"/>
          <w:tab w:pos="1275" w:val="left" w:leader="none"/>
        </w:tabs>
        <w:spacing w:line="254" w:lineRule="auto" w:before="114" w:after="0"/>
        <w:ind w:left="1274" w:right="435" w:hanging="420"/>
        <w:jc w:val="left"/>
        <w:rPr>
          <w:sz w:val="20"/>
        </w:rPr>
      </w:pPr>
      <w:r>
        <w:rPr>
          <w:rFonts w:ascii="Microsoft JhengHei" w:hAnsi="Microsoft JhengHei" w:eastAsia="Microsoft JhengHei" w:hint="eastAsia"/>
          <w:b/>
          <w:sz w:val="20"/>
        </w:rPr>
        <w:t>建议关注国内相关布局公司</w:t>
      </w:r>
      <w:r>
        <w:rPr>
          <w:spacing w:val="-16"/>
          <w:sz w:val="20"/>
        </w:rPr>
        <w:t>：</w:t>
      </w:r>
      <w:r>
        <w:rPr>
          <w:rFonts w:ascii="Times New Roman" w:hAnsi="Times New Roman" w:eastAsia="Times New Roman"/>
          <w:spacing w:val="-16"/>
          <w:sz w:val="20"/>
        </w:rPr>
        <w:t>AD</w:t>
      </w:r>
      <w:r>
        <w:rPr>
          <w:rFonts w:ascii="Times New Roman" w:hAnsi="Times New Roman" w:eastAsia="Times New Roman"/>
          <w:spacing w:val="-1"/>
          <w:sz w:val="20"/>
        </w:rPr>
        <w:t> </w:t>
      </w:r>
      <w:r>
        <w:rPr>
          <w:spacing w:val="-6"/>
          <w:sz w:val="20"/>
        </w:rPr>
        <w:t>药物的研发成功率低，因此在阿尔茨海默病</w:t>
      </w:r>
      <w:r>
        <w:rPr>
          <w:sz w:val="20"/>
        </w:rPr>
        <w:t>领域有技术经验积累或将为公司相关产品的开发奠定扎实的基础。在国内行</w:t>
      </w:r>
    </w:p>
    <w:p>
      <w:pPr>
        <w:spacing w:line="302" w:lineRule="auto" w:before="55"/>
        <w:ind w:left="1274" w:right="433" w:firstLine="0"/>
        <w:jc w:val="both"/>
        <w:rPr>
          <w:sz w:val="20"/>
        </w:rPr>
      </w:pPr>
      <w:r>
        <w:rPr>
          <w:spacing w:val="-1"/>
          <w:sz w:val="20"/>
        </w:rPr>
        <w:t>业上游领域建议关注药明生物，目前已有相关药物的合作基础，如 </w:t>
      </w:r>
      <w:r>
        <w:rPr>
          <w:rFonts w:ascii="Times New Roman" w:eastAsia="Times New Roman"/>
          <w:spacing w:val="-3"/>
          <w:sz w:val="20"/>
        </w:rPr>
        <w:t>TB006</w:t>
      </w:r>
      <w:r>
        <w:rPr>
          <w:spacing w:val="-3"/>
          <w:sz w:val="20"/>
        </w:rPr>
        <w:t>； </w:t>
      </w:r>
      <w:r>
        <w:rPr>
          <w:spacing w:val="-28"/>
          <w:sz w:val="20"/>
        </w:rPr>
        <w:t>在 </w:t>
      </w:r>
      <w:r>
        <w:rPr>
          <w:rFonts w:ascii="Times New Roman" w:eastAsia="Times New Roman"/>
          <w:sz w:val="20"/>
        </w:rPr>
        <w:t>AD </w:t>
      </w:r>
      <w:r>
        <w:rPr>
          <w:spacing w:val="-8"/>
          <w:sz w:val="20"/>
        </w:rPr>
        <w:t>治疗领域建议关注的恒瑞医药、先声药业、康弘药业、天士力、东阳光</w:t>
      </w:r>
      <w:r>
        <w:rPr>
          <w:spacing w:val="-11"/>
          <w:sz w:val="20"/>
        </w:rPr>
        <w:t>等，其中恒瑞医药的 </w:t>
      </w:r>
      <w:r>
        <w:rPr>
          <w:rFonts w:ascii="Times New Roman" w:eastAsia="Times New Roman"/>
          <w:sz w:val="20"/>
        </w:rPr>
        <w:t>SHR-1707 </w:t>
      </w:r>
      <w:r>
        <w:rPr>
          <w:spacing w:val="-17"/>
          <w:sz w:val="20"/>
        </w:rPr>
        <w:t>以 </w:t>
      </w:r>
      <w:r>
        <w:rPr>
          <w:rFonts w:ascii="Times New Roman" w:eastAsia="Times New Roman"/>
          <w:sz w:val="20"/>
        </w:rPr>
        <w:t>2~60mg/kg </w:t>
      </w:r>
      <w:r>
        <w:rPr>
          <w:sz w:val="20"/>
        </w:rPr>
        <w:t>的剂量单次静脉注射给年轻健</w:t>
      </w:r>
      <w:r>
        <w:rPr>
          <w:spacing w:val="13"/>
          <w:w w:val="95"/>
          <w:sz w:val="20"/>
        </w:rPr>
        <w:t>康受试者和老年受试者时体现了良好的安全性、耐受性。先声药业获得</w:t>
      </w:r>
      <w:r>
        <w:rPr>
          <w:rFonts w:ascii="Times New Roman" w:eastAsia="Times New Roman"/>
          <w:spacing w:val="13"/>
          <w:sz w:val="20"/>
        </w:rPr>
        <w:t>Vivoryon </w:t>
      </w:r>
      <w:r>
        <w:rPr>
          <w:spacing w:val="-5"/>
          <w:sz w:val="20"/>
        </w:rPr>
        <w:t>授权的口服小分子 </w:t>
      </w:r>
      <w:r>
        <w:rPr>
          <w:rFonts w:ascii="Times New Roman" w:eastAsia="Times New Roman"/>
          <w:sz w:val="20"/>
        </w:rPr>
        <w:t>Varoglutamstat </w:t>
      </w:r>
      <w:r>
        <w:rPr>
          <w:spacing w:val="-6"/>
          <w:sz w:val="20"/>
        </w:rPr>
        <w:t>已推进至临床 </w:t>
      </w:r>
      <w:r>
        <w:rPr>
          <w:rFonts w:ascii="Times New Roman" w:eastAsia="Times New Roman"/>
          <w:sz w:val="20"/>
        </w:rPr>
        <w:t>II </w:t>
      </w:r>
      <w:r>
        <w:rPr>
          <w:sz w:val="20"/>
        </w:rPr>
        <w:t>期。康弘药业的</w:t>
      </w:r>
      <w:r>
        <w:rPr>
          <w:spacing w:val="-3"/>
          <w:sz w:val="20"/>
        </w:rPr>
        <w:t>五加益智颗粒与化药多奈哌齐头对头治疗 </w:t>
      </w:r>
      <w:r>
        <w:rPr>
          <w:rFonts w:ascii="Times New Roman" w:eastAsia="Times New Roman"/>
          <w:sz w:val="20"/>
        </w:rPr>
        <w:t>AD </w:t>
      </w:r>
      <w:r>
        <w:rPr>
          <w:spacing w:val="-23"/>
          <w:sz w:val="20"/>
        </w:rPr>
        <w:t>的 </w:t>
      </w:r>
      <w:r>
        <w:rPr>
          <w:rFonts w:ascii="Times New Roman" w:eastAsia="Times New Roman"/>
          <w:sz w:val="20"/>
        </w:rPr>
        <w:t>II </w:t>
      </w:r>
      <w:r>
        <w:rPr>
          <w:sz w:val="20"/>
        </w:rPr>
        <w:t>期临床试验也将有数据读</w:t>
      </w:r>
      <w:r>
        <w:rPr>
          <w:spacing w:val="-5"/>
          <w:sz w:val="20"/>
        </w:rPr>
        <w:t>出；</w:t>
      </w:r>
      <w:r>
        <w:rPr>
          <w:rFonts w:ascii="Times New Roman" w:eastAsia="Times New Roman"/>
          <w:spacing w:val="-10"/>
          <w:sz w:val="20"/>
        </w:rPr>
        <w:t>AD </w:t>
      </w:r>
      <w:r>
        <w:rPr>
          <w:spacing w:val="-5"/>
          <w:sz w:val="20"/>
        </w:rPr>
        <w:t>诊断领域建议关注的相关企业包括东诚药业、金域医学等，其中东诚</w:t>
      </w:r>
      <w:r>
        <w:rPr>
          <w:spacing w:val="-4"/>
          <w:sz w:val="20"/>
        </w:rPr>
        <w:t>药业的 </w:t>
      </w:r>
      <w:r>
        <w:rPr>
          <w:rFonts w:ascii="Times New Roman" w:eastAsia="Times New Roman"/>
          <w:sz w:val="20"/>
        </w:rPr>
        <w:t>18F-APN-1607 </w:t>
      </w:r>
      <w:r>
        <w:rPr>
          <w:spacing w:val="-3"/>
          <w:sz w:val="20"/>
        </w:rPr>
        <w:t>已处于临床 </w:t>
      </w:r>
      <w:r>
        <w:rPr>
          <w:rFonts w:ascii="Times New Roman" w:eastAsia="Times New Roman"/>
          <w:sz w:val="20"/>
        </w:rPr>
        <w:t>III </w:t>
      </w:r>
      <w:r>
        <w:rPr>
          <w:spacing w:val="-1"/>
          <w:sz w:val="20"/>
        </w:rPr>
        <w:t>期阶段，金域医学也推出了外周血 </w:t>
      </w:r>
      <w:r>
        <w:rPr>
          <w:rFonts w:ascii="Times New Roman" w:eastAsia="Times New Roman"/>
          <w:sz w:val="20"/>
        </w:rPr>
        <w:t>p- Tau181 </w:t>
      </w:r>
      <w:r>
        <w:rPr>
          <w:spacing w:val="-6"/>
          <w:sz w:val="20"/>
        </w:rPr>
        <w:t>检测项目，可用于 </w:t>
      </w:r>
      <w:r>
        <w:rPr>
          <w:rFonts w:ascii="Times New Roman" w:eastAsia="Times New Roman"/>
          <w:sz w:val="20"/>
        </w:rPr>
        <w:t>AD </w:t>
      </w:r>
      <w:r>
        <w:rPr>
          <w:sz w:val="20"/>
        </w:rPr>
        <w:t>高危人群早期筛查。</w:t>
      </w:r>
    </w:p>
    <w:p>
      <w:pPr>
        <w:pStyle w:val="ListParagraph"/>
        <w:numPr>
          <w:ilvl w:val="0"/>
          <w:numId w:val="2"/>
        </w:numPr>
        <w:tabs>
          <w:tab w:pos="1275" w:val="left" w:leader="none"/>
        </w:tabs>
        <w:spacing w:line="240" w:lineRule="auto" w:before="131" w:after="0"/>
        <w:ind w:left="1274" w:right="0" w:hanging="421"/>
        <w:jc w:val="both"/>
        <w:rPr>
          <w:sz w:val="20"/>
        </w:rPr>
      </w:pPr>
      <w:r>
        <w:rPr>
          <w:sz w:val="20"/>
        </w:rPr>
        <w:t>风险提示：行业政策变动超预期，市场竞争加剧风险，药品研发失败的风险</w:t>
      </w:r>
    </w:p>
    <w:p>
      <w:pPr>
        <w:spacing w:after="0" w:line="240" w:lineRule="auto"/>
        <w:jc w:val="both"/>
        <w:rPr>
          <w:sz w:val="20"/>
        </w:rPr>
        <w:sectPr>
          <w:type w:val="continuous"/>
          <w:pgSz w:w="11910" w:h="16840"/>
          <w:pgMar w:top="220" w:bottom="1400" w:left="240" w:right="400"/>
          <w:cols w:num="2" w:equalWidth="0">
            <w:col w:w="2863" w:space="40"/>
            <w:col w:w="8367"/>
          </w:cols>
        </w:sectPr>
      </w:pPr>
    </w:p>
    <w:p>
      <w:pPr>
        <w:pStyle w:val="BodyText"/>
        <w:spacing w:before="4"/>
        <w:rPr>
          <w:sz w:val="13"/>
        </w:rPr>
      </w:pPr>
    </w:p>
    <w:p>
      <w:pPr>
        <w:pStyle w:val="BodyText"/>
        <w:spacing w:line="20" w:lineRule="exact"/>
        <w:ind w:left="614"/>
        <w:rPr>
          <w:sz w:val="2"/>
        </w:rPr>
      </w:pPr>
      <w:r>
        <w:rPr>
          <w:sz w:val="2"/>
        </w:rPr>
        <w:pict>
          <v:group style="width:508.1pt;height:.75pt;mso-position-horizontal-relative:char;mso-position-vertical-relative:line" coordorigin="0,0" coordsize="10162,15">
            <v:rect style="position:absolute;left:0;top:0;width:10162;height:15" filled="true" fillcolor="#333366" stroked="false">
              <v:fill type="solid"/>
            </v:rect>
          </v:group>
        </w:pict>
      </w:r>
      <w:r>
        <w:rPr>
          <w:sz w:val="2"/>
        </w:rPr>
      </w:r>
    </w:p>
    <w:p>
      <w:pPr>
        <w:pStyle w:val="Heading1"/>
        <w:tabs>
          <w:tab w:pos="2999" w:val="left" w:leader="none"/>
        </w:tabs>
        <w:spacing w:line="420" w:lineRule="exact"/>
        <w:ind w:left="2435"/>
        <w:jc w:val="center"/>
      </w:pPr>
      <w:r>
        <w:rPr>
          <w:color w:val="333366"/>
        </w:rPr>
        <w:t>目</w:t>
        <w:tab/>
        <w:t>录</w:t>
      </w:r>
    </w:p>
    <w:p>
      <w:pPr>
        <w:pStyle w:val="ListParagraph"/>
        <w:numPr>
          <w:ilvl w:val="1"/>
          <w:numId w:val="2"/>
        </w:numPr>
        <w:tabs>
          <w:tab w:pos="3429" w:val="left" w:leader="none"/>
          <w:tab w:pos="10110" w:val="left" w:leader="dot"/>
        </w:tabs>
        <w:spacing w:line="240" w:lineRule="auto" w:before="180" w:after="0"/>
        <w:ind w:left="3428" w:right="0" w:hanging="266"/>
        <w:jc w:val="left"/>
        <w:rPr>
          <w:rFonts w:ascii="Times New Roman" w:eastAsia="Times New Roman"/>
          <w:sz w:val="21"/>
        </w:rPr>
      </w:pPr>
      <w:hyperlink w:history="true" w:anchor="_bookmark0">
        <w:r>
          <w:rPr>
            <w:spacing w:val="-3"/>
            <w:sz w:val="21"/>
          </w:rPr>
          <w:t>病</w:t>
        </w:r>
        <w:r>
          <w:rPr>
            <w:sz w:val="21"/>
          </w:rPr>
          <w:t>理</w:t>
        </w:r>
        <w:r>
          <w:rPr>
            <w:spacing w:val="-3"/>
            <w:sz w:val="21"/>
          </w:rPr>
          <w:t>学</w:t>
        </w:r>
        <w:r>
          <w:rPr>
            <w:sz w:val="21"/>
          </w:rPr>
          <w:t>和</w:t>
        </w:r>
        <w:r>
          <w:rPr>
            <w:spacing w:val="-3"/>
            <w:sz w:val="21"/>
          </w:rPr>
          <w:t>流</w:t>
        </w:r>
        <w:r>
          <w:rPr>
            <w:sz w:val="21"/>
          </w:rPr>
          <w:t>行</w:t>
        </w:r>
        <w:r>
          <w:rPr>
            <w:spacing w:val="-3"/>
            <w:sz w:val="21"/>
          </w:rPr>
          <w:t>病</w:t>
        </w:r>
        <w:r>
          <w:rPr>
            <w:sz w:val="21"/>
          </w:rPr>
          <w:t>学</w:t>
        </w:r>
        <w:r>
          <w:rPr>
            <w:rFonts w:ascii="Times New Roman" w:eastAsia="Times New Roman"/>
            <w:sz w:val="21"/>
          </w:rPr>
          <w:tab/>
        </w:r>
        <w:r>
          <w:rPr>
            <w:rFonts w:ascii="Times New Roman" w:eastAsia="Times New Roman"/>
            <w:spacing w:val="6"/>
            <w:sz w:val="21"/>
          </w:rPr>
          <w:t>.- </w:t>
        </w:r>
        <w:r>
          <w:rPr>
            <w:rFonts w:ascii="Times New Roman" w:eastAsia="Times New Roman"/>
            <w:sz w:val="21"/>
          </w:rPr>
          <w:t>4</w:t>
        </w:r>
        <w:r>
          <w:rPr>
            <w:rFonts w:ascii="Times New Roman" w:eastAsia="Times New Roman"/>
            <w:spacing w:val="-6"/>
            <w:sz w:val="21"/>
          </w:rPr>
          <w:t> </w:t>
        </w:r>
        <w:r>
          <w:rPr>
            <w:rFonts w:ascii="Times New Roman" w:eastAsia="Times New Roman"/>
            <w:sz w:val="21"/>
          </w:rPr>
          <w:t>-</w:t>
        </w:r>
      </w:hyperlink>
    </w:p>
    <w:p>
      <w:pPr>
        <w:pStyle w:val="BodyText"/>
        <w:spacing w:before="2"/>
        <w:ind w:right="737"/>
        <w:jc w:val="right"/>
        <w:rPr>
          <w:rFonts w:ascii="Times New Roman" w:eastAsia="Times New Roman"/>
        </w:rPr>
      </w:pPr>
      <w:hyperlink w:history="true" w:anchor="_bookmark3">
        <w:r>
          <w:rPr>
            <w:rFonts w:ascii="Times New Roman" w:eastAsia="Times New Roman"/>
          </w:rPr>
          <w:t>1.1.</w:t>
        </w:r>
        <w:r>
          <w:rPr>
            <w:rFonts w:ascii="Times New Roman" w:eastAsia="Times New Roman"/>
            <w:spacing w:val="12"/>
          </w:rPr>
          <w:t>  </w:t>
        </w:r>
        <w:r>
          <w:rPr>
            <w:spacing w:val="9"/>
          </w:rPr>
          <w:t>病理学</w:t>
        </w:r>
        <w:r>
          <w:rPr>
            <w:rFonts w:ascii="Times New Roman" w:eastAsia="Times New Roman"/>
          </w:rPr>
          <w:t>............................................................................................................- 5</w:t>
        </w:r>
        <w:r>
          <w:rPr>
            <w:rFonts w:ascii="Times New Roman" w:eastAsia="Times New Roman"/>
            <w:spacing w:val="6"/>
          </w:rPr>
          <w:t> -</w:t>
        </w:r>
      </w:hyperlink>
    </w:p>
    <w:p>
      <w:pPr>
        <w:pStyle w:val="BodyText"/>
        <w:spacing w:before="5"/>
        <w:ind w:right="737"/>
        <w:jc w:val="right"/>
        <w:rPr>
          <w:rFonts w:ascii="Times New Roman" w:hAnsi="Times New Roman" w:eastAsia="Times New Roman"/>
        </w:rPr>
      </w:pPr>
      <w:hyperlink w:history="true" w:anchor="_bookmark5">
        <w:r>
          <w:rPr>
            <w:rFonts w:ascii="Times New Roman" w:hAnsi="Times New Roman" w:eastAsia="Times New Roman"/>
          </w:rPr>
          <w:t>1.1.1.</w:t>
        </w:r>
        <w:r>
          <w:rPr>
            <w:rFonts w:ascii="Times New Roman" w:hAnsi="Times New Roman" w:eastAsia="Times New Roman"/>
            <w:spacing w:val="9"/>
          </w:rPr>
          <w:t> </w:t>
        </w:r>
        <w:r>
          <w:rPr>
            <w:rFonts w:ascii="Times New Roman" w:hAnsi="Times New Roman" w:eastAsia="Times New Roman"/>
          </w:rPr>
          <w:t>β</w:t>
        </w:r>
        <w:r>
          <w:rPr>
            <w:rFonts w:ascii="Times New Roman" w:hAnsi="Times New Roman" w:eastAsia="Times New Roman"/>
            <w:spacing w:val="12"/>
          </w:rPr>
          <w:t> </w:t>
        </w:r>
        <w:r>
          <w:rPr>
            <w:spacing w:val="2"/>
          </w:rPr>
          <w:t>淀粉样蛋白级联假说</w:t>
        </w:r>
        <w:r>
          <w:rPr>
            <w:rFonts w:ascii="Times New Roman" w:hAnsi="Times New Roman" w:eastAsia="Times New Roman"/>
          </w:rPr>
          <w:t>...........................................................................- 5</w:t>
        </w:r>
        <w:r>
          <w:rPr>
            <w:rFonts w:ascii="Times New Roman" w:hAnsi="Times New Roman" w:eastAsia="Times New Roman"/>
            <w:spacing w:val="6"/>
          </w:rPr>
          <w:t> -</w:t>
        </w:r>
      </w:hyperlink>
    </w:p>
    <w:p>
      <w:pPr>
        <w:pStyle w:val="BodyText"/>
        <w:spacing w:before="2"/>
        <w:ind w:right="737"/>
        <w:jc w:val="right"/>
        <w:rPr>
          <w:rFonts w:ascii="Times New Roman" w:eastAsia="Times New Roman"/>
        </w:rPr>
      </w:pPr>
      <w:hyperlink w:history="true" w:anchor="_bookmark7">
        <w:r>
          <w:rPr>
            <w:rFonts w:ascii="Times New Roman" w:eastAsia="Times New Roman"/>
          </w:rPr>
          <w:t>1.1.2.</w:t>
        </w:r>
        <w:r>
          <w:rPr>
            <w:rFonts w:ascii="Times New Roman" w:eastAsia="Times New Roman"/>
            <w:spacing w:val="4"/>
          </w:rPr>
          <w:t> </w:t>
        </w:r>
        <w:r>
          <w:rPr>
            <w:rFonts w:ascii="Times New Roman" w:eastAsia="Times New Roman"/>
            <w:spacing w:val="-6"/>
          </w:rPr>
          <w:t>Tau</w:t>
        </w:r>
        <w:r>
          <w:rPr>
            <w:rFonts w:ascii="Times New Roman" w:eastAsia="Times New Roman"/>
            <w:spacing w:val="11"/>
          </w:rPr>
          <w:t> </w:t>
        </w:r>
        <w:r>
          <w:rPr>
            <w:spacing w:val="-13"/>
          </w:rPr>
          <w:t>蛋白假说 </w:t>
        </w:r>
        <w:r>
          <w:rPr>
            <w:rFonts w:ascii="Times New Roman" w:eastAsia="Times New Roman"/>
          </w:rPr>
          <w:t>...........................................................................................- 6</w:t>
        </w:r>
        <w:r>
          <w:rPr>
            <w:rFonts w:ascii="Times New Roman" w:eastAsia="Times New Roman"/>
            <w:spacing w:val="5"/>
          </w:rPr>
          <w:t> -</w:t>
        </w:r>
      </w:hyperlink>
    </w:p>
    <w:p>
      <w:pPr>
        <w:pStyle w:val="BodyText"/>
        <w:spacing w:before="4"/>
        <w:ind w:right="737"/>
        <w:jc w:val="right"/>
        <w:rPr>
          <w:rFonts w:ascii="Times New Roman" w:eastAsia="Times New Roman"/>
        </w:rPr>
      </w:pPr>
      <w:hyperlink w:history="true" w:anchor="_bookmark9">
        <w:r>
          <w:rPr>
            <w:rFonts w:ascii="Times New Roman" w:eastAsia="Times New Roman"/>
          </w:rPr>
          <w:t>1.1.3.</w:t>
        </w:r>
        <w:r>
          <w:rPr>
            <w:rFonts w:ascii="Times New Roman" w:eastAsia="Times New Roman"/>
            <w:spacing w:val="11"/>
          </w:rPr>
          <w:t>  </w:t>
        </w:r>
        <w:r>
          <w:rPr>
            <w:spacing w:val="7"/>
          </w:rPr>
          <w:t>其他假说</w:t>
        </w:r>
        <w:r>
          <w:rPr>
            <w:rFonts w:ascii="Times New Roman" w:eastAsia="Times New Roman"/>
          </w:rPr>
          <w:t>.................................................................................................- 7</w:t>
        </w:r>
        <w:r>
          <w:rPr>
            <w:rFonts w:ascii="Times New Roman" w:eastAsia="Times New Roman"/>
            <w:spacing w:val="6"/>
          </w:rPr>
          <w:t> -</w:t>
        </w:r>
      </w:hyperlink>
    </w:p>
    <w:p>
      <w:pPr>
        <w:pStyle w:val="BodyText"/>
        <w:spacing w:before="3"/>
        <w:ind w:right="737"/>
        <w:jc w:val="right"/>
        <w:rPr>
          <w:rFonts w:ascii="Times New Roman" w:eastAsia="Times New Roman"/>
        </w:rPr>
      </w:pPr>
      <w:hyperlink w:history="true" w:anchor="_bookmark11">
        <w:r>
          <w:rPr>
            <w:rFonts w:ascii="Times New Roman" w:eastAsia="Times New Roman"/>
          </w:rPr>
          <w:t>1.2.</w:t>
        </w:r>
        <w:r>
          <w:rPr>
            <w:rFonts w:ascii="Times New Roman" w:eastAsia="Times New Roman"/>
            <w:spacing w:val="12"/>
          </w:rPr>
          <w:t>  </w:t>
        </w:r>
        <w:r>
          <w:rPr>
            <w:spacing w:val="6"/>
          </w:rPr>
          <w:t>流行病学</w:t>
        </w:r>
        <w:r>
          <w:rPr>
            <w:rFonts w:ascii="Times New Roman" w:eastAsia="Times New Roman"/>
          </w:rPr>
          <w:t>........................................................................................................- 8</w:t>
        </w:r>
        <w:r>
          <w:rPr>
            <w:rFonts w:ascii="Times New Roman" w:eastAsia="Times New Roman"/>
            <w:spacing w:val="6"/>
          </w:rPr>
          <w:t> -</w:t>
        </w:r>
      </w:hyperlink>
    </w:p>
    <w:p>
      <w:pPr>
        <w:pStyle w:val="BodyText"/>
        <w:spacing w:before="4"/>
        <w:ind w:right="737"/>
        <w:jc w:val="right"/>
        <w:rPr>
          <w:rFonts w:ascii="Times New Roman" w:eastAsia="Times New Roman"/>
        </w:rPr>
      </w:pPr>
      <w:hyperlink w:history="true" w:anchor="_bookmark12">
        <w:r>
          <w:rPr>
            <w:rFonts w:ascii="Times New Roman" w:eastAsia="Times New Roman"/>
          </w:rPr>
          <w:t>1.2.1.</w:t>
        </w:r>
        <w:r>
          <w:rPr>
            <w:rFonts w:ascii="Times New Roman" w:eastAsia="Times New Roman"/>
            <w:spacing w:val="11"/>
          </w:rPr>
          <w:t>  </w:t>
        </w:r>
        <w:r>
          <w:rPr>
            <w:spacing w:val="2"/>
          </w:rPr>
          <w:t>痴呆患者数量预测</w:t>
        </w:r>
        <w:r>
          <w:rPr>
            <w:rFonts w:ascii="Times New Roman" w:eastAsia="Times New Roman"/>
          </w:rPr>
          <w:t>.................................................................................- 8</w:t>
        </w:r>
        <w:r>
          <w:rPr>
            <w:rFonts w:ascii="Times New Roman" w:eastAsia="Times New Roman"/>
            <w:spacing w:val="6"/>
          </w:rPr>
          <w:t> -</w:t>
        </w:r>
      </w:hyperlink>
    </w:p>
    <w:p>
      <w:pPr>
        <w:pStyle w:val="BodyText"/>
        <w:spacing w:before="2"/>
        <w:ind w:right="737"/>
        <w:jc w:val="right"/>
        <w:rPr>
          <w:rFonts w:ascii="Times New Roman" w:eastAsia="Times New Roman"/>
        </w:rPr>
      </w:pPr>
      <w:hyperlink w:history="true" w:anchor="_bookmark17">
        <w:r>
          <w:rPr>
            <w:rFonts w:ascii="Times New Roman" w:eastAsia="Times New Roman"/>
          </w:rPr>
          <w:t>1.2.2.</w:t>
        </w:r>
        <w:r>
          <w:rPr>
            <w:rFonts w:ascii="Times New Roman" w:eastAsia="Times New Roman"/>
            <w:spacing w:val="6"/>
          </w:rPr>
          <w:t>  </w:t>
        </w:r>
        <w:r>
          <w:rPr>
            <w:spacing w:val="-10"/>
          </w:rPr>
          <w:t>与痴呆相关的 </w:t>
        </w:r>
        <w:r>
          <w:rPr>
            <w:rFonts w:ascii="Times New Roman" w:eastAsia="Times New Roman"/>
          </w:rPr>
          <w:t>12</w:t>
        </w:r>
        <w:r>
          <w:rPr>
            <w:rFonts w:ascii="Times New Roman" w:eastAsia="Times New Roman"/>
            <w:spacing w:val="5"/>
          </w:rPr>
          <w:t> </w:t>
        </w:r>
        <w:r>
          <w:rPr>
            <w:spacing w:val="-12"/>
          </w:rPr>
          <w:t>个风险因素 </w:t>
        </w:r>
        <w:r>
          <w:rPr>
            <w:rFonts w:ascii="Times New Roman" w:eastAsia="Times New Roman"/>
          </w:rPr>
          <w:t>.............................................................- 10</w:t>
        </w:r>
        <w:r>
          <w:rPr>
            <w:rFonts w:ascii="Times New Roman" w:eastAsia="Times New Roman"/>
            <w:spacing w:val="3"/>
          </w:rPr>
          <w:t> -</w:t>
        </w:r>
      </w:hyperlink>
    </w:p>
    <w:p>
      <w:pPr>
        <w:pStyle w:val="BodyText"/>
        <w:spacing w:before="5"/>
        <w:ind w:right="737"/>
        <w:jc w:val="right"/>
        <w:rPr>
          <w:rFonts w:ascii="Times New Roman" w:eastAsia="Times New Roman"/>
        </w:rPr>
      </w:pPr>
      <w:hyperlink w:history="true" w:anchor="_bookmark18">
        <w:r>
          <w:rPr>
            <w:rFonts w:ascii="Times New Roman" w:eastAsia="Times New Roman"/>
          </w:rPr>
          <w:t>1.2.3.</w:t>
        </w:r>
        <w:r>
          <w:rPr>
            <w:rFonts w:ascii="Times New Roman" w:eastAsia="Times New Roman"/>
            <w:spacing w:val="11"/>
          </w:rPr>
          <w:t>  </w:t>
        </w:r>
        <w:r>
          <w:rPr>
            <w:spacing w:val="2"/>
          </w:rPr>
          <w:t>中国痴呆患者特征</w:t>
        </w:r>
        <w:r>
          <w:rPr>
            <w:rFonts w:ascii="Times New Roman" w:eastAsia="Times New Roman"/>
          </w:rPr>
          <w:t>...............................................................................- 10</w:t>
        </w:r>
        <w:r>
          <w:rPr>
            <w:rFonts w:ascii="Times New Roman" w:eastAsia="Times New Roman"/>
            <w:spacing w:val="6"/>
          </w:rPr>
          <w:t> -</w:t>
        </w:r>
      </w:hyperlink>
    </w:p>
    <w:p>
      <w:pPr>
        <w:pStyle w:val="BodyText"/>
        <w:spacing w:before="2"/>
        <w:ind w:right="737"/>
        <w:jc w:val="right"/>
        <w:rPr>
          <w:rFonts w:ascii="Times New Roman" w:eastAsia="Times New Roman"/>
        </w:rPr>
      </w:pPr>
      <w:hyperlink w:history="true" w:anchor="_bookmark21">
        <w:r>
          <w:rPr>
            <w:rFonts w:ascii="Times New Roman" w:eastAsia="Times New Roman"/>
          </w:rPr>
          <w:t>2.</w:t>
        </w:r>
        <w:r>
          <w:rPr>
            <w:rFonts w:ascii="Times New Roman" w:eastAsia="Times New Roman"/>
            <w:spacing w:val="13"/>
          </w:rPr>
          <w:t>  </w:t>
        </w:r>
        <w:r>
          <w:rPr>
            <w:spacing w:val="4"/>
          </w:rPr>
          <w:t>诊断与治疗</w:t>
        </w:r>
        <w:r>
          <w:rPr>
            <w:rFonts w:ascii="Times New Roman" w:eastAsia="Times New Roman"/>
          </w:rPr>
          <w:t>.........................................................................................................- 12</w:t>
        </w:r>
        <w:r>
          <w:rPr>
            <w:rFonts w:ascii="Times New Roman" w:eastAsia="Times New Roman"/>
            <w:spacing w:val="6"/>
          </w:rPr>
          <w:t> -</w:t>
        </w:r>
      </w:hyperlink>
    </w:p>
    <w:p>
      <w:pPr>
        <w:pStyle w:val="BodyText"/>
        <w:spacing w:before="3"/>
        <w:ind w:right="737"/>
        <w:jc w:val="right"/>
        <w:rPr>
          <w:rFonts w:ascii="Times New Roman" w:eastAsia="Times New Roman"/>
        </w:rPr>
      </w:pPr>
      <w:hyperlink w:history="true" w:anchor="_bookmark22">
        <w:r>
          <w:rPr>
            <w:rFonts w:ascii="Times New Roman" w:eastAsia="Times New Roman"/>
          </w:rPr>
          <w:t>2.1.</w:t>
        </w:r>
        <w:r>
          <w:rPr>
            <w:rFonts w:ascii="Times New Roman" w:eastAsia="Times New Roman"/>
            <w:spacing w:val="12"/>
          </w:rPr>
          <w:t>  </w:t>
        </w:r>
        <w:r>
          <w:rPr>
            <w:spacing w:val="6"/>
          </w:rPr>
          <w:t>诊断方案</w:t>
        </w:r>
        <w:r>
          <w:rPr>
            <w:rFonts w:ascii="Times New Roman" w:eastAsia="Times New Roman"/>
          </w:rPr>
          <w:t>......................................................................................................- 12</w:t>
        </w:r>
        <w:r>
          <w:rPr>
            <w:rFonts w:ascii="Times New Roman" w:eastAsia="Times New Roman"/>
            <w:spacing w:val="6"/>
          </w:rPr>
          <w:t> -</w:t>
        </w:r>
      </w:hyperlink>
    </w:p>
    <w:p>
      <w:pPr>
        <w:pStyle w:val="BodyText"/>
        <w:spacing w:before="4"/>
        <w:ind w:right="737"/>
        <w:jc w:val="right"/>
        <w:rPr>
          <w:rFonts w:ascii="Times New Roman" w:eastAsia="Times New Roman"/>
        </w:rPr>
      </w:pPr>
      <w:hyperlink w:history="true" w:anchor="_bookmark23">
        <w:r>
          <w:rPr>
            <w:rFonts w:ascii="Times New Roman" w:eastAsia="Times New Roman"/>
          </w:rPr>
          <w:t>2.1.1.</w:t>
        </w:r>
        <w:r>
          <w:rPr>
            <w:rFonts w:ascii="Times New Roman" w:eastAsia="Times New Roman"/>
            <w:spacing w:val="11"/>
          </w:rPr>
          <w:t>  </w:t>
        </w:r>
        <w:r>
          <w:rPr>
            <w:spacing w:val="7"/>
          </w:rPr>
          <w:t>诊断标准</w:t>
        </w:r>
        <w:r>
          <w:rPr>
            <w:rFonts w:ascii="Times New Roman" w:eastAsia="Times New Roman"/>
          </w:rPr>
          <w:t>...............................................................................................- 12</w:t>
        </w:r>
        <w:r>
          <w:rPr>
            <w:rFonts w:ascii="Times New Roman" w:eastAsia="Times New Roman"/>
            <w:spacing w:val="6"/>
          </w:rPr>
          <w:t> -</w:t>
        </w:r>
      </w:hyperlink>
    </w:p>
    <w:p>
      <w:pPr>
        <w:pStyle w:val="BodyText"/>
        <w:spacing w:before="2"/>
        <w:ind w:right="737"/>
        <w:jc w:val="right"/>
        <w:rPr>
          <w:rFonts w:ascii="Times New Roman" w:eastAsia="Times New Roman"/>
        </w:rPr>
      </w:pPr>
      <w:hyperlink w:history="true" w:anchor="_bookmark25">
        <w:r>
          <w:rPr>
            <w:rFonts w:ascii="Times New Roman" w:eastAsia="Times New Roman"/>
          </w:rPr>
          <w:t>2.1.2.</w:t>
        </w:r>
        <w:r>
          <w:rPr>
            <w:rFonts w:ascii="Times New Roman" w:eastAsia="Times New Roman"/>
            <w:spacing w:val="11"/>
          </w:rPr>
          <w:t>  </w:t>
        </w:r>
        <w:r>
          <w:rPr>
            <w:spacing w:val="3"/>
          </w:rPr>
          <w:t>诊断技术对比</w:t>
        </w:r>
        <w:r>
          <w:rPr>
            <w:rFonts w:ascii="Times New Roman" w:eastAsia="Times New Roman"/>
          </w:rPr>
          <w:t>.......................................................................................- 13</w:t>
        </w:r>
        <w:r>
          <w:rPr>
            <w:rFonts w:ascii="Times New Roman" w:eastAsia="Times New Roman"/>
            <w:spacing w:val="6"/>
          </w:rPr>
          <w:t> -</w:t>
        </w:r>
      </w:hyperlink>
    </w:p>
    <w:p>
      <w:pPr>
        <w:pStyle w:val="BodyText"/>
        <w:spacing w:before="5"/>
        <w:ind w:right="737"/>
        <w:jc w:val="right"/>
        <w:rPr>
          <w:rFonts w:ascii="Times New Roman" w:eastAsia="Times New Roman"/>
        </w:rPr>
      </w:pPr>
      <w:hyperlink w:history="true" w:anchor="_bookmark28">
        <w:r>
          <w:rPr>
            <w:rFonts w:ascii="Times New Roman" w:eastAsia="Times New Roman"/>
          </w:rPr>
          <w:t>2.1.3.</w:t>
        </w:r>
        <w:r>
          <w:rPr>
            <w:rFonts w:ascii="Times New Roman" w:eastAsia="Times New Roman"/>
            <w:spacing w:val="-6"/>
          </w:rPr>
          <w:t> </w:t>
        </w:r>
        <w:r>
          <w:rPr>
            <w:rFonts w:ascii="Times New Roman" w:eastAsia="Times New Roman"/>
          </w:rPr>
          <w:t>AD</w:t>
        </w:r>
        <w:r>
          <w:rPr>
            <w:rFonts w:ascii="Times New Roman" w:eastAsia="Times New Roman"/>
            <w:spacing w:val="14"/>
          </w:rPr>
          <w:t> </w:t>
        </w:r>
        <w:r>
          <w:rPr>
            <w:spacing w:val="-1"/>
          </w:rPr>
          <w:t>早诊试剂盒</w:t>
        </w:r>
        <w:r>
          <w:rPr>
            <w:rFonts w:ascii="Times New Roman" w:eastAsia="Times New Roman"/>
          </w:rPr>
          <w:t>......................................................................................- 14</w:t>
        </w:r>
        <w:r>
          <w:rPr>
            <w:rFonts w:ascii="Times New Roman" w:eastAsia="Times New Roman"/>
            <w:spacing w:val="6"/>
          </w:rPr>
          <w:t> -</w:t>
        </w:r>
      </w:hyperlink>
    </w:p>
    <w:p>
      <w:pPr>
        <w:pStyle w:val="BodyText"/>
        <w:spacing w:before="2"/>
        <w:ind w:right="737"/>
        <w:jc w:val="right"/>
        <w:rPr>
          <w:rFonts w:ascii="Times New Roman" w:eastAsia="Times New Roman"/>
        </w:rPr>
      </w:pPr>
      <w:hyperlink w:history="true" w:anchor="_bookmark30">
        <w:r>
          <w:rPr>
            <w:rFonts w:ascii="Times New Roman" w:eastAsia="Times New Roman"/>
          </w:rPr>
          <w:t>2.1.4.</w:t>
        </w:r>
        <w:r>
          <w:rPr>
            <w:rFonts w:ascii="Times New Roman" w:eastAsia="Times New Roman"/>
            <w:spacing w:val="8"/>
          </w:rPr>
          <w:t> </w:t>
        </w:r>
        <w:r>
          <w:rPr>
            <w:rFonts w:ascii="Times New Roman" w:eastAsia="Times New Roman"/>
          </w:rPr>
          <w:t>PET</w:t>
        </w:r>
        <w:r>
          <w:rPr>
            <w:rFonts w:ascii="Times New Roman" w:eastAsia="Times New Roman"/>
            <w:spacing w:val="12"/>
          </w:rPr>
          <w:t> </w:t>
        </w:r>
        <w:r>
          <w:rPr>
            <w:spacing w:val="14"/>
          </w:rPr>
          <w:t>成像</w:t>
        </w:r>
        <w:r>
          <w:rPr>
            <w:rFonts w:ascii="Times New Roman" w:eastAsia="Times New Roman"/>
          </w:rPr>
          <w:t>................................................................................................- 16</w:t>
        </w:r>
        <w:r>
          <w:rPr>
            <w:rFonts w:ascii="Times New Roman" w:eastAsia="Times New Roman"/>
            <w:spacing w:val="6"/>
          </w:rPr>
          <w:t> -</w:t>
        </w:r>
      </w:hyperlink>
    </w:p>
    <w:p>
      <w:pPr>
        <w:pStyle w:val="BodyText"/>
        <w:spacing w:before="5"/>
        <w:ind w:right="737"/>
        <w:jc w:val="right"/>
        <w:rPr>
          <w:rFonts w:ascii="Times New Roman" w:eastAsia="Times New Roman"/>
        </w:rPr>
      </w:pPr>
      <w:hyperlink w:history="true" w:anchor="_bookmark32">
        <w:r>
          <w:rPr>
            <w:rFonts w:ascii="Times New Roman" w:eastAsia="Times New Roman"/>
          </w:rPr>
          <w:t>2.1.5.</w:t>
        </w:r>
        <w:r>
          <w:rPr>
            <w:rFonts w:ascii="Times New Roman" w:eastAsia="Times New Roman"/>
            <w:spacing w:val="-6"/>
          </w:rPr>
          <w:t> </w:t>
        </w:r>
        <w:r>
          <w:rPr>
            <w:rFonts w:ascii="Times New Roman" w:eastAsia="Times New Roman"/>
          </w:rPr>
          <w:t>AI</w:t>
        </w:r>
        <w:r>
          <w:rPr>
            <w:rFonts w:ascii="Times New Roman" w:eastAsia="Times New Roman"/>
            <w:spacing w:val="13"/>
          </w:rPr>
          <w:t> </w:t>
        </w:r>
        <w:r>
          <w:rPr/>
          <w:t>也可构成临床决策辅助的基础</w:t>
        </w:r>
        <w:r>
          <w:rPr>
            <w:rFonts w:ascii="Times New Roman" w:eastAsia="Times New Roman"/>
          </w:rPr>
          <w:t>.......................................................- 17</w:t>
        </w:r>
        <w:r>
          <w:rPr>
            <w:rFonts w:ascii="Times New Roman" w:eastAsia="Times New Roman"/>
            <w:spacing w:val="7"/>
          </w:rPr>
          <w:t> -</w:t>
        </w:r>
      </w:hyperlink>
    </w:p>
    <w:p>
      <w:pPr>
        <w:pStyle w:val="BodyText"/>
        <w:spacing w:before="2"/>
        <w:ind w:right="737"/>
        <w:jc w:val="right"/>
        <w:rPr>
          <w:rFonts w:ascii="Times New Roman" w:eastAsia="Times New Roman"/>
        </w:rPr>
      </w:pPr>
      <w:hyperlink w:history="true" w:anchor="_bookmark33">
        <w:r>
          <w:rPr>
            <w:rFonts w:ascii="Times New Roman" w:eastAsia="Times New Roman"/>
          </w:rPr>
          <w:t>2.2.</w:t>
        </w:r>
        <w:r>
          <w:rPr>
            <w:rFonts w:ascii="Times New Roman" w:eastAsia="Times New Roman"/>
            <w:spacing w:val="12"/>
          </w:rPr>
          <w:t>  </w:t>
        </w:r>
        <w:r>
          <w:rPr>
            <w:spacing w:val="6"/>
          </w:rPr>
          <w:t>治疗方案</w:t>
        </w:r>
        <w:r>
          <w:rPr>
            <w:rFonts w:ascii="Times New Roman" w:eastAsia="Times New Roman"/>
          </w:rPr>
          <w:t>......................................................................................................- 17</w:t>
        </w:r>
        <w:r>
          <w:rPr>
            <w:rFonts w:ascii="Times New Roman" w:eastAsia="Times New Roman"/>
            <w:spacing w:val="6"/>
          </w:rPr>
          <w:t> -</w:t>
        </w:r>
      </w:hyperlink>
    </w:p>
    <w:p>
      <w:pPr>
        <w:pStyle w:val="BodyText"/>
        <w:spacing w:before="4"/>
        <w:ind w:right="737"/>
        <w:jc w:val="right"/>
        <w:rPr>
          <w:rFonts w:ascii="Times New Roman" w:eastAsia="Times New Roman"/>
        </w:rPr>
      </w:pPr>
      <w:hyperlink w:history="true" w:anchor="_bookmark34">
        <w:r>
          <w:rPr>
            <w:rFonts w:ascii="Times New Roman" w:eastAsia="Times New Roman"/>
          </w:rPr>
          <w:t>2.2.1.</w:t>
        </w:r>
        <w:r>
          <w:rPr>
            <w:rFonts w:ascii="Times New Roman" w:eastAsia="Times New Roman"/>
            <w:spacing w:val="11"/>
          </w:rPr>
          <w:t>  </w:t>
        </w:r>
        <w:r>
          <w:rPr>
            <w:spacing w:val="7"/>
          </w:rPr>
          <w:t>药物干预</w:t>
        </w:r>
        <w:r>
          <w:rPr>
            <w:rFonts w:ascii="Times New Roman" w:eastAsia="Times New Roman"/>
          </w:rPr>
          <w:t>...............................................................................................- 18</w:t>
        </w:r>
        <w:r>
          <w:rPr>
            <w:rFonts w:ascii="Times New Roman" w:eastAsia="Times New Roman"/>
            <w:spacing w:val="6"/>
          </w:rPr>
          <w:t> -</w:t>
        </w:r>
      </w:hyperlink>
    </w:p>
    <w:p>
      <w:pPr>
        <w:pStyle w:val="BodyText"/>
        <w:spacing w:before="2"/>
        <w:ind w:right="737"/>
        <w:jc w:val="right"/>
        <w:rPr>
          <w:rFonts w:ascii="Times New Roman" w:eastAsia="Times New Roman"/>
        </w:rPr>
      </w:pPr>
      <w:hyperlink w:history="true" w:anchor="_bookmark47">
        <w:r>
          <w:rPr>
            <w:rFonts w:ascii="Times New Roman" w:eastAsia="Times New Roman"/>
          </w:rPr>
          <w:t>2.2.2.</w:t>
        </w:r>
        <w:r>
          <w:rPr>
            <w:rFonts w:ascii="Times New Roman" w:eastAsia="Times New Roman"/>
            <w:spacing w:val="11"/>
          </w:rPr>
          <w:t>  </w:t>
        </w:r>
        <w:r>
          <w:rPr>
            <w:spacing w:val="5"/>
          </w:rPr>
          <w:t>非药物干预</w:t>
        </w:r>
        <w:r>
          <w:rPr>
            <w:rFonts w:ascii="Times New Roman" w:eastAsia="Times New Roman"/>
          </w:rPr>
          <w:t>...........................................................................................- 30</w:t>
        </w:r>
        <w:r>
          <w:rPr>
            <w:rFonts w:ascii="Times New Roman" w:eastAsia="Times New Roman"/>
            <w:spacing w:val="6"/>
          </w:rPr>
          <w:t> -</w:t>
        </w:r>
      </w:hyperlink>
    </w:p>
    <w:p>
      <w:pPr>
        <w:pStyle w:val="BodyText"/>
        <w:spacing w:before="5"/>
        <w:ind w:right="737"/>
        <w:jc w:val="right"/>
        <w:rPr>
          <w:rFonts w:ascii="Times New Roman" w:eastAsia="Times New Roman"/>
        </w:rPr>
      </w:pPr>
      <w:hyperlink w:history="true" w:anchor="_bookmark49">
        <w:r>
          <w:rPr>
            <w:rFonts w:ascii="Times New Roman" w:eastAsia="Times New Roman"/>
          </w:rPr>
          <w:t>3.</w:t>
        </w:r>
        <w:r>
          <w:rPr>
            <w:rFonts w:ascii="Times New Roman" w:eastAsia="Times New Roman"/>
            <w:spacing w:val="13"/>
          </w:rPr>
          <w:t>  </w:t>
        </w:r>
        <w:r>
          <w:rPr>
            <w:spacing w:val="3"/>
          </w:rPr>
          <w:t>中国诊疗现状</w:t>
        </w:r>
        <w:r>
          <w:rPr>
            <w:rFonts w:ascii="Times New Roman" w:eastAsia="Times New Roman"/>
          </w:rPr>
          <w:t>.....................................................................................................- 31</w:t>
        </w:r>
        <w:r>
          <w:rPr>
            <w:rFonts w:ascii="Times New Roman" w:eastAsia="Times New Roman"/>
            <w:spacing w:val="6"/>
          </w:rPr>
          <w:t> -</w:t>
        </w:r>
      </w:hyperlink>
    </w:p>
    <w:p>
      <w:pPr>
        <w:pStyle w:val="BodyText"/>
        <w:spacing w:before="2"/>
        <w:ind w:right="737"/>
        <w:jc w:val="right"/>
        <w:rPr>
          <w:rFonts w:ascii="Times New Roman" w:eastAsia="Times New Roman"/>
        </w:rPr>
      </w:pPr>
      <w:hyperlink w:history="true" w:anchor="_bookmark53">
        <w:r>
          <w:rPr>
            <w:rFonts w:ascii="Times New Roman" w:eastAsia="Times New Roman"/>
          </w:rPr>
          <w:t>4.</w:t>
        </w:r>
        <w:r>
          <w:rPr>
            <w:rFonts w:ascii="Times New Roman" w:eastAsia="Times New Roman"/>
            <w:spacing w:val="13"/>
          </w:rPr>
          <w:t>  </w:t>
        </w:r>
        <w:r>
          <w:rPr>
            <w:spacing w:val="6"/>
          </w:rPr>
          <w:t>投资建议</w:t>
        </w:r>
        <w:r>
          <w:rPr>
            <w:rFonts w:ascii="Times New Roman" w:eastAsia="Times New Roman"/>
          </w:rPr>
          <w:t>.............................................................................................................- 33</w:t>
        </w:r>
        <w:r>
          <w:rPr>
            <w:rFonts w:ascii="Times New Roman" w:eastAsia="Times New Roman"/>
            <w:spacing w:val="6"/>
          </w:rPr>
          <w:t> -</w:t>
        </w:r>
      </w:hyperlink>
    </w:p>
    <w:p>
      <w:pPr>
        <w:pStyle w:val="BodyText"/>
        <w:spacing w:before="5"/>
        <w:ind w:right="737"/>
        <w:jc w:val="right"/>
        <w:rPr>
          <w:rFonts w:ascii="Times New Roman" w:eastAsia="Times New Roman"/>
        </w:rPr>
      </w:pPr>
      <w:hyperlink w:history="true" w:anchor="_bookmark54">
        <w:r>
          <w:rPr>
            <w:rFonts w:ascii="Times New Roman" w:eastAsia="Times New Roman"/>
          </w:rPr>
          <w:t>5.</w:t>
        </w:r>
        <w:r>
          <w:rPr>
            <w:rFonts w:ascii="Times New Roman" w:eastAsia="Times New Roman"/>
            <w:spacing w:val="13"/>
          </w:rPr>
          <w:t>  </w:t>
        </w:r>
        <w:r>
          <w:rPr>
            <w:spacing w:val="6"/>
          </w:rPr>
          <w:t>风险提示</w:t>
        </w:r>
        <w:r>
          <w:rPr>
            <w:rFonts w:ascii="Times New Roman" w:eastAsia="Times New Roman"/>
          </w:rPr>
          <w:t>.............................................................................................................- 34</w:t>
        </w:r>
        <w:r>
          <w:rPr>
            <w:rFonts w:ascii="Times New Roman" w:eastAsia="Times New Roman"/>
            <w:spacing w:val="6"/>
          </w:rPr>
          <w:t> -</w:t>
        </w:r>
      </w:hyperlink>
    </w:p>
    <w:p>
      <w:pPr>
        <w:pStyle w:val="BodyText"/>
        <w:rPr>
          <w:rFonts w:ascii="Times New Roman"/>
          <w:sz w:val="22"/>
        </w:rPr>
      </w:pPr>
    </w:p>
    <w:p>
      <w:pPr>
        <w:pStyle w:val="BodyText"/>
        <w:spacing w:before="7"/>
        <w:rPr>
          <w:rFonts w:ascii="Times New Roman"/>
          <w:sz w:val="29"/>
        </w:rPr>
      </w:pPr>
    </w:p>
    <w:p>
      <w:pPr>
        <w:pStyle w:val="Heading1"/>
        <w:ind w:left="2433"/>
        <w:jc w:val="center"/>
      </w:pPr>
      <w:r>
        <w:rPr>
          <w:color w:val="333366"/>
        </w:rPr>
        <w:t>图目录</w:t>
      </w:r>
    </w:p>
    <w:p>
      <w:pPr>
        <w:pStyle w:val="BodyText"/>
        <w:spacing w:before="4"/>
        <w:rPr>
          <w:rFonts w:ascii="Microsoft JhengHei"/>
          <w:b/>
          <w:sz w:val="26"/>
        </w:rPr>
      </w:pPr>
    </w:p>
    <w:p>
      <w:pPr>
        <w:pStyle w:val="BodyText"/>
        <w:ind w:left="3163"/>
        <w:rPr>
          <w:rFonts w:ascii="Times New Roman" w:eastAsia="Times New Roman"/>
        </w:rPr>
      </w:pPr>
      <w:hyperlink w:history="true" w:anchor="_bookmark4">
        <w:r>
          <w:rPr>
            <w:spacing w:val="-20"/>
          </w:rPr>
          <w:t>图 </w:t>
        </w:r>
        <w:r>
          <w:rPr>
            <w:rFonts w:ascii="Times New Roman" w:eastAsia="Times New Roman"/>
          </w:rPr>
          <w:t>1</w:t>
        </w:r>
        <w:r>
          <w:rPr>
            <w:spacing w:val="-3"/>
          </w:rPr>
          <w:t>、</w:t>
        </w:r>
        <w:r>
          <w:rPr>
            <w:rFonts w:ascii="Times New Roman" w:eastAsia="Times New Roman"/>
          </w:rPr>
          <w:t>AD</w:t>
        </w:r>
        <w:r>
          <w:rPr>
            <w:rFonts w:ascii="Times New Roman" w:eastAsia="Times New Roman"/>
            <w:spacing w:val="11"/>
          </w:rPr>
          <w:t> </w:t>
        </w:r>
        <w:r>
          <w:rPr>
            <w:spacing w:val="-3"/>
          </w:rPr>
          <w:t>相关病理机制概览</w:t>
        </w:r>
        <w:r>
          <w:rPr>
            <w:rFonts w:ascii="Times New Roman" w:eastAsia="Times New Roman"/>
          </w:rPr>
          <w:t>...................................................................................- 5</w:t>
        </w:r>
        <w:r>
          <w:rPr>
            <w:rFonts w:ascii="Times New Roman" w:eastAsia="Times New Roman"/>
            <w:spacing w:val="6"/>
          </w:rPr>
          <w:t> -</w:t>
        </w:r>
      </w:hyperlink>
    </w:p>
    <w:p>
      <w:pPr>
        <w:pStyle w:val="BodyText"/>
        <w:spacing w:before="5"/>
        <w:ind w:left="3163"/>
        <w:rPr>
          <w:rFonts w:ascii="Times New Roman" w:hAnsi="Times New Roman" w:eastAsia="Times New Roman"/>
        </w:rPr>
      </w:pPr>
      <w:hyperlink w:history="true" w:anchor="_bookmark6">
        <w:r>
          <w:rPr>
            <w:spacing w:val="-20"/>
          </w:rPr>
          <w:t>图 </w:t>
        </w:r>
        <w:r>
          <w:rPr>
            <w:rFonts w:ascii="Times New Roman" w:hAnsi="Times New Roman" w:eastAsia="Times New Roman"/>
          </w:rPr>
          <w:t>2</w:t>
        </w:r>
        <w:r>
          <w:rPr>
            <w:spacing w:val="-3"/>
          </w:rPr>
          <w:t>、</w:t>
        </w:r>
        <w:r>
          <w:rPr>
            <w:rFonts w:ascii="Times New Roman" w:hAnsi="Times New Roman" w:eastAsia="Times New Roman"/>
          </w:rPr>
          <w:t>Aβ</w:t>
        </w:r>
        <w:r>
          <w:rPr>
            <w:rFonts w:ascii="Times New Roman" w:hAnsi="Times New Roman" w:eastAsia="Times New Roman"/>
            <w:spacing w:val="13"/>
          </w:rPr>
          <w:t> </w:t>
        </w:r>
        <w:r>
          <w:rPr>
            <w:spacing w:val="2"/>
          </w:rPr>
          <w:t>淀粉样蛋白级联假说</w:t>
        </w:r>
        <w:r>
          <w:rPr>
            <w:rFonts w:ascii="Times New Roman" w:hAnsi="Times New Roman" w:eastAsia="Times New Roman"/>
          </w:rPr>
          <w:t>...............................................................................- 6</w:t>
        </w:r>
        <w:r>
          <w:rPr>
            <w:rFonts w:ascii="Times New Roman" w:hAnsi="Times New Roman" w:eastAsia="Times New Roman"/>
            <w:spacing w:val="6"/>
          </w:rPr>
          <w:t> -</w:t>
        </w:r>
      </w:hyperlink>
    </w:p>
    <w:p>
      <w:pPr>
        <w:pStyle w:val="BodyText"/>
        <w:spacing w:before="2"/>
        <w:ind w:left="3163"/>
        <w:rPr>
          <w:rFonts w:ascii="Times New Roman" w:eastAsia="Times New Roman"/>
        </w:rPr>
      </w:pPr>
      <w:hyperlink w:history="true" w:anchor="_bookmark8">
        <w:r>
          <w:rPr>
            <w:spacing w:val="-20"/>
          </w:rPr>
          <w:t>图 </w:t>
        </w:r>
        <w:r>
          <w:rPr>
            <w:rFonts w:ascii="Times New Roman" w:eastAsia="Times New Roman"/>
          </w:rPr>
          <w:t>3</w:t>
        </w:r>
        <w:r>
          <w:rPr>
            <w:spacing w:val="-3"/>
          </w:rPr>
          <w:t>、</w:t>
        </w:r>
        <w:r>
          <w:rPr>
            <w:rFonts w:ascii="Times New Roman" w:eastAsia="Times New Roman"/>
            <w:spacing w:val="-6"/>
          </w:rPr>
          <w:t>Tau</w:t>
        </w:r>
        <w:r>
          <w:rPr>
            <w:rFonts w:ascii="Times New Roman" w:eastAsia="Times New Roman"/>
            <w:spacing w:val="13"/>
          </w:rPr>
          <w:t> </w:t>
        </w:r>
        <w:r>
          <w:rPr>
            <w:spacing w:val="7"/>
          </w:rPr>
          <w:t>蛋白假说</w:t>
        </w:r>
        <w:r>
          <w:rPr>
            <w:rFonts w:ascii="Times New Roman" w:eastAsia="Times New Roman"/>
          </w:rPr>
          <w:t>..................................................................................................- 7</w:t>
        </w:r>
        <w:r>
          <w:rPr>
            <w:rFonts w:ascii="Times New Roman" w:eastAsia="Times New Roman"/>
            <w:spacing w:val="6"/>
          </w:rPr>
          <w:t> -</w:t>
        </w:r>
      </w:hyperlink>
    </w:p>
    <w:p>
      <w:pPr>
        <w:pStyle w:val="BodyText"/>
        <w:spacing w:before="5"/>
        <w:ind w:left="3163"/>
        <w:rPr>
          <w:rFonts w:ascii="Times New Roman" w:eastAsia="Times New Roman"/>
        </w:rPr>
      </w:pPr>
      <w:hyperlink w:history="true" w:anchor="_bookmark13">
        <w:r>
          <w:rPr>
            <w:spacing w:val="-22"/>
          </w:rPr>
          <w:t>图 </w:t>
        </w:r>
        <w:r>
          <w:rPr>
            <w:rFonts w:ascii="Times New Roman" w:eastAsia="Times New Roman"/>
          </w:rPr>
          <w:t>4</w:t>
        </w:r>
        <w:r>
          <w:rPr>
            <w:spacing w:val="-3"/>
          </w:rPr>
          <w:t>、</w:t>
        </w:r>
        <w:r>
          <w:rPr>
            <w:rFonts w:ascii="Times New Roman" w:eastAsia="Times New Roman"/>
          </w:rPr>
          <w:t>2019</w:t>
        </w:r>
        <w:r>
          <w:rPr>
            <w:rFonts w:ascii="Times New Roman" w:eastAsia="Times New Roman"/>
            <w:spacing w:val="5"/>
          </w:rPr>
          <w:t> </w:t>
        </w:r>
        <w:r>
          <w:rPr>
            <w:spacing w:val="-23"/>
          </w:rPr>
          <w:t>至 </w:t>
        </w:r>
        <w:r>
          <w:rPr>
            <w:rFonts w:ascii="Times New Roman" w:eastAsia="Times New Roman"/>
          </w:rPr>
          <w:t>2050</w:t>
        </w:r>
        <w:r>
          <w:rPr>
            <w:rFonts w:ascii="Times New Roman" w:eastAsia="Times New Roman"/>
            <w:spacing w:val="4"/>
          </w:rPr>
          <w:t> </w:t>
        </w:r>
        <w:r>
          <w:rPr>
            <w:spacing w:val="-3"/>
          </w:rPr>
          <w:t>年全球痴呆患者数量预测（</w:t>
        </w:r>
        <w:r>
          <w:rPr/>
          <w:t>例）</w:t>
        </w:r>
        <w:r>
          <w:rPr>
            <w:rFonts w:ascii="Times New Roman" w:eastAsia="Times New Roman"/>
          </w:rPr>
          <w:t>...........................................- 8</w:t>
        </w:r>
        <w:r>
          <w:rPr>
            <w:rFonts w:ascii="Times New Roman" w:eastAsia="Times New Roman"/>
            <w:spacing w:val="4"/>
          </w:rPr>
          <w:t> -</w:t>
        </w:r>
      </w:hyperlink>
    </w:p>
    <w:p>
      <w:pPr>
        <w:pStyle w:val="BodyText"/>
        <w:spacing w:before="2"/>
        <w:ind w:left="3163" w:right="729"/>
        <w:rPr>
          <w:rFonts w:ascii="Times New Roman" w:eastAsia="Times New Roman"/>
        </w:rPr>
      </w:pPr>
      <w:hyperlink w:history="true" w:anchor="_bookmark14">
        <w:r>
          <w:rPr>
            <w:spacing w:val="-24"/>
          </w:rPr>
          <w:t>图 </w:t>
        </w:r>
        <w:r>
          <w:rPr>
            <w:rFonts w:ascii="Times New Roman" w:eastAsia="Times New Roman"/>
          </w:rPr>
          <w:t>5</w:t>
        </w:r>
        <w:r>
          <w:rPr>
            <w:spacing w:val="-14"/>
          </w:rPr>
          <w:t>、中国 </w:t>
        </w:r>
        <w:r>
          <w:rPr>
            <w:rFonts w:ascii="Times New Roman" w:eastAsia="Times New Roman"/>
          </w:rPr>
          <w:t>60 </w:t>
        </w:r>
        <w:r>
          <w:rPr>
            <w:spacing w:val="-3"/>
          </w:rPr>
          <w:t>岁以上各分型痴呆患者数量</w:t>
        </w:r>
        <w:r>
          <w:rPr/>
          <w:t>（</w:t>
        </w:r>
        <w:r>
          <w:rPr>
            <w:spacing w:val="-3"/>
          </w:rPr>
          <w:t>百万例</w:t>
        </w:r>
        <w:r>
          <w:rPr/>
          <w:t>）</w:t>
        </w:r>
        <w:r>
          <w:rPr>
            <w:rFonts w:ascii="Times New Roman" w:eastAsia="Times New Roman"/>
            <w:spacing w:val="2"/>
          </w:rPr>
          <w:t>, </w:t>
        </w:r>
        <w:r>
          <w:rPr>
            <w:rFonts w:ascii="Times New Roman" w:eastAsia="Times New Roman"/>
          </w:rPr>
          <w:t>2015-2018 </w:t>
        </w:r>
        <w:r>
          <w:rPr>
            <w:spacing w:val="-6"/>
          </w:rPr>
          <w:t>年横断面研究 </w:t>
        </w:r>
        <w:r>
          <w:rPr>
            <w:rFonts w:ascii="Times New Roman" w:eastAsia="Times New Roman"/>
          </w:rPr>
          <w:t>-</w:t>
        </w:r>
      </w:hyperlink>
      <w:r>
        <w:rPr>
          <w:rFonts w:ascii="Times New Roman" w:eastAsia="Times New Roman"/>
        </w:rPr>
        <w:t> 9 -</w:t>
      </w:r>
    </w:p>
    <w:p>
      <w:pPr>
        <w:pStyle w:val="BodyText"/>
        <w:spacing w:before="3"/>
        <w:ind w:left="3163"/>
        <w:jc w:val="both"/>
        <w:rPr>
          <w:rFonts w:ascii="Times New Roman" w:eastAsia="Times New Roman"/>
        </w:rPr>
      </w:pPr>
      <w:hyperlink w:history="true" w:anchor="_bookmark15">
        <w:r>
          <w:rPr>
            <w:spacing w:val="-22"/>
          </w:rPr>
          <w:t>图 </w:t>
        </w:r>
        <w:r>
          <w:rPr>
            <w:rFonts w:ascii="Times New Roman" w:eastAsia="Times New Roman"/>
          </w:rPr>
          <w:t>6</w:t>
        </w:r>
        <w:r>
          <w:rPr>
            <w:spacing w:val="-14"/>
          </w:rPr>
          <w:t>、国内 </w:t>
        </w:r>
        <w:r>
          <w:rPr>
            <w:rFonts w:ascii="Times New Roman" w:eastAsia="Times New Roman"/>
          </w:rPr>
          <w:t>60</w:t>
        </w:r>
        <w:r>
          <w:rPr>
            <w:rFonts w:ascii="Times New Roman" w:eastAsia="Times New Roman"/>
            <w:spacing w:val="5"/>
          </w:rPr>
          <w:t> </w:t>
        </w:r>
        <w:r>
          <w:rPr>
            <w:spacing w:val="-13"/>
          </w:rPr>
          <w:t>岁以上 </w:t>
        </w:r>
        <w:r>
          <w:rPr>
            <w:rFonts w:ascii="Times New Roman" w:eastAsia="Times New Roman"/>
          </w:rPr>
          <w:t>AD</w:t>
        </w:r>
        <w:r>
          <w:rPr>
            <w:rFonts w:ascii="Times New Roman" w:eastAsia="Times New Roman"/>
            <w:spacing w:val="6"/>
          </w:rPr>
          <w:t> </w:t>
        </w:r>
        <w:r>
          <w:rPr>
            <w:spacing w:val="-2"/>
          </w:rPr>
          <w:t>患者数量预测</w:t>
        </w:r>
        <w:r>
          <w:rPr>
            <w:spacing w:val="-3"/>
          </w:rPr>
          <w:t>（</w:t>
        </w:r>
        <w:r>
          <w:rPr>
            <w:spacing w:val="-2"/>
          </w:rPr>
          <w:t>万例</w:t>
        </w:r>
        <w:r>
          <w:rPr/>
          <w:t>）</w:t>
        </w:r>
        <w:r>
          <w:rPr>
            <w:rFonts w:ascii="Times New Roman" w:eastAsia="Times New Roman"/>
          </w:rPr>
          <w:t>................................................- 9</w:t>
        </w:r>
        <w:r>
          <w:rPr>
            <w:rFonts w:ascii="Times New Roman" w:eastAsia="Times New Roman"/>
            <w:spacing w:val="4"/>
          </w:rPr>
          <w:t> -</w:t>
        </w:r>
      </w:hyperlink>
    </w:p>
    <w:p>
      <w:pPr>
        <w:pStyle w:val="BodyText"/>
        <w:spacing w:before="5"/>
        <w:ind w:left="3163"/>
        <w:jc w:val="both"/>
        <w:rPr>
          <w:rFonts w:ascii="Times New Roman" w:eastAsia="Times New Roman"/>
        </w:rPr>
      </w:pPr>
      <w:hyperlink w:history="true" w:anchor="_bookmark16">
        <w:r>
          <w:rPr>
            <w:spacing w:val="-21"/>
          </w:rPr>
          <w:t>图 </w:t>
        </w:r>
        <w:r>
          <w:rPr>
            <w:rFonts w:ascii="Times New Roman" w:eastAsia="Times New Roman"/>
          </w:rPr>
          <w:t>7</w:t>
        </w:r>
        <w:r>
          <w:rPr>
            <w:spacing w:val="-13"/>
          </w:rPr>
          <w:t>、国内 </w:t>
        </w:r>
        <w:r>
          <w:rPr>
            <w:rFonts w:ascii="Times New Roman" w:eastAsia="Times New Roman"/>
          </w:rPr>
          <w:t>60</w:t>
        </w:r>
        <w:r>
          <w:rPr>
            <w:rFonts w:ascii="Times New Roman" w:eastAsia="Times New Roman"/>
            <w:spacing w:val="7"/>
          </w:rPr>
          <w:t> </w:t>
        </w:r>
        <w:r>
          <w:rPr>
            <w:spacing w:val="-13"/>
          </w:rPr>
          <w:t>岁以上 </w:t>
        </w:r>
        <w:r>
          <w:rPr>
            <w:rFonts w:ascii="Times New Roman" w:eastAsia="Times New Roman"/>
          </w:rPr>
          <w:t>MCI</w:t>
        </w:r>
        <w:r>
          <w:rPr>
            <w:rFonts w:ascii="Times New Roman" w:eastAsia="Times New Roman"/>
            <w:spacing w:val="9"/>
          </w:rPr>
          <w:t> </w:t>
        </w:r>
        <w:r>
          <w:rPr>
            <w:spacing w:val="-2"/>
          </w:rPr>
          <w:t>患者数量预测</w:t>
        </w:r>
        <w:r>
          <w:rPr>
            <w:spacing w:val="-3"/>
          </w:rPr>
          <w:t>（</w:t>
        </w:r>
        <w:r>
          <w:rPr>
            <w:spacing w:val="-2"/>
          </w:rPr>
          <w:t>万例</w:t>
        </w:r>
        <w:r>
          <w:rPr/>
          <w:t>）</w:t>
        </w:r>
        <w:r>
          <w:rPr>
            <w:rFonts w:ascii="Times New Roman" w:eastAsia="Times New Roman"/>
          </w:rPr>
          <w:t>..............................................- 9</w:t>
        </w:r>
        <w:r>
          <w:rPr>
            <w:rFonts w:ascii="Times New Roman" w:eastAsia="Times New Roman"/>
            <w:spacing w:val="5"/>
          </w:rPr>
          <w:t> -</w:t>
        </w:r>
      </w:hyperlink>
    </w:p>
    <w:p>
      <w:pPr>
        <w:pStyle w:val="BodyText"/>
        <w:spacing w:line="242" w:lineRule="auto" w:before="2"/>
        <w:ind w:left="3163" w:right="734"/>
        <w:jc w:val="both"/>
        <w:rPr>
          <w:rFonts w:ascii="Times New Roman" w:eastAsia="Times New Roman"/>
        </w:rPr>
      </w:pPr>
      <w:hyperlink w:history="true" w:anchor="_bookmark19">
        <w:r>
          <w:rPr>
            <w:spacing w:val="-17"/>
          </w:rPr>
          <w:t>图 </w:t>
        </w:r>
        <w:r>
          <w:rPr>
            <w:rFonts w:ascii="Times New Roman" w:eastAsia="Times New Roman"/>
          </w:rPr>
          <w:t>8</w:t>
        </w:r>
        <w:r>
          <w:rPr>
            <w:spacing w:val="-3"/>
          </w:rPr>
          <w:t>、痴呆和轻度认知障碍在农村与城市中不同年龄的占比</w:t>
        </w:r>
        <w:r>
          <w:rPr>
            <w:rFonts w:ascii="Times New Roman" w:eastAsia="Times New Roman"/>
          </w:rPr>
          <w:t>............................- </w:t>
        </w:r>
        <w:r>
          <w:rPr>
            <w:rFonts w:ascii="Times New Roman" w:eastAsia="Times New Roman"/>
            <w:spacing w:val="-4"/>
          </w:rPr>
          <w:t>11</w:t>
        </w:r>
        <w:r>
          <w:rPr>
            <w:rFonts w:ascii="Times New Roman" w:eastAsia="Times New Roman"/>
            <w:spacing w:val="9"/>
          </w:rPr>
          <w:t> - </w:t>
        </w:r>
      </w:hyperlink>
      <w:hyperlink w:history="true" w:anchor="_bookmark20">
        <w:r>
          <w:rPr>
            <w:spacing w:val="-15"/>
          </w:rPr>
          <w:t>图 </w:t>
        </w:r>
        <w:r>
          <w:rPr>
            <w:rFonts w:ascii="Times New Roman" w:eastAsia="Times New Roman"/>
          </w:rPr>
          <w:t>9</w:t>
        </w:r>
        <w:r>
          <w:rPr>
            <w:spacing w:val="-3"/>
          </w:rPr>
          <w:t>、</w:t>
        </w:r>
        <w:r>
          <w:rPr>
            <w:rFonts w:ascii="Times New Roman" w:eastAsia="Times New Roman"/>
          </w:rPr>
          <w:t>1990-2019</w:t>
        </w:r>
        <w:r>
          <w:rPr>
            <w:rFonts w:ascii="Times New Roman" w:eastAsia="Times New Roman"/>
            <w:spacing w:val="10"/>
          </w:rPr>
          <w:t> </w:t>
        </w:r>
        <w:r>
          <w:rPr>
            <w:spacing w:val="-1"/>
          </w:rPr>
          <w:t>年中国经年龄调整的前十大疾病死亡率排名变化</w:t>
        </w:r>
        <w:r>
          <w:rPr>
            <w:rFonts w:ascii="Times New Roman" w:eastAsia="Times New Roman"/>
          </w:rPr>
          <w:t>.................- </w:t>
        </w:r>
        <w:r>
          <w:rPr>
            <w:rFonts w:ascii="Times New Roman" w:eastAsia="Times New Roman"/>
            <w:spacing w:val="-4"/>
          </w:rPr>
          <w:t>11</w:t>
        </w:r>
        <w:r>
          <w:rPr>
            <w:rFonts w:ascii="Times New Roman" w:eastAsia="Times New Roman"/>
            <w:spacing w:val="6"/>
          </w:rPr>
          <w:t> - </w:t>
        </w:r>
      </w:hyperlink>
      <w:hyperlink w:history="true" w:anchor="_bookmark27">
        <w:r>
          <w:rPr>
            <w:spacing w:val="-18"/>
          </w:rPr>
          <w:t>图 </w:t>
        </w:r>
        <w:r>
          <w:rPr>
            <w:rFonts w:ascii="Times New Roman" w:eastAsia="Times New Roman"/>
          </w:rPr>
          <w:t>10</w:t>
        </w:r>
        <w:r>
          <w:rPr/>
          <w:t>、</w:t>
        </w:r>
        <w:r>
          <w:rPr>
            <w:rFonts w:ascii="Times New Roman" w:eastAsia="Times New Roman"/>
          </w:rPr>
          <w:t>AD</w:t>
        </w:r>
        <w:r>
          <w:rPr>
            <w:rFonts w:ascii="Times New Roman" w:eastAsia="Times New Roman"/>
            <w:spacing w:val="9"/>
          </w:rPr>
          <w:t> </w:t>
        </w:r>
        <w:r>
          <w:rPr>
            <w:spacing w:val="-3"/>
          </w:rPr>
          <w:t>诊断行业上游</w:t>
        </w:r>
        <w:r>
          <w:rPr>
            <w:rFonts w:ascii="Times New Roman" w:eastAsia="Times New Roman"/>
          </w:rPr>
          <w:t>.......................................................................................- 14</w:t>
        </w:r>
        <w:r>
          <w:rPr>
            <w:rFonts w:ascii="Times New Roman" w:eastAsia="Times New Roman"/>
            <w:spacing w:val="6"/>
          </w:rPr>
          <w:t> - </w:t>
        </w:r>
      </w:hyperlink>
      <w:hyperlink w:history="true" w:anchor="_bookmark35">
        <w:r>
          <w:rPr>
            <w:spacing w:val="-20"/>
          </w:rPr>
          <w:t>图 </w:t>
        </w:r>
        <w:r>
          <w:rPr>
            <w:rFonts w:ascii="Times New Roman" w:eastAsia="Times New Roman"/>
            <w:spacing w:val="-6"/>
          </w:rPr>
          <w:t>11</w:t>
        </w:r>
        <w:r>
          <w:rPr/>
          <w:t>、</w:t>
        </w:r>
        <w:r>
          <w:rPr>
            <w:rFonts w:ascii="Times New Roman" w:eastAsia="Times New Roman"/>
          </w:rPr>
          <w:t>1998-2017</w:t>
        </w:r>
        <w:r>
          <w:rPr>
            <w:rFonts w:ascii="Times New Roman" w:eastAsia="Times New Roman"/>
            <w:spacing w:val="7"/>
          </w:rPr>
          <w:t> </w:t>
        </w:r>
        <w:r>
          <w:rPr>
            <w:spacing w:val="-24"/>
          </w:rPr>
          <w:t>年 </w:t>
        </w:r>
        <w:r>
          <w:rPr>
            <w:rFonts w:ascii="Times New Roman" w:eastAsia="Times New Roman"/>
          </w:rPr>
          <w:t>AD</w:t>
        </w:r>
        <w:r>
          <w:rPr>
            <w:rFonts w:ascii="Times New Roman" w:eastAsia="Times New Roman"/>
            <w:spacing w:val="5"/>
          </w:rPr>
          <w:t> </w:t>
        </w:r>
        <w:r>
          <w:rPr>
            <w:spacing w:val="-3"/>
          </w:rPr>
          <w:t>研发成功与失败案例总计</w:t>
        </w:r>
        <w:r>
          <w:rPr/>
          <w:t>（例）</w:t>
        </w:r>
        <w:r>
          <w:rPr>
            <w:rFonts w:ascii="Times New Roman" w:eastAsia="Times New Roman"/>
          </w:rPr>
          <w:t>................................- 18</w:t>
        </w:r>
        <w:r>
          <w:rPr>
            <w:rFonts w:ascii="Times New Roman" w:eastAsia="Times New Roman"/>
            <w:spacing w:val="4"/>
          </w:rPr>
          <w:t> - </w:t>
        </w:r>
      </w:hyperlink>
      <w:hyperlink w:history="true" w:anchor="_bookmark36">
        <w:r>
          <w:rPr>
            <w:spacing w:val="-22"/>
          </w:rPr>
          <w:t>图 </w:t>
        </w:r>
        <w:r>
          <w:rPr>
            <w:rFonts w:ascii="Times New Roman" w:eastAsia="Times New Roman"/>
          </w:rPr>
          <w:t>12</w:t>
        </w:r>
        <w:r>
          <w:rPr/>
          <w:t>、</w:t>
        </w:r>
        <w:r>
          <w:rPr>
            <w:rFonts w:ascii="Times New Roman" w:eastAsia="Times New Roman"/>
          </w:rPr>
          <w:t>1998-2017</w:t>
        </w:r>
        <w:r>
          <w:rPr>
            <w:rFonts w:ascii="Times New Roman" w:eastAsia="Times New Roman"/>
            <w:spacing w:val="6"/>
          </w:rPr>
          <w:t> </w:t>
        </w:r>
        <w:r>
          <w:rPr>
            <w:spacing w:val="-25"/>
          </w:rPr>
          <w:t>年 </w:t>
        </w:r>
        <w:r>
          <w:rPr>
            <w:rFonts w:ascii="Times New Roman" w:eastAsia="Times New Roman"/>
          </w:rPr>
          <w:t>AD</w:t>
        </w:r>
        <w:r>
          <w:rPr>
            <w:rFonts w:ascii="Times New Roman" w:eastAsia="Times New Roman"/>
            <w:spacing w:val="4"/>
          </w:rPr>
          <w:t> </w:t>
        </w:r>
        <w:r>
          <w:rPr>
            <w:spacing w:val="-10"/>
          </w:rPr>
          <w:t>研发失败阶段占比 </w:t>
        </w:r>
        <w:r>
          <w:rPr>
            <w:rFonts w:ascii="Times New Roman" w:eastAsia="Times New Roman"/>
          </w:rPr>
          <w:t>.......................................................- 18</w:t>
        </w:r>
        <w:r>
          <w:rPr>
            <w:rFonts w:ascii="Times New Roman" w:eastAsia="Times New Roman"/>
            <w:spacing w:val="2"/>
          </w:rPr>
          <w:t> -</w:t>
        </w:r>
      </w:hyperlink>
    </w:p>
    <w:p>
      <w:pPr>
        <w:pStyle w:val="BodyText"/>
        <w:spacing w:before="2"/>
        <w:ind w:left="3163"/>
        <w:rPr>
          <w:rFonts w:ascii="Times New Roman" w:eastAsia="Times New Roman"/>
        </w:rPr>
      </w:pPr>
      <w:hyperlink w:history="true" w:anchor="_bookmark37">
        <w:r>
          <w:rPr>
            <w:spacing w:val="-18"/>
          </w:rPr>
          <w:t>图 </w:t>
        </w:r>
        <w:r>
          <w:rPr>
            <w:rFonts w:ascii="Times New Roman" w:eastAsia="Times New Roman"/>
          </w:rPr>
          <w:t>13</w:t>
        </w:r>
        <w:r>
          <w:rPr>
            <w:spacing w:val="-3"/>
          </w:rPr>
          <w:t>、全球在研药物临床阶段和对应机制分析</w:t>
        </w:r>
        <w:r>
          <w:rPr>
            <w:rFonts w:ascii="Times New Roman" w:eastAsia="Times New Roman"/>
          </w:rPr>
          <w:t>..................................................- 19</w:t>
        </w:r>
        <w:r>
          <w:rPr>
            <w:rFonts w:ascii="Times New Roman" w:eastAsia="Times New Roman"/>
            <w:spacing w:val="8"/>
          </w:rPr>
          <w:t> -</w:t>
        </w:r>
      </w:hyperlink>
    </w:p>
    <w:p>
      <w:pPr>
        <w:pStyle w:val="BodyText"/>
        <w:spacing w:before="5"/>
        <w:ind w:left="3163"/>
        <w:rPr>
          <w:rFonts w:ascii="Times New Roman" w:hAnsi="Times New Roman" w:eastAsia="Times New Roman"/>
        </w:rPr>
      </w:pPr>
      <w:hyperlink w:history="true" w:anchor="_bookmark38">
        <w:r>
          <w:rPr>
            <w:spacing w:val="-21"/>
          </w:rPr>
          <w:t>图 </w:t>
        </w:r>
        <w:r>
          <w:rPr>
            <w:rFonts w:ascii="Times New Roman" w:hAnsi="Times New Roman" w:eastAsia="Times New Roman"/>
          </w:rPr>
          <w:t>14</w:t>
        </w:r>
        <w:r>
          <w:rPr>
            <w:spacing w:val="-3"/>
          </w:rPr>
          <w:t>、淀粉样蛋白</w:t>
        </w:r>
        <w:r>
          <w:rPr>
            <w:rFonts w:ascii="Times New Roman" w:hAnsi="Times New Roman" w:eastAsia="Times New Roman"/>
          </w:rPr>
          <w:t>-β</w:t>
        </w:r>
        <w:r>
          <w:rPr>
            <w:rFonts w:ascii="Times New Roman" w:hAnsi="Times New Roman" w:eastAsia="Times New Roman"/>
            <w:spacing w:val="11"/>
          </w:rPr>
          <w:t> </w:t>
        </w:r>
        <w:r>
          <w:rPr>
            <w:spacing w:val="-1"/>
          </w:rPr>
          <w:t>相关病理免疫调节的潜在机制</w:t>
        </w:r>
        <w:r>
          <w:rPr>
            <w:rFonts w:ascii="Times New Roman" w:hAnsi="Times New Roman" w:eastAsia="Times New Roman"/>
          </w:rPr>
          <w:t>.........................................- 20</w:t>
        </w:r>
        <w:r>
          <w:rPr>
            <w:rFonts w:ascii="Times New Roman" w:hAnsi="Times New Roman" w:eastAsia="Times New Roman"/>
            <w:spacing w:val="5"/>
          </w:rPr>
          <w:t> -</w:t>
        </w:r>
      </w:hyperlink>
    </w:p>
    <w:p>
      <w:pPr>
        <w:pStyle w:val="BodyText"/>
        <w:spacing w:before="2"/>
        <w:ind w:left="3163"/>
        <w:rPr>
          <w:rFonts w:ascii="Times New Roman" w:eastAsia="Times New Roman"/>
        </w:rPr>
      </w:pPr>
      <w:hyperlink w:history="true" w:anchor="_bookmark39">
        <w:r>
          <w:rPr>
            <w:spacing w:val="-22"/>
          </w:rPr>
          <w:t>图 </w:t>
        </w:r>
        <w:r>
          <w:rPr>
            <w:rFonts w:ascii="Times New Roman" w:eastAsia="Times New Roman"/>
          </w:rPr>
          <w:t>15</w:t>
        </w:r>
        <w:r>
          <w:rPr/>
          <w:t>、</w:t>
        </w:r>
        <w:r>
          <w:rPr>
            <w:rFonts w:ascii="Times New Roman" w:eastAsia="Times New Roman"/>
          </w:rPr>
          <w:t>Aducanumab</w:t>
        </w:r>
        <w:r>
          <w:rPr>
            <w:rFonts w:ascii="Times New Roman" w:eastAsia="Times New Roman"/>
            <w:spacing w:val="7"/>
          </w:rPr>
          <w:t>  </w:t>
        </w:r>
        <w:r>
          <w:rPr>
            <w:spacing w:val="1"/>
          </w:rPr>
          <w:t>临床试验结果</w:t>
        </w:r>
        <w:r>
          <w:rPr>
            <w:rFonts w:ascii="Times New Roman" w:eastAsia="Times New Roman"/>
          </w:rPr>
          <w:t>......................................................................- 21</w:t>
        </w:r>
        <w:r>
          <w:rPr>
            <w:rFonts w:ascii="Times New Roman" w:eastAsia="Times New Roman"/>
            <w:spacing w:val="4"/>
          </w:rPr>
          <w:t> -</w:t>
        </w:r>
      </w:hyperlink>
    </w:p>
    <w:p>
      <w:pPr>
        <w:pStyle w:val="BodyText"/>
        <w:spacing w:line="242" w:lineRule="auto" w:before="4"/>
        <w:ind w:left="3163" w:right="737"/>
        <w:jc w:val="both"/>
        <w:rPr>
          <w:rFonts w:ascii="Times New Roman" w:eastAsia="Times New Roman"/>
        </w:rPr>
      </w:pPr>
      <w:hyperlink w:history="true" w:anchor="_bookmark40">
        <w:r>
          <w:rPr>
            <w:spacing w:val="-25"/>
          </w:rPr>
          <w:t>图 </w:t>
        </w:r>
        <w:r>
          <w:rPr>
            <w:rFonts w:ascii="Times New Roman" w:eastAsia="Times New Roman"/>
          </w:rPr>
          <w:t>16</w:t>
        </w:r>
        <w:r>
          <w:rPr/>
          <w:t>、</w:t>
        </w:r>
        <w:r>
          <w:rPr>
            <w:rFonts w:ascii="Times New Roman" w:eastAsia="Times New Roman"/>
          </w:rPr>
          <w:t>Lecanemab</w:t>
        </w:r>
        <w:r>
          <w:rPr>
            <w:rFonts w:ascii="Times New Roman" w:eastAsia="Times New Roman"/>
            <w:spacing w:val="5"/>
          </w:rPr>
          <w:t> </w:t>
        </w:r>
        <w:r>
          <w:rPr>
            <w:spacing w:val="-25"/>
          </w:rPr>
          <w:t>的 </w:t>
        </w:r>
        <w:r>
          <w:rPr>
            <w:rFonts w:ascii="Times New Roman" w:eastAsia="Times New Roman"/>
          </w:rPr>
          <w:t>III </w:t>
        </w:r>
        <w:r>
          <w:rPr>
            <w:spacing w:val="-2"/>
          </w:rPr>
          <w:t>期临床试验</w:t>
        </w:r>
        <w:r>
          <w:rPr/>
          <w:t>（</w:t>
        </w:r>
        <w:r>
          <w:rPr>
            <w:rFonts w:ascii="Times New Roman" w:eastAsia="Times New Roman"/>
          </w:rPr>
          <w:t>Clarity</w:t>
        </w:r>
        <w:r>
          <w:rPr>
            <w:rFonts w:ascii="Times New Roman" w:eastAsia="Times New Roman"/>
            <w:spacing w:val="-9"/>
          </w:rPr>
          <w:t> </w:t>
        </w:r>
        <w:r>
          <w:rPr>
            <w:rFonts w:ascii="Times New Roman" w:eastAsia="Times New Roman"/>
          </w:rPr>
          <w:t>AD</w:t>
        </w:r>
        <w:r>
          <w:rPr/>
          <w:t>）</w:t>
        </w:r>
        <w:r>
          <w:rPr>
            <w:spacing w:val="-54"/>
          </w:rPr>
          <w:t> </w:t>
        </w:r>
        <w:r>
          <w:rPr>
            <w:rFonts w:ascii="Times New Roman" w:eastAsia="Times New Roman"/>
          </w:rPr>
          <w:t>.........................................- 22</w:t>
        </w:r>
        <w:r>
          <w:rPr>
            <w:rFonts w:ascii="Times New Roman" w:eastAsia="Times New Roman"/>
            <w:spacing w:val="2"/>
          </w:rPr>
          <w:t> - </w:t>
        </w:r>
      </w:hyperlink>
      <w:hyperlink w:history="true" w:anchor="_bookmark41">
        <w:r>
          <w:rPr>
            <w:spacing w:val="-23"/>
          </w:rPr>
          <w:t>图 </w:t>
        </w:r>
        <w:r>
          <w:rPr>
            <w:rFonts w:ascii="Times New Roman" w:eastAsia="Times New Roman"/>
          </w:rPr>
          <w:t>17</w:t>
        </w:r>
        <w:r>
          <w:rPr/>
          <w:t>、</w:t>
        </w:r>
        <w:r>
          <w:rPr>
            <w:rFonts w:ascii="Times New Roman" w:eastAsia="Times New Roman"/>
          </w:rPr>
          <w:t>Donanemab</w:t>
        </w:r>
        <w:r>
          <w:rPr>
            <w:rFonts w:ascii="Times New Roman" w:eastAsia="Times New Roman"/>
            <w:spacing w:val="2"/>
          </w:rPr>
          <w:t> </w:t>
        </w:r>
        <w:r>
          <w:rPr>
            <w:spacing w:val="-24"/>
          </w:rPr>
          <w:t>的 </w:t>
        </w:r>
        <w:r>
          <w:rPr>
            <w:rFonts w:ascii="Times New Roman" w:eastAsia="Times New Roman"/>
          </w:rPr>
          <w:t>III</w:t>
        </w:r>
        <w:r>
          <w:rPr>
            <w:rFonts w:ascii="Times New Roman" w:eastAsia="Times New Roman"/>
            <w:spacing w:val="5"/>
          </w:rPr>
          <w:t> </w:t>
        </w:r>
        <w:r>
          <w:rPr>
            <w:spacing w:val="-2"/>
          </w:rPr>
          <w:t>期临床试验</w:t>
        </w:r>
        <w:r>
          <w:rPr/>
          <w:t>（</w:t>
        </w:r>
        <w:r>
          <w:rPr>
            <w:rFonts w:ascii="Times New Roman" w:eastAsia="Times New Roman"/>
          </w:rPr>
          <w:t>TRAILBLAZER-ALZ</w:t>
        </w:r>
        <w:r>
          <w:rPr>
            <w:rFonts w:ascii="Times New Roman" w:eastAsia="Times New Roman"/>
            <w:spacing w:val="5"/>
          </w:rPr>
          <w:t> </w:t>
        </w:r>
        <w:r>
          <w:rPr>
            <w:rFonts w:ascii="Times New Roman" w:eastAsia="Times New Roman"/>
          </w:rPr>
          <w:t>2</w:t>
        </w:r>
        <w:r>
          <w:rPr/>
          <w:t>）</w:t>
        </w:r>
        <w:r>
          <w:rPr>
            <w:rFonts w:ascii="Times New Roman" w:eastAsia="Times New Roman"/>
          </w:rPr>
          <w:t>....................- 23</w:t>
        </w:r>
        <w:r>
          <w:rPr>
            <w:rFonts w:ascii="Times New Roman" w:eastAsia="Times New Roman"/>
            <w:spacing w:val="2"/>
          </w:rPr>
          <w:t> - </w:t>
        </w:r>
      </w:hyperlink>
      <w:hyperlink w:history="true" w:anchor="_bookmark43">
        <w:r>
          <w:rPr>
            <w:spacing w:val="-21"/>
          </w:rPr>
          <w:t>图 </w:t>
        </w:r>
        <w:r>
          <w:rPr>
            <w:rFonts w:ascii="Times New Roman" w:eastAsia="Times New Roman"/>
          </w:rPr>
          <w:t>18</w:t>
        </w:r>
        <w:r>
          <w:rPr/>
          <w:t>、</w:t>
        </w:r>
        <w:r>
          <w:rPr>
            <w:rFonts w:ascii="Times New Roman" w:eastAsia="Times New Roman"/>
          </w:rPr>
          <w:t>Galectin-3</w:t>
        </w:r>
        <w:r>
          <w:rPr>
            <w:rFonts w:ascii="Times New Roman" w:eastAsia="Times New Roman"/>
            <w:spacing w:val="10"/>
          </w:rPr>
          <w:t> </w:t>
        </w:r>
        <w:r>
          <w:rPr>
            <w:spacing w:val="-3"/>
          </w:rPr>
          <w:t>抑制剂机制介绍</w:t>
        </w:r>
        <w:r>
          <w:rPr>
            <w:rFonts w:ascii="Times New Roman" w:eastAsia="Times New Roman"/>
          </w:rPr>
          <w:t>........................................................................- 25</w:t>
        </w:r>
        <w:r>
          <w:rPr>
            <w:rFonts w:ascii="Times New Roman" w:eastAsia="Times New Roman"/>
            <w:spacing w:val="5"/>
          </w:rPr>
          <w:t> -</w:t>
        </w:r>
      </w:hyperlink>
    </w:p>
    <w:p>
      <w:pPr>
        <w:pStyle w:val="BodyText"/>
        <w:spacing w:before="1"/>
        <w:ind w:left="3163"/>
        <w:jc w:val="both"/>
        <w:rPr>
          <w:rFonts w:ascii="Times New Roman" w:eastAsia="Times New Roman"/>
        </w:rPr>
      </w:pPr>
      <w:hyperlink w:history="true" w:anchor="_bookmark44">
        <w:r>
          <w:rPr>
            <w:spacing w:val="-23"/>
          </w:rPr>
          <w:t>图 </w:t>
        </w:r>
        <w:r>
          <w:rPr>
            <w:rFonts w:ascii="Times New Roman" w:eastAsia="Times New Roman"/>
          </w:rPr>
          <w:t>19</w:t>
        </w:r>
        <w:r>
          <w:rPr/>
          <w:t>、</w:t>
        </w:r>
        <w:r>
          <w:rPr>
            <w:rFonts w:ascii="Times New Roman" w:eastAsia="Times New Roman"/>
          </w:rPr>
          <w:t>TB006</w:t>
        </w:r>
        <w:r>
          <w:rPr>
            <w:rFonts w:ascii="Times New Roman" w:eastAsia="Times New Roman"/>
            <w:spacing w:val="7"/>
          </w:rPr>
          <w:t> </w:t>
        </w:r>
        <w:r>
          <w:rPr>
            <w:spacing w:val="-23"/>
          </w:rPr>
          <w:t>的 </w:t>
        </w:r>
        <w:r>
          <w:rPr>
            <w:rFonts w:ascii="Times New Roman" w:eastAsia="Times New Roman"/>
          </w:rPr>
          <w:t>Ib/II</w:t>
        </w:r>
        <w:r>
          <w:rPr>
            <w:rFonts w:ascii="Times New Roman" w:eastAsia="Times New Roman"/>
            <w:spacing w:val="5"/>
          </w:rPr>
          <w:t> </w:t>
        </w:r>
        <w:r>
          <w:rPr>
            <w:spacing w:val="2"/>
          </w:rPr>
          <w:t>期临床试验结果</w:t>
        </w:r>
        <w:r>
          <w:rPr>
            <w:rFonts w:ascii="Times New Roman" w:eastAsia="Times New Roman"/>
          </w:rPr>
          <w:t>................................................................- 25</w:t>
        </w:r>
        <w:r>
          <w:rPr>
            <w:rFonts w:ascii="Times New Roman" w:eastAsia="Times New Roman"/>
            <w:spacing w:val="3"/>
          </w:rPr>
          <w:t> -</w:t>
        </w:r>
      </w:hyperlink>
    </w:p>
    <w:p>
      <w:pPr>
        <w:spacing w:after="0"/>
        <w:jc w:val="both"/>
        <w:rPr>
          <w:rFonts w:ascii="Times New Roman" w:eastAsia="Times New Roman"/>
        </w:rPr>
        <w:sectPr>
          <w:headerReference w:type="default" r:id="rId10"/>
          <w:footerReference w:type="default" r:id="rId11"/>
          <w:pgSz w:w="11910" w:h="16840"/>
          <w:pgMar w:header="868" w:footer="1201" w:top="1400" w:bottom="1400" w:left="240" w:right="400"/>
          <w:pgNumType w:start="2"/>
        </w:sectPr>
      </w:pPr>
    </w:p>
    <w:p>
      <w:pPr>
        <w:pStyle w:val="BodyText"/>
        <w:spacing w:before="9"/>
        <w:rPr>
          <w:rFonts w:ascii="Times New Roman"/>
          <w:sz w:val="14"/>
        </w:rPr>
      </w:pPr>
    </w:p>
    <w:p>
      <w:pPr>
        <w:pStyle w:val="BodyText"/>
        <w:spacing w:line="20" w:lineRule="exact"/>
        <w:ind w:left="614"/>
        <w:rPr>
          <w:rFonts w:ascii="Times New Roman"/>
          <w:sz w:val="2"/>
        </w:rPr>
      </w:pPr>
      <w:r>
        <w:rPr>
          <w:rFonts w:ascii="Times New Roman"/>
          <w:sz w:val="2"/>
        </w:rPr>
        <w:pict>
          <v:group style="width:508.1pt;height:.75pt;mso-position-horizontal-relative:char;mso-position-vertical-relative:line" coordorigin="0,0" coordsize="10162,15">
            <v:rect style="position:absolute;left:0;top:0;width:10162;height:15" filled="true" fillcolor="#333366" stroked="false">
              <v:fill type="solid"/>
            </v:rect>
          </v:group>
        </w:pict>
      </w:r>
      <w:r>
        <w:rPr>
          <w:rFonts w:ascii="Times New Roman"/>
          <w:sz w:val="2"/>
        </w:rPr>
      </w:r>
    </w:p>
    <w:p>
      <w:pPr>
        <w:pStyle w:val="BodyText"/>
        <w:tabs>
          <w:tab w:pos="10005" w:val="left" w:leader="dot"/>
        </w:tabs>
        <w:spacing w:line="265" w:lineRule="exact"/>
        <w:ind w:left="3163"/>
        <w:rPr>
          <w:rFonts w:ascii="Times New Roman" w:eastAsia="Times New Roman"/>
        </w:rPr>
      </w:pPr>
      <w:hyperlink w:history="true" w:anchor="_bookmark45">
        <w:r>
          <w:rPr/>
          <w:t>图</w:t>
        </w:r>
        <w:r>
          <w:rPr>
            <w:spacing w:val="-49"/>
          </w:rPr>
          <w:t> </w:t>
        </w:r>
        <w:r>
          <w:rPr>
            <w:rFonts w:ascii="Times New Roman" w:eastAsia="Times New Roman"/>
          </w:rPr>
          <w:t>20</w:t>
        </w:r>
        <w:r>
          <w:rPr/>
          <w:t>、</w:t>
        </w:r>
        <w:r>
          <w:rPr>
            <w:rFonts w:ascii="Times New Roman" w:eastAsia="Times New Roman"/>
          </w:rPr>
          <w:t>ALZ-801</w:t>
        </w:r>
        <w:r>
          <w:rPr>
            <w:rFonts w:ascii="Times New Roman" w:eastAsia="Times New Roman"/>
            <w:spacing w:val="-1"/>
          </w:rPr>
          <w:t> </w:t>
        </w:r>
        <w:r>
          <w:rPr/>
          <w:t>作</w:t>
        </w:r>
        <w:r>
          <w:rPr>
            <w:spacing w:val="-3"/>
          </w:rPr>
          <w:t>用</w:t>
        </w:r>
        <w:r>
          <w:rPr/>
          <w:t>于</w:t>
        </w:r>
        <w:r>
          <w:rPr>
            <w:spacing w:val="-52"/>
          </w:rPr>
          <w:t> </w:t>
        </w:r>
        <w:r>
          <w:rPr>
            <w:rFonts w:ascii="Times New Roman" w:eastAsia="Times New Roman"/>
          </w:rPr>
          <w:t>AD</w:t>
        </w:r>
        <w:r>
          <w:rPr>
            <w:rFonts w:ascii="Times New Roman" w:eastAsia="Times New Roman"/>
            <w:spacing w:val="4"/>
          </w:rPr>
          <w:t> </w:t>
        </w:r>
        <w:r>
          <w:rPr>
            <w:spacing w:val="-3"/>
          </w:rPr>
          <w:t>中</w:t>
        </w:r>
        <w:r>
          <w:rPr/>
          <w:t>所</w:t>
        </w:r>
        <w:r>
          <w:rPr>
            <w:spacing w:val="-3"/>
          </w:rPr>
          <w:t>有</w:t>
        </w:r>
        <w:r>
          <w:rPr/>
          <w:t>抗</w:t>
        </w:r>
        <w:r>
          <w:rPr>
            <w:spacing w:val="-3"/>
          </w:rPr>
          <w:t>淀</w:t>
        </w:r>
        <w:r>
          <w:rPr/>
          <w:t>粉</w:t>
        </w:r>
        <w:r>
          <w:rPr>
            <w:spacing w:val="-3"/>
          </w:rPr>
          <w:t>样</w:t>
        </w:r>
        <w:r>
          <w:rPr/>
          <w:t>蛋</w:t>
        </w:r>
        <w:r>
          <w:rPr>
            <w:spacing w:val="-3"/>
          </w:rPr>
          <w:t>白药</w:t>
        </w:r>
        <w:r>
          <w:rPr/>
          <w:t>物的</w:t>
        </w:r>
        <w:r>
          <w:rPr>
            <w:spacing w:val="-3"/>
          </w:rPr>
          <w:t>上</w:t>
        </w:r>
        <w:r>
          <w:rPr/>
          <w:t>游</w:t>
        </w:r>
        <w:r>
          <w:rPr>
            <w:rFonts w:ascii="Times New Roman" w:eastAsia="Times New Roman"/>
          </w:rPr>
          <w:tab/>
        </w:r>
        <w:r>
          <w:rPr>
            <w:rFonts w:ascii="Times New Roman" w:eastAsia="Times New Roman"/>
            <w:spacing w:val="6"/>
          </w:rPr>
          <w:t>.- </w:t>
        </w:r>
        <w:r>
          <w:rPr>
            <w:rFonts w:ascii="Times New Roman" w:eastAsia="Times New Roman"/>
          </w:rPr>
          <w:t>26</w:t>
        </w:r>
        <w:r>
          <w:rPr>
            <w:rFonts w:ascii="Times New Roman" w:eastAsia="Times New Roman"/>
            <w:spacing w:val="-4"/>
          </w:rPr>
          <w:t> </w:t>
        </w:r>
        <w:r>
          <w:rPr>
            <w:rFonts w:ascii="Times New Roman" w:eastAsia="Times New Roman"/>
          </w:rPr>
          <w:t>-</w:t>
        </w:r>
      </w:hyperlink>
    </w:p>
    <w:p>
      <w:pPr>
        <w:pStyle w:val="BodyText"/>
        <w:spacing w:before="4"/>
        <w:ind w:left="3163"/>
        <w:rPr>
          <w:rFonts w:ascii="Times New Roman" w:eastAsia="Times New Roman"/>
        </w:rPr>
      </w:pPr>
      <w:hyperlink w:history="true" w:anchor="_bookmark48">
        <w:r>
          <w:rPr>
            <w:spacing w:val="-18"/>
          </w:rPr>
          <w:t>图 </w:t>
        </w:r>
        <w:r>
          <w:rPr>
            <w:rFonts w:ascii="Times New Roman" w:eastAsia="Times New Roman"/>
          </w:rPr>
          <w:t>21</w:t>
        </w:r>
        <w:r>
          <w:rPr>
            <w:spacing w:val="1"/>
          </w:rPr>
          <w:t>、脑刺激装置示意图</w:t>
        </w:r>
        <w:r>
          <w:rPr>
            <w:rFonts w:ascii="Times New Roman" w:eastAsia="Times New Roman"/>
          </w:rPr>
          <w:t>.....................................................................................- 31</w:t>
        </w:r>
        <w:r>
          <w:rPr>
            <w:rFonts w:ascii="Times New Roman" w:eastAsia="Times New Roman"/>
            <w:spacing w:val="8"/>
          </w:rPr>
          <w:t> -</w:t>
        </w:r>
      </w:hyperlink>
    </w:p>
    <w:p>
      <w:pPr>
        <w:pStyle w:val="BodyText"/>
        <w:spacing w:line="242" w:lineRule="auto" w:before="2"/>
        <w:ind w:left="3163" w:right="623"/>
        <w:rPr>
          <w:rFonts w:ascii="Times New Roman" w:eastAsia="Times New Roman"/>
        </w:rPr>
      </w:pPr>
      <w:hyperlink w:history="true" w:anchor="_bookmark50">
        <w:r>
          <w:rPr>
            <w:spacing w:val="-22"/>
          </w:rPr>
          <w:t>图 </w:t>
        </w:r>
        <w:r>
          <w:rPr>
            <w:rFonts w:ascii="Times New Roman" w:eastAsia="Times New Roman"/>
          </w:rPr>
          <w:t>22</w:t>
        </w:r>
        <w:r>
          <w:rPr>
            <w:spacing w:val="-3"/>
          </w:rPr>
          <w:t>、国内公立医院抗痴呆药物市场情况</w:t>
        </w:r>
        <w:r>
          <w:rPr/>
          <w:t>（</w:t>
        </w:r>
        <w:r>
          <w:rPr>
            <w:spacing w:val="-3"/>
          </w:rPr>
          <w:t>单位：亿元</w:t>
        </w:r>
        <w:r>
          <w:rPr/>
          <w:t>）</w:t>
        </w:r>
        <w:r>
          <w:rPr>
            <w:rFonts w:ascii="Times New Roman" w:eastAsia="Times New Roman"/>
          </w:rPr>
          <w:t>..............................- 32</w:t>
        </w:r>
        <w:r>
          <w:rPr>
            <w:rFonts w:ascii="Times New Roman" w:eastAsia="Times New Roman"/>
            <w:spacing w:val="5"/>
          </w:rPr>
          <w:t> - </w:t>
        </w:r>
      </w:hyperlink>
      <w:hyperlink w:history="true" w:anchor="_bookmark51">
        <w:r>
          <w:rPr>
            <w:spacing w:val="19"/>
          </w:rPr>
          <w:t>图 </w:t>
        </w:r>
        <w:r>
          <w:rPr>
            <w:rFonts w:ascii="Times New Roman" w:eastAsia="Times New Roman"/>
          </w:rPr>
          <w:t>23</w:t>
        </w:r>
        <w:r>
          <w:rPr>
            <w:spacing w:val="-3"/>
          </w:rPr>
          <w:t>、国内公立医院抗痴呆药物市场情况</w:t>
        </w:r>
        <w:r>
          <w:rPr/>
          <w:t>（</w:t>
        </w:r>
        <w:r>
          <w:rPr>
            <w:spacing w:val="-3"/>
          </w:rPr>
          <w:t>剔除促智类，无甘露特钠</w:t>
        </w:r>
        <w:r>
          <w:rPr/>
          <w:t>）（</w:t>
        </w:r>
        <w:r>
          <w:rPr>
            <w:spacing w:val="-5"/>
          </w:rPr>
          <w:t>单位： </w:t>
        </w:r>
      </w:hyperlink>
      <w:hyperlink w:history="true" w:anchor="_bookmark51">
        <w:r>
          <w:rPr/>
          <w:t>亿元）</w:t>
        </w:r>
        <w:r>
          <w:rPr>
            <w:spacing w:val="-70"/>
          </w:rPr>
          <w:t> </w:t>
        </w:r>
        <w:r>
          <w:rPr>
            <w:rFonts w:ascii="Times New Roman" w:eastAsia="Times New Roman"/>
          </w:rPr>
          <w:t>......................................................................................................................- 32</w:t>
        </w:r>
        <w:r>
          <w:rPr>
            <w:rFonts w:ascii="Times New Roman" w:eastAsia="Times New Roman"/>
            <w:spacing w:val="5"/>
          </w:rPr>
          <w:t> -</w:t>
        </w:r>
      </w:hyperlink>
    </w:p>
    <w:p>
      <w:pPr>
        <w:pStyle w:val="BodyText"/>
        <w:rPr>
          <w:rFonts w:ascii="Times New Roman"/>
          <w:sz w:val="22"/>
        </w:rPr>
      </w:pPr>
    </w:p>
    <w:p>
      <w:pPr>
        <w:pStyle w:val="BodyText"/>
        <w:rPr>
          <w:rFonts w:ascii="Times New Roman"/>
          <w:sz w:val="22"/>
        </w:rPr>
      </w:pPr>
    </w:p>
    <w:p>
      <w:pPr>
        <w:pStyle w:val="BodyText"/>
        <w:rPr>
          <w:rFonts w:ascii="Times New Roman"/>
          <w:sz w:val="22"/>
        </w:rPr>
      </w:pPr>
    </w:p>
    <w:p>
      <w:pPr>
        <w:pStyle w:val="BodyText"/>
        <w:rPr>
          <w:rFonts w:ascii="Times New Roman"/>
          <w:sz w:val="22"/>
        </w:rPr>
      </w:pPr>
    </w:p>
    <w:p>
      <w:pPr>
        <w:pStyle w:val="BodyText"/>
        <w:spacing w:before="3"/>
        <w:rPr>
          <w:rFonts w:ascii="Times New Roman"/>
          <w:sz w:val="30"/>
        </w:rPr>
      </w:pPr>
    </w:p>
    <w:p>
      <w:pPr>
        <w:pStyle w:val="Heading1"/>
        <w:ind w:left="2433"/>
        <w:jc w:val="center"/>
      </w:pPr>
      <w:r>
        <w:rPr>
          <w:color w:val="333366"/>
        </w:rPr>
        <w:t>表目录</w:t>
      </w:r>
    </w:p>
    <w:p>
      <w:pPr>
        <w:pStyle w:val="BodyText"/>
        <w:spacing w:before="15"/>
        <w:rPr>
          <w:rFonts w:ascii="Microsoft JhengHei"/>
          <w:b/>
          <w:sz w:val="14"/>
        </w:rPr>
      </w:pPr>
    </w:p>
    <w:p>
      <w:pPr>
        <w:pStyle w:val="BodyText"/>
        <w:ind w:left="3163"/>
        <w:rPr>
          <w:rFonts w:ascii="Times New Roman" w:eastAsia="Times New Roman"/>
        </w:rPr>
      </w:pPr>
      <w:hyperlink w:history="true" w:anchor="_bookmark1">
        <w:r>
          <w:rPr>
            <w:spacing w:val="-18"/>
          </w:rPr>
          <w:t>表 </w:t>
        </w:r>
        <w:r>
          <w:rPr>
            <w:rFonts w:ascii="Times New Roman" w:eastAsia="Times New Roman"/>
          </w:rPr>
          <w:t>1</w:t>
        </w:r>
        <w:r>
          <w:rPr>
            <w:spacing w:val="2"/>
          </w:rPr>
          <w:t>、痴呆分型及比例</w:t>
        </w:r>
        <w:r>
          <w:rPr>
            <w:rFonts w:ascii="Times New Roman" w:eastAsia="Times New Roman"/>
          </w:rPr>
          <w:t>.............................................................................................- 4</w:t>
        </w:r>
        <w:r>
          <w:rPr>
            <w:rFonts w:ascii="Times New Roman" w:eastAsia="Times New Roman"/>
            <w:spacing w:val="8"/>
          </w:rPr>
          <w:t> -</w:t>
        </w:r>
      </w:hyperlink>
    </w:p>
    <w:p>
      <w:pPr>
        <w:pStyle w:val="BodyText"/>
        <w:spacing w:before="5"/>
        <w:ind w:left="3163"/>
        <w:rPr>
          <w:rFonts w:ascii="Times New Roman" w:eastAsia="Times New Roman"/>
        </w:rPr>
      </w:pPr>
      <w:hyperlink w:history="true" w:anchor="_bookmark2">
        <w:r>
          <w:rPr>
            <w:spacing w:val="-21"/>
          </w:rPr>
          <w:t>表 </w:t>
        </w:r>
        <w:r>
          <w:rPr>
            <w:rFonts w:ascii="Times New Roman" w:eastAsia="Times New Roman"/>
          </w:rPr>
          <w:t>2</w:t>
        </w:r>
        <w:r>
          <w:rPr>
            <w:spacing w:val="-3"/>
          </w:rPr>
          <w:t>、</w:t>
        </w:r>
        <w:r>
          <w:rPr>
            <w:rFonts w:ascii="Times New Roman" w:eastAsia="Times New Roman"/>
          </w:rPr>
          <w:t>AD</w:t>
        </w:r>
        <w:r>
          <w:rPr>
            <w:rFonts w:ascii="Times New Roman" w:eastAsia="Times New Roman"/>
            <w:spacing w:val="8"/>
          </w:rPr>
          <w:t> </w:t>
        </w:r>
        <w:r>
          <w:rPr>
            <w:spacing w:val="50"/>
          </w:rPr>
          <w:t>与</w:t>
        </w:r>
        <w:r>
          <w:rPr>
            <w:rFonts w:ascii="Times New Roman" w:eastAsia="Times New Roman"/>
          </w:rPr>
          <w:t>VD</w:t>
        </w:r>
        <w:r>
          <w:rPr>
            <w:rFonts w:ascii="Times New Roman" w:eastAsia="Times New Roman"/>
            <w:spacing w:val="8"/>
          </w:rPr>
          <w:t> </w:t>
        </w:r>
        <w:r>
          <w:rPr/>
          <w:t>的鉴别诊断</w:t>
        </w:r>
        <w:r>
          <w:rPr>
            <w:rFonts w:ascii="Times New Roman" w:eastAsia="Times New Roman"/>
          </w:rPr>
          <w:t>...................................................................................- 4</w:t>
        </w:r>
        <w:r>
          <w:rPr>
            <w:rFonts w:ascii="Times New Roman" w:eastAsia="Times New Roman"/>
            <w:spacing w:val="5"/>
          </w:rPr>
          <w:t> -</w:t>
        </w:r>
      </w:hyperlink>
    </w:p>
    <w:p>
      <w:pPr>
        <w:pStyle w:val="BodyText"/>
        <w:spacing w:before="2"/>
        <w:ind w:left="3163"/>
        <w:rPr>
          <w:rFonts w:ascii="Times New Roman" w:eastAsia="Times New Roman"/>
        </w:rPr>
      </w:pPr>
      <w:hyperlink w:history="true" w:anchor="_bookmark10">
        <w:r>
          <w:rPr>
            <w:spacing w:val="-18"/>
          </w:rPr>
          <w:t>表 </w:t>
        </w:r>
        <w:r>
          <w:rPr>
            <w:rFonts w:ascii="Times New Roman" w:eastAsia="Times New Roman"/>
          </w:rPr>
          <w:t>3</w:t>
        </w:r>
        <w:r>
          <w:rPr>
            <w:spacing w:val="4"/>
          </w:rPr>
          <w:t>、其他假说</w:t>
        </w:r>
        <w:r>
          <w:rPr>
            <w:rFonts w:ascii="Times New Roman" w:eastAsia="Times New Roman"/>
          </w:rPr>
          <w:t>.........................................................................................................- 7</w:t>
        </w:r>
        <w:r>
          <w:rPr>
            <w:rFonts w:ascii="Times New Roman" w:eastAsia="Times New Roman"/>
            <w:spacing w:val="8"/>
          </w:rPr>
          <w:t> -</w:t>
        </w:r>
      </w:hyperlink>
    </w:p>
    <w:p>
      <w:pPr>
        <w:pStyle w:val="BodyText"/>
        <w:spacing w:before="4"/>
        <w:ind w:left="3163"/>
        <w:rPr>
          <w:rFonts w:ascii="Times New Roman" w:eastAsia="Times New Roman"/>
        </w:rPr>
      </w:pPr>
      <w:hyperlink w:history="true" w:anchor="_bookmark24">
        <w:r>
          <w:rPr>
            <w:spacing w:val="-23"/>
          </w:rPr>
          <w:t>表 </w:t>
        </w:r>
        <w:r>
          <w:rPr>
            <w:rFonts w:ascii="Times New Roman" w:eastAsia="Times New Roman"/>
          </w:rPr>
          <w:t>4</w:t>
        </w:r>
        <w:r>
          <w:rPr>
            <w:spacing w:val="-3"/>
          </w:rPr>
          <w:t>、</w:t>
        </w:r>
        <w:r>
          <w:rPr>
            <w:rFonts w:ascii="Times New Roman" w:eastAsia="Times New Roman"/>
          </w:rPr>
          <w:t>AD</w:t>
        </w:r>
        <w:r>
          <w:rPr>
            <w:rFonts w:ascii="Times New Roman" w:eastAsia="Times New Roman"/>
            <w:spacing w:val="5"/>
          </w:rPr>
          <w:t> </w:t>
        </w:r>
        <w:r>
          <w:rPr>
            <w:spacing w:val="-3"/>
          </w:rPr>
          <w:t>诊断标准发展历程，</w:t>
        </w:r>
        <w:r>
          <w:rPr>
            <w:rFonts w:ascii="Times New Roman" w:eastAsia="Times New Roman"/>
          </w:rPr>
          <w:t>1984-2023</w:t>
        </w:r>
        <w:r>
          <w:rPr>
            <w:rFonts w:ascii="Times New Roman" w:eastAsia="Times New Roman"/>
            <w:spacing w:val="7"/>
          </w:rPr>
          <w:t> </w:t>
        </w:r>
        <w:r>
          <w:rPr>
            <w:spacing w:val="-28"/>
          </w:rPr>
          <w:t>年 </w:t>
        </w:r>
        <w:r>
          <w:rPr>
            <w:rFonts w:ascii="Times New Roman" w:eastAsia="Times New Roman"/>
          </w:rPr>
          <w:t>......................................................- 12</w:t>
        </w:r>
        <w:r>
          <w:rPr>
            <w:rFonts w:ascii="Times New Roman" w:eastAsia="Times New Roman"/>
            <w:spacing w:val="4"/>
          </w:rPr>
          <w:t> -</w:t>
        </w:r>
      </w:hyperlink>
    </w:p>
    <w:p>
      <w:pPr>
        <w:pStyle w:val="BodyText"/>
        <w:spacing w:before="2"/>
        <w:ind w:left="3163"/>
        <w:rPr>
          <w:rFonts w:ascii="Times New Roman" w:eastAsia="Times New Roman"/>
        </w:rPr>
      </w:pPr>
      <w:hyperlink w:history="true" w:anchor="_bookmark26">
        <w:r>
          <w:rPr>
            <w:spacing w:val="-20"/>
          </w:rPr>
          <w:t>表 </w:t>
        </w:r>
        <w:r>
          <w:rPr>
            <w:rFonts w:ascii="Times New Roman" w:eastAsia="Times New Roman"/>
          </w:rPr>
          <w:t>5</w:t>
        </w:r>
        <w:r>
          <w:rPr>
            <w:spacing w:val="-3"/>
          </w:rPr>
          <w:t>、</w:t>
        </w:r>
        <w:r>
          <w:rPr>
            <w:rFonts w:ascii="Times New Roman" w:eastAsia="Times New Roman"/>
          </w:rPr>
          <w:t>AD</w:t>
        </w:r>
        <w:r>
          <w:rPr>
            <w:rFonts w:ascii="Times New Roman" w:eastAsia="Times New Roman"/>
            <w:spacing w:val="11"/>
          </w:rPr>
          <w:t> </w:t>
        </w:r>
        <w:r>
          <w:rPr>
            <w:spacing w:val="-3"/>
          </w:rPr>
          <w:t>的临床诊断技术对比</w:t>
        </w:r>
        <w:r>
          <w:rPr>
            <w:rFonts w:ascii="Times New Roman" w:eastAsia="Times New Roman"/>
          </w:rPr>
          <w:t>.............................................................................- 13</w:t>
        </w:r>
        <w:r>
          <w:rPr>
            <w:rFonts w:ascii="Times New Roman" w:eastAsia="Times New Roman"/>
            <w:spacing w:val="6"/>
          </w:rPr>
          <w:t> -</w:t>
        </w:r>
      </w:hyperlink>
    </w:p>
    <w:p>
      <w:pPr>
        <w:pStyle w:val="BodyText"/>
        <w:spacing w:line="242" w:lineRule="auto" w:before="5"/>
        <w:ind w:left="3163" w:right="737"/>
        <w:jc w:val="both"/>
        <w:rPr>
          <w:rFonts w:ascii="Times New Roman" w:eastAsia="Times New Roman"/>
        </w:rPr>
      </w:pPr>
      <w:hyperlink w:history="true" w:anchor="_bookmark29">
        <w:r>
          <w:rPr>
            <w:spacing w:val="-18"/>
          </w:rPr>
          <w:t>表 </w:t>
        </w:r>
        <w:r>
          <w:rPr>
            <w:rFonts w:ascii="Times New Roman" w:eastAsia="Times New Roman"/>
          </w:rPr>
          <w:t>6</w:t>
        </w:r>
        <w:r>
          <w:rPr>
            <w:spacing w:val="-3"/>
          </w:rPr>
          <w:t>、国内已获批阿尔茨海默病检测试剂盒（不完全列举</w:t>
        </w:r>
        <w:r>
          <w:rPr/>
          <w:t>）</w:t>
        </w:r>
        <w:r>
          <w:rPr>
            <w:rFonts w:ascii="Times New Roman" w:eastAsia="Times New Roman"/>
          </w:rPr>
          <w:t>............................- 15</w:t>
        </w:r>
        <w:r>
          <w:rPr>
            <w:rFonts w:ascii="Times New Roman" w:eastAsia="Times New Roman"/>
            <w:spacing w:val="8"/>
          </w:rPr>
          <w:t> - </w:t>
        </w:r>
      </w:hyperlink>
      <w:hyperlink w:history="true" w:anchor="_bookmark31">
        <w:r>
          <w:rPr>
            <w:spacing w:val="-19"/>
          </w:rPr>
          <w:t>表 </w:t>
        </w:r>
        <w:r>
          <w:rPr>
            <w:rFonts w:ascii="Times New Roman" w:eastAsia="Times New Roman"/>
          </w:rPr>
          <w:t>7</w:t>
        </w:r>
        <w:r>
          <w:rPr>
            <w:spacing w:val="-11"/>
          </w:rPr>
          <w:t>、全球用于 </w:t>
        </w:r>
        <w:r>
          <w:rPr>
            <w:rFonts w:ascii="Times New Roman" w:eastAsia="Times New Roman"/>
          </w:rPr>
          <w:t>AD</w:t>
        </w:r>
        <w:r>
          <w:rPr>
            <w:rFonts w:ascii="Times New Roman" w:eastAsia="Times New Roman"/>
            <w:spacing w:val="4"/>
          </w:rPr>
          <w:t> </w:t>
        </w:r>
        <w:r>
          <w:rPr>
            <w:spacing w:val="-9"/>
          </w:rPr>
          <w:t>患者影像识别的 </w:t>
        </w:r>
        <w:r>
          <w:rPr>
            <w:rFonts w:ascii="Times New Roman" w:eastAsia="Times New Roman"/>
          </w:rPr>
          <w:t>PET</w:t>
        </w:r>
        <w:r>
          <w:rPr>
            <w:rFonts w:ascii="Times New Roman" w:eastAsia="Times New Roman"/>
            <w:spacing w:val="7"/>
          </w:rPr>
          <w:t> </w:t>
        </w:r>
        <w:r>
          <w:rPr>
            <w:spacing w:val="-2"/>
          </w:rPr>
          <w:t>成像剂的临床研发进展</w:t>
        </w:r>
        <w:r>
          <w:rPr>
            <w:rFonts w:ascii="Times New Roman" w:eastAsia="Times New Roman"/>
          </w:rPr>
          <w:t>...................- 16</w:t>
        </w:r>
        <w:r>
          <w:rPr>
            <w:rFonts w:ascii="Times New Roman" w:eastAsia="Times New Roman"/>
            <w:spacing w:val="3"/>
          </w:rPr>
          <w:t> - </w:t>
        </w:r>
      </w:hyperlink>
      <w:hyperlink w:history="true" w:anchor="_bookmark42">
        <w:r>
          <w:rPr>
            <w:spacing w:val="-22"/>
          </w:rPr>
          <w:t>表 </w:t>
        </w:r>
        <w:r>
          <w:rPr>
            <w:rFonts w:ascii="Times New Roman" w:eastAsia="Times New Roman"/>
          </w:rPr>
          <w:t>8</w:t>
        </w:r>
        <w:r>
          <w:rPr>
            <w:spacing w:val="-3"/>
          </w:rPr>
          <w:t>、</w:t>
        </w:r>
        <w:r>
          <w:rPr>
            <w:rFonts w:ascii="Times New Roman" w:eastAsia="Times New Roman"/>
          </w:rPr>
          <w:t>Lecanemab</w:t>
        </w:r>
        <w:r>
          <w:rPr>
            <w:rFonts w:ascii="Times New Roman" w:eastAsia="Times New Roman"/>
            <w:spacing w:val="2"/>
          </w:rPr>
          <w:t> </w:t>
        </w:r>
        <w:r>
          <w:rPr>
            <w:spacing w:val="50"/>
          </w:rPr>
          <w:t>和</w:t>
        </w:r>
        <w:r>
          <w:rPr>
            <w:rFonts w:ascii="Times New Roman" w:eastAsia="Times New Roman"/>
          </w:rPr>
          <w:t>Donanemab</w:t>
        </w:r>
        <w:r>
          <w:rPr>
            <w:rFonts w:ascii="Times New Roman" w:eastAsia="Times New Roman"/>
            <w:spacing w:val="5"/>
          </w:rPr>
          <w:t> </w:t>
        </w:r>
        <w:r>
          <w:rPr>
            <w:spacing w:val="-24"/>
          </w:rPr>
          <w:t>的 </w:t>
        </w:r>
        <w:r>
          <w:rPr>
            <w:rFonts w:ascii="Times New Roman" w:eastAsia="Times New Roman"/>
          </w:rPr>
          <w:t>III</w:t>
        </w:r>
        <w:r>
          <w:rPr>
            <w:rFonts w:ascii="Times New Roman" w:eastAsia="Times New Roman"/>
            <w:spacing w:val="4"/>
          </w:rPr>
          <w:t> </w:t>
        </w:r>
        <w:r>
          <w:rPr>
            <w:spacing w:val="-1"/>
          </w:rPr>
          <w:t>期临床试验对比</w:t>
        </w:r>
        <w:r>
          <w:rPr>
            <w:rFonts w:ascii="Times New Roman" w:eastAsia="Times New Roman"/>
          </w:rPr>
          <w:t>.....................................- 24</w:t>
        </w:r>
        <w:r>
          <w:rPr>
            <w:rFonts w:ascii="Times New Roman" w:eastAsia="Times New Roman"/>
            <w:spacing w:val="2"/>
          </w:rPr>
          <w:t> -</w:t>
        </w:r>
      </w:hyperlink>
    </w:p>
    <w:p>
      <w:pPr>
        <w:pStyle w:val="BodyText"/>
        <w:spacing w:before="1"/>
        <w:ind w:left="3163"/>
        <w:jc w:val="both"/>
        <w:rPr>
          <w:rFonts w:ascii="Times New Roman" w:eastAsia="Times New Roman"/>
        </w:rPr>
      </w:pPr>
      <w:hyperlink w:history="true" w:anchor="_bookmark46">
        <w:r>
          <w:rPr>
            <w:spacing w:val="-21"/>
          </w:rPr>
          <w:t>表 </w:t>
        </w:r>
        <w:r>
          <w:rPr>
            <w:rFonts w:ascii="Times New Roman" w:eastAsia="Times New Roman"/>
          </w:rPr>
          <w:t>9</w:t>
        </w:r>
        <w:r>
          <w:rPr>
            <w:spacing w:val="-7"/>
          </w:rPr>
          <w:t>、国内处于临床阶段的 </w:t>
        </w:r>
        <w:r>
          <w:rPr>
            <w:rFonts w:ascii="Times New Roman" w:eastAsia="Times New Roman"/>
          </w:rPr>
          <w:t>AD</w:t>
        </w:r>
        <w:r>
          <w:rPr>
            <w:rFonts w:ascii="Times New Roman" w:eastAsia="Times New Roman"/>
            <w:spacing w:val="8"/>
          </w:rPr>
          <w:t> </w:t>
        </w:r>
        <w:r>
          <w:rPr>
            <w:spacing w:val="-2"/>
          </w:rPr>
          <w:t>治疗产品汇总</w:t>
        </w:r>
        <w:r>
          <w:rPr>
            <w:rFonts w:ascii="Times New Roman" w:eastAsia="Times New Roman"/>
          </w:rPr>
          <w:t>....................................................- 29</w:t>
        </w:r>
        <w:r>
          <w:rPr>
            <w:rFonts w:ascii="Times New Roman" w:eastAsia="Times New Roman"/>
            <w:spacing w:val="5"/>
          </w:rPr>
          <w:t> -</w:t>
        </w:r>
      </w:hyperlink>
    </w:p>
    <w:p>
      <w:pPr>
        <w:pStyle w:val="BodyText"/>
        <w:spacing w:before="4"/>
        <w:ind w:left="3163"/>
        <w:jc w:val="both"/>
        <w:rPr>
          <w:rFonts w:ascii="Times New Roman" w:eastAsia="Times New Roman"/>
        </w:rPr>
      </w:pPr>
      <w:hyperlink w:history="true" w:anchor="_bookmark52">
        <w:r>
          <w:rPr>
            <w:spacing w:val="-23"/>
          </w:rPr>
          <w:t>表 </w:t>
        </w:r>
        <w:r>
          <w:rPr>
            <w:rFonts w:ascii="Times New Roman" w:eastAsia="Times New Roman"/>
          </w:rPr>
          <w:t>10</w:t>
        </w:r>
        <w:r>
          <w:rPr>
            <w:spacing w:val="-6"/>
          </w:rPr>
          <w:t>、重点省市公立医院终端抗痴呆药 </w:t>
        </w:r>
        <w:r>
          <w:rPr>
            <w:rFonts w:ascii="Times New Roman" w:eastAsia="Times New Roman"/>
          </w:rPr>
          <w:t>TOP10</w:t>
        </w:r>
        <w:r>
          <w:rPr>
            <w:rFonts w:ascii="Times New Roman" w:eastAsia="Times New Roman"/>
            <w:spacing w:val="8"/>
          </w:rPr>
          <w:t> </w:t>
        </w:r>
        <w:r>
          <w:rPr>
            <w:spacing w:val="12"/>
          </w:rPr>
          <w:t>厂商</w:t>
        </w:r>
        <w:r>
          <w:rPr>
            <w:rFonts w:ascii="Times New Roman" w:eastAsia="Times New Roman"/>
          </w:rPr>
          <w:t>........................................- 32</w:t>
        </w:r>
        <w:r>
          <w:rPr>
            <w:rFonts w:ascii="Times New Roman" w:eastAsia="Times New Roman"/>
            <w:spacing w:val="4"/>
          </w:rPr>
          <w:t> -</w:t>
        </w:r>
      </w:hyperlink>
    </w:p>
    <w:p>
      <w:pPr>
        <w:spacing w:after="0"/>
        <w:jc w:val="both"/>
        <w:rPr>
          <w:rFonts w:ascii="Times New Roman" w:eastAsia="Times New Roman"/>
        </w:rPr>
        <w:sectPr>
          <w:pgSz w:w="11910" w:h="16840"/>
          <w:pgMar w:header="868" w:footer="1201" w:top="1400" w:bottom="1400" w:left="240" w:right="400"/>
        </w:sectPr>
      </w:pPr>
    </w:p>
    <w:p>
      <w:pPr>
        <w:pStyle w:val="BodyText"/>
        <w:spacing w:before="9"/>
        <w:rPr>
          <w:rFonts w:ascii="Times New Roman"/>
          <w:sz w:val="14"/>
        </w:rPr>
      </w:pPr>
    </w:p>
    <w:p>
      <w:pPr>
        <w:pStyle w:val="BodyText"/>
        <w:spacing w:line="20" w:lineRule="exact"/>
        <w:ind w:left="614"/>
        <w:rPr>
          <w:rFonts w:ascii="Times New Roman"/>
          <w:sz w:val="2"/>
        </w:rPr>
      </w:pPr>
      <w:r>
        <w:rPr>
          <w:rFonts w:ascii="Times New Roman"/>
          <w:sz w:val="2"/>
        </w:rPr>
        <w:pict>
          <v:group style="width:508.1pt;height:.75pt;mso-position-horizontal-relative:char;mso-position-vertical-relative:line" coordorigin="0,0" coordsize="10162,15">
            <v:rect style="position:absolute;left:0;top:0;width:10162;height:15" filled="true" fillcolor="#333366" stroked="false">
              <v:fill type="solid"/>
            </v:rect>
          </v:group>
        </w:pict>
      </w:r>
      <w:r>
        <w:rPr>
          <w:rFonts w:ascii="Times New Roman"/>
          <w:sz w:val="2"/>
        </w:rPr>
      </w:r>
    </w:p>
    <w:p>
      <w:pPr>
        <w:spacing w:line="312" w:lineRule="exact" w:before="0"/>
        <w:ind w:left="3163" w:right="0" w:firstLine="0"/>
        <w:jc w:val="left"/>
        <w:rPr>
          <w:rFonts w:ascii="Microsoft JhengHei" w:eastAsia="Microsoft JhengHei" w:hint="eastAsia"/>
          <w:b/>
          <w:sz w:val="21"/>
        </w:rPr>
      </w:pPr>
      <w:r>
        <w:rPr>
          <w:rFonts w:ascii="Microsoft JhengHei" w:eastAsia="Microsoft JhengHei" w:hint="eastAsia"/>
          <w:b/>
          <w:color w:val="CE1200"/>
          <w:sz w:val="21"/>
        </w:rPr>
        <w:t>报告正文</w:t>
      </w:r>
    </w:p>
    <w:p>
      <w:pPr>
        <w:pStyle w:val="BodyText"/>
        <w:spacing w:before="2"/>
        <w:rPr>
          <w:rFonts w:ascii="Microsoft JhengHei"/>
          <w:b/>
          <w:sz w:val="11"/>
        </w:rPr>
      </w:pPr>
    </w:p>
    <w:p>
      <w:pPr>
        <w:pStyle w:val="Heading1"/>
        <w:numPr>
          <w:ilvl w:val="0"/>
          <w:numId w:val="3"/>
        </w:numPr>
        <w:tabs>
          <w:tab w:pos="3453" w:val="left" w:leader="none"/>
        </w:tabs>
        <w:spacing w:line="240" w:lineRule="auto" w:before="0" w:after="0"/>
        <w:ind w:left="3452" w:right="0" w:hanging="290"/>
        <w:jc w:val="left"/>
      </w:pPr>
      <w:bookmarkStart w:name="_bookmark0" w:id="1"/>
      <w:bookmarkEnd w:id="1"/>
      <w:r>
        <w:rPr>
          <w:b w:val="0"/>
        </w:rPr>
      </w:r>
      <w:bookmarkStart w:name="_bookmark0" w:id="2"/>
      <w:bookmarkEnd w:id="2"/>
      <w:r>
        <w:rPr>
          <w:color w:val="333366"/>
        </w:rPr>
        <w:t>病理学和流行病学</w:t>
      </w:r>
    </w:p>
    <w:p>
      <w:pPr>
        <w:pStyle w:val="BodyText"/>
        <w:spacing w:before="14"/>
        <w:rPr>
          <w:rFonts w:ascii="Microsoft JhengHei"/>
          <w:b/>
          <w:sz w:val="14"/>
        </w:rPr>
      </w:pPr>
    </w:p>
    <w:p>
      <w:pPr>
        <w:pStyle w:val="BodyText"/>
        <w:spacing w:line="304" w:lineRule="auto"/>
        <w:ind w:left="3163" w:right="620"/>
      </w:pPr>
      <w:r>
        <w:rPr>
          <w:spacing w:val="-21"/>
        </w:rPr>
        <w:t>痴呆</w:t>
      </w:r>
      <w:r>
        <w:rPr>
          <w:spacing w:val="-6"/>
        </w:rPr>
        <w:t>（</w:t>
      </w:r>
      <w:r>
        <w:rPr>
          <w:rFonts w:ascii="Times New Roman" w:hAnsi="Times New Roman" w:eastAsia="Times New Roman"/>
          <w:spacing w:val="-6"/>
        </w:rPr>
        <w:t>dementia</w:t>
      </w:r>
      <w:r>
        <w:rPr>
          <w:spacing w:val="-6"/>
        </w:rPr>
        <w:t>）</w:t>
      </w:r>
      <w:r>
        <w:rPr>
          <w:spacing w:val="-5"/>
        </w:rPr>
        <w:t>是由于脑功能障碍而产生的获得性和持续性智能障碍综合征，变</w:t>
      </w:r>
      <w:r>
        <w:rPr>
          <w:spacing w:val="6"/>
        </w:rPr>
        <w:t>性病性痴呆是指大脑出现退行性病变的痴呆类型。阿尔茨海默病</w:t>
      </w:r>
      <w:r>
        <w:rPr/>
        <w:t>（</w:t>
      </w:r>
      <w:r>
        <w:rPr>
          <w:rFonts w:ascii="Times New Roman" w:hAnsi="Times New Roman" w:eastAsia="Times New Roman"/>
        </w:rPr>
        <w:t>Alzheimer's </w:t>
      </w:r>
      <w:r>
        <w:rPr>
          <w:rFonts w:ascii="Times New Roman" w:hAnsi="Times New Roman" w:eastAsia="Times New Roman"/>
          <w:spacing w:val="-7"/>
        </w:rPr>
        <w:t>disease</w:t>
      </w:r>
      <w:r>
        <w:rPr>
          <w:spacing w:val="-7"/>
        </w:rPr>
        <w:t>，</w:t>
      </w:r>
      <w:r>
        <w:rPr>
          <w:rFonts w:ascii="Times New Roman" w:hAnsi="Times New Roman" w:eastAsia="Times New Roman"/>
          <w:spacing w:val="-7"/>
        </w:rPr>
        <w:t>AD</w:t>
      </w:r>
      <w:r>
        <w:rPr>
          <w:spacing w:val="-7"/>
        </w:rPr>
        <w:t>）</w:t>
      </w:r>
      <w:r>
        <w:rPr>
          <w:spacing w:val="-9"/>
        </w:rPr>
        <w:t>属于变性病性痴呆，患者数量约占痴呆的 </w:t>
      </w:r>
      <w:r>
        <w:rPr>
          <w:rFonts w:ascii="Times New Roman" w:hAnsi="Times New Roman" w:eastAsia="Times New Roman"/>
        </w:rPr>
        <w:t>60~70%</w:t>
      </w:r>
      <w:r>
        <w:rPr>
          <w:spacing w:val="-32"/>
        </w:rPr>
        <w:t>。</w:t>
      </w:r>
      <w:r>
        <w:rPr>
          <w:rFonts w:ascii="Times New Roman" w:hAnsi="Times New Roman" w:eastAsia="Times New Roman"/>
        </w:rPr>
        <w:t>AD </w:t>
      </w:r>
      <w:r>
        <w:rPr>
          <w:spacing w:val="-3"/>
        </w:rPr>
        <w:t>的显著特征是β</w:t>
      </w:r>
      <w:r>
        <w:rPr>
          <w:rFonts w:ascii="Times New Roman" w:hAnsi="Times New Roman" w:eastAsia="Times New Roman"/>
          <w:spacing w:val="-3"/>
        </w:rPr>
        <w:t>-</w:t>
      </w:r>
      <w:r>
        <w:rPr>
          <w:spacing w:val="2"/>
        </w:rPr>
        <w:t>淀粉样蛋白和</w:t>
      </w:r>
      <w:r>
        <w:rPr>
          <w:rFonts w:ascii="Times New Roman" w:hAnsi="Times New Roman" w:eastAsia="Times New Roman"/>
          <w:spacing w:val="-6"/>
        </w:rPr>
        <w:t>Tau </w:t>
      </w:r>
      <w:r>
        <w:rPr>
          <w:spacing w:val="-9"/>
        </w:rPr>
        <w:t>蛋白在大脑中积聚到阻碍正常认知功能，通常表现为记忆、</w:t>
      </w:r>
      <w:r>
        <w:rPr>
          <w:spacing w:val="-5"/>
        </w:rPr>
        <w:t>抽象思维、判断、行为和情绪的变化，并最终干扰对身体的物理控制。</w:t>
      </w:r>
    </w:p>
    <w:p>
      <w:pPr>
        <w:pStyle w:val="BodyText"/>
        <w:spacing w:before="9"/>
        <w:rPr>
          <w:sz w:val="17"/>
        </w:rPr>
      </w:pPr>
    </w:p>
    <w:p>
      <w:pPr>
        <w:pStyle w:val="Heading3"/>
        <w:spacing w:after="21"/>
        <w:ind w:left="3272"/>
      </w:pPr>
      <w:bookmarkStart w:name="_bookmark1" w:id="3"/>
      <w:bookmarkEnd w:id="3"/>
      <w:r>
        <w:rPr>
          <w:b w:val="0"/>
        </w:rPr>
      </w:r>
      <w:r>
        <w:rPr/>
        <w:t>表 </w:t>
      </w:r>
      <w:r>
        <w:rPr>
          <w:rFonts w:ascii="Times New Roman" w:eastAsia="Times New Roman"/>
        </w:rPr>
        <w:t>1</w:t>
      </w:r>
      <w:r>
        <w:rPr/>
        <w:t>、痴呆分型及比例</w:t>
      </w:r>
    </w:p>
    <w:tbl>
      <w:tblPr>
        <w:tblW w:w="0" w:type="auto"/>
        <w:jc w:val="left"/>
        <w:tblInd w:w="31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370"/>
      </w:tblGrid>
      <w:tr>
        <w:trPr>
          <w:trHeight w:val="373" w:hRule="atLeast"/>
        </w:trPr>
        <w:tc>
          <w:tcPr>
            <w:tcW w:w="7370" w:type="dxa"/>
            <w:tcBorders>
              <w:top w:val="single" w:sz="4" w:space="0" w:color="000000"/>
              <w:bottom w:val="single" w:sz="4" w:space="0" w:color="000000"/>
            </w:tcBorders>
            <w:shd w:val="clear" w:color="auto" w:fill="DEEBF6"/>
          </w:tcPr>
          <w:p>
            <w:pPr>
              <w:pStyle w:val="TableParagraph"/>
              <w:tabs>
                <w:tab w:pos="6423" w:val="left" w:leader="none"/>
              </w:tabs>
              <w:spacing w:line="315" w:lineRule="exact"/>
              <w:ind w:left="2739"/>
              <w:rPr>
                <w:rFonts w:ascii="Microsoft JhengHei" w:eastAsia="Microsoft JhengHei" w:hint="eastAsia"/>
                <w:b/>
                <w:sz w:val="18"/>
              </w:rPr>
            </w:pPr>
            <w:r>
              <w:rPr>
                <w:rFonts w:ascii="Microsoft JhengHei" w:eastAsia="Microsoft JhengHei" w:hint="eastAsia"/>
                <w:b/>
                <w:sz w:val="18"/>
              </w:rPr>
              <w:t>分型</w:t>
              <w:tab/>
              <w:t>占比</w:t>
            </w:r>
          </w:p>
        </w:tc>
      </w:tr>
    </w:tbl>
    <w:p>
      <w:pPr>
        <w:tabs>
          <w:tab w:pos="9450" w:val="left" w:leader="none"/>
        </w:tabs>
        <w:spacing w:before="10"/>
        <w:ind w:left="6459" w:right="0" w:firstLine="0"/>
        <w:jc w:val="left"/>
        <w:rPr>
          <w:rFonts w:ascii="Times New Roman" w:eastAsia="Times New Roman"/>
          <w:b/>
          <w:sz w:val="18"/>
        </w:rPr>
      </w:pPr>
      <w:r>
        <w:rPr>
          <w:rFonts w:ascii="Microsoft JhengHei" w:eastAsia="Microsoft JhengHei" w:hint="eastAsia"/>
          <w:b/>
          <w:sz w:val="18"/>
        </w:rPr>
        <w:t>阿尔茨海默病</w:t>
        <w:tab/>
      </w:r>
      <w:r>
        <w:rPr>
          <w:rFonts w:ascii="Times New Roman" w:eastAsia="Times New Roman"/>
          <w:b/>
          <w:sz w:val="18"/>
        </w:rPr>
        <w:t>60~70%</w:t>
      </w:r>
    </w:p>
    <w:p>
      <w:pPr>
        <w:spacing w:after="0"/>
        <w:jc w:val="left"/>
        <w:rPr>
          <w:rFonts w:ascii="Times New Roman" w:eastAsia="Times New Roman"/>
          <w:sz w:val="18"/>
        </w:rPr>
        <w:sectPr>
          <w:headerReference w:type="default" r:id="rId12"/>
          <w:footerReference w:type="default" r:id="rId13"/>
          <w:pgSz w:w="11910" w:h="16840"/>
          <w:pgMar w:header="868" w:footer="1172" w:top="1400" w:bottom="1360" w:left="240" w:right="400"/>
          <w:pgNumType w:start="4"/>
        </w:sectPr>
      </w:pPr>
    </w:p>
    <w:p>
      <w:pPr>
        <w:pStyle w:val="BodyText"/>
        <w:rPr>
          <w:rFonts w:ascii="Times New Roman"/>
          <w:b/>
          <w:sz w:val="18"/>
        </w:rPr>
      </w:pPr>
    </w:p>
    <w:p>
      <w:pPr>
        <w:pStyle w:val="BodyText"/>
        <w:spacing w:before="3"/>
        <w:rPr>
          <w:rFonts w:ascii="Times New Roman"/>
          <w:b/>
          <w:sz w:val="14"/>
        </w:rPr>
      </w:pPr>
    </w:p>
    <w:p>
      <w:pPr>
        <w:spacing w:before="1"/>
        <w:ind w:left="0" w:right="0" w:firstLine="0"/>
        <w:jc w:val="right"/>
        <w:rPr>
          <w:sz w:val="18"/>
        </w:rPr>
      </w:pPr>
      <w:r>
        <w:rPr>
          <w:sz w:val="18"/>
        </w:rPr>
        <w:t>变性病性痴呆</w:t>
      </w:r>
    </w:p>
    <w:p>
      <w:pPr>
        <w:pStyle w:val="BodyText"/>
        <w:spacing w:before="2"/>
        <w:rPr>
          <w:sz w:val="6"/>
        </w:rPr>
      </w:pPr>
      <w:r>
        <w:rPr/>
        <w:br w:type="column"/>
      </w:r>
      <w:r>
        <w:rPr>
          <w:sz w:val="6"/>
        </w:rPr>
      </w:r>
    </w:p>
    <w:p>
      <w:pPr>
        <w:pStyle w:val="BodyText"/>
        <w:spacing w:line="20" w:lineRule="exact"/>
        <w:ind w:left="339"/>
        <w:rPr>
          <w:sz w:val="2"/>
        </w:rPr>
      </w:pPr>
      <w:r>
        <w:rPr>
          <w:sz w:val="2"/>
        </w:rPr>
        <w:pict>
          <v:group style="width:276.8pt;height:.5pt;mso-position-horizontal-relative:char;mso-position-vertical-relative:line" coordorigin="0,0" coordsize="5536,10">
            <v:shape style="position:absolute;left:0;top:0;width:5536;height:10" coordorigin="0,0" coordsize="5536,10" path="m5536,0l4014,0,4004,0,0,0,0,10,4004,10,4014,10,5536,10,5536,0xe" filled="true" fillcolor="#000000" stroked="false">
              <v:path arrowok="t"/>
              <v:fill type="solid"/>
            </v:shape>
          </v:group>
        </w:pict>
      </w:r>
      <w:r>
        <w:rPr>
          <w:sz w:val="2"/>
        </w:rPr>
      </w:r>
    </w:p>
    <w:p>
      <w:pPr>
        <w:tabs>
          <w:tab w:pos="4763" w:val="left" w:leader="none"/>
        </w:tabs>
        <w:spacing w:before="57"/>
        <w:ind w:left="1561" w:right="0" w:firstLine="0"/>
        <w:jc w:val="left"/>
        <w:rPr>
          <w:sz w:val="18"/>
        </w:rPr>
      </w:pPr>
      <w:r>
        <w:rPr>
          <w:sz w:val="18"/>
        </w:rPr>
        <w:t>路易体痴呆病</w:t>
      </w:r>
      <w:r>
        <w:rPr>
          <w:rFonts w:ascii="Times New Roman" w:eastAsia="Times New Roman"/>
          <w:sz w:val="18"/>
        </w:rPr>
        <w:t>(DLB)</w:t>
        <w:tab/>
        <w:t>5</w:t>
      </w:r>
      <w:r>
        <w:rPr>
          <w:sz w:val="18"/>
        </w:rPr>
        <w:t>％</w:t>
      </w:r>
      <w:r>
        <w:rPr>
          <w:rFonts w:ascii="Times New Roman" w:eastAsia="Times New Roman"/>
          <w:sz w:val="18"/>
        </w:rPr>
        <w:t>-10</w:t>
      </w:r>
      <w:r>
        <w:rPr>
          <w:sz w:val="18"/>
        </w:rPr>
        <w:t>％</w:t>
      </w:r>
    </w:p>
    <w:p>
      <w:pPr>
        <w:pStyle w:val="BodyText"/>
        <w:spacing w:before="9"/>
        <w:rPr>
          <w:sz w:val="9"/>
        </w:rPr>
      </w:pPr>
    </w:p>
    <w:p>
      <w:pPr>
        <w:pStyle w:val="BodyText"/>
        <w:spacing w:line="20" w:lineRule="exact"/>
        <w:ind w:left="339"/>
        <w:rPr>
          <w:sz w:val="2"/>
        </w:rPr>
      </w:pPr>
      <w:r>
        <w:rPr>
          <w:sz w:val="2"/>
        </w:rPr>
        <w:pict>
          <v:group style="width:276.8pt;height:.5pt;mso-position-horizontal-relative:char;mso-position-vertical-relative:line" coordorigin="0,0" coordsize="5536,10">
            <v:shape style="position:absolute;left:0;top:0;width:5536;height:10" coordorigin="0,0" coordsize="5536,10" path="m5536,0l4014,0,4004,0,0,0,0,10,4004,10,4014,10,5536,10,5536,0xe" filled="true" fillcolor="#000000" stroked="false">
              <v:path arrowok="t"/>
              <v:fill type="solid"/>
            </v:shape>
          </v:group>
        </w:pict>
      </w:r>
      <w:r>
        <w:rPr>
          <w:sz w:val="2"/>
        </w:rPr>
      </w:r>
    </w:p>
    <w:p>
      <w:pPr>
        <w:tabs>
          <w:tab w:pos="4763" w:val="left" w:leader="none"/>
        </w:tabs>
        <w:spacing w:before="54"/>
        <w:ind w:left="1659" w:right="0" w:firstLine="0"/>
        <w:jc w:val="left"/>
        <w:rPr>
          <w:sz w:val="18"/>
        </w:rPr>
      </w:pPr>
      <w:r>
        <w:rPr>
          <w:sz w:val="18"/>
        </w:rPr>
        <w:t>额颞叶痴呆</w:t>
      </w:r>
      <w:r>
        <w:rPr>
          <w:rFonts w:ascii="Times New Roman" w:eastAsia="Times New Roman"/>
          <w:sz w:val="18"/>
        </w:rPr>
        <w:t>(FTD)</w:t>
        <w:tab/>
        <w:t>5</w:t>
      </w:r>
      <w:r>
        <w:rPr>
          <w:sz w:val="18"/>
        </w:rPr>
        <w:t>％</w:t>
      </w:r>
      <w:r>
        <w:rPr>
          <w:rFonts w:ascii="Times New Roman" w:eastAsia="Times New Roman"/>
          <w:sz w:val="18"/>
        </w:rPr>
        <w:t>-10</w:t>
      </w:r>
      <w:r>
        <w:rPr>
          <w:sz w:val="18"/>
        </w:rPr>
        <w:t>％</w:t>
      </w:r>
    </w:p>
    <w:p>
      <w:pPr>
        <w:spacing w:after="0"/>
        <w:jc w:val="left"/>
        <w:rPr>
          <w:sz w:val="18"/>
        </w:rPr>
        <w:sectPr>
          <w:type w:val="continuous"/>
          <w:pgSz w:w="11910" w:h="16840"/>
          <w:pgMar w:top="220" w:bottom="1400" w:left="240" w:right="400"/>
          <w:cols w:num="2" w:equalWidth="0">
            <w:col w:w="4622" w:space="40"/>
            <w:col w:w="6608"/>
          </w:cols>
        </w:sectPr>
      </w:pPr>
    </w:p>
    <w:p>
      <w:pPr>
        <w:pStyle w:val="BodyText"/>
        <w:spacing w:before="9" w:after="1"/>
        <w:rPr>
          <w:sz w:val="9"/>
        </w:rPr>
      </w:pPr>
    </w:p>
    <w:p>
      <w:pPr>
        <w:pStyle w:val="BodyText"/>
        <w:spacing w:line="20" w:lineRule="exact"/>
        <w:ind w:left="5000"/>
        <w:rPr>
          <w:sz w:val="2"/>
        </w:rPr>
      </w:pPr>
      <w:r>
        <w:rPr>
          <w:sz w:val="2"/>
        </w:rPr>
        <w:pict>
          <v:group style="width:276.8pt;height:.5pt;mso-position-horizontal-relative:char;mso-position-vertical-relative:line" coordorigin="0,0" coordsize="5536,10">
            <v:shape style="position:absolute;left:0;top:0;width:5536;height:10" coordorigin="0,0" coordsize="5536,10" path="m5536,0l4014,0,4004,0,0,0,0,10,4004,10,4014,10,5536,10,5536,0xe" filled="true" fillcolor="#000000" stroked="false">
              <v:path arrowok="t"/>
              <v:fill type="solid"/>
            </v:shape>
          </v:group>
        </w:pict>
      </w:r>
      <w:r>
        <w:rPr>
          <w:sz w:val="2"/>
        </w:rPr>
      </w:r>
    </w:p>
    <w:p>
      <w:pPr>
        <w:tabs>
          <w:tab w:pos="9580" w:val="left" w:leader="none"/>
        </w:tabs>
        <w:spacing w:before="56"/>
        <w:ind w:left="6222" w:right="0" w:firstLine="0"/>
        <w:jc w:val="left"/>
        <w:rPr>
          <w:rFonts w:ascii="Times New Roman" w:eastAsia="Times New Roman"/>
          <w:sz w:val="18"/>
        </w:rPr>
      </w:pPr>
      <w:r>
        <w:rPr>
          <w:sz w:val="18"/>
        </w:rPr>
        <w:t>帕金森病痴呆</w:t>
      </w:r>
      <w:r>
        <w:rPr>
          <w:rFonts w:ascii="Times New Roman" w:eastAsia="Times New Roman"/>
          <w:sz w:val="18"/>
        </w:rPr>
        <w:t>(PDD)</w:t>
        <w:tab/>
        <w:t>3.6%</w:t>
      </w:r>
    </w:p>
    <w:p>
      <w:pPr>
        <w:pStyle w:val="BodyText"/>
        <w:spacing w:before="7" w:after="1"/>
        <w:rPr>
          <w:rFonts w:ascii="Times New Roman"/>
          <w:sz w:val="10"/>
        </w:rPr>
      </w:pPr>
    </w:p>
    <w:p>
      <w:pPr>
        <w:pStyle w:val="BodyText"/>
        <w:spacing w:line="20" w:lineRule="exact"/>
        <w:ind w:left="3163"/>
        <w:rPr>
          <w:rFonts w:ascii="Times New Roman"/>
          <w:sz w:val="2"/>
        </w:rPr>
      </w:pPr>
      <w:r>
        <w:rPr>
          <w:rFonts w:ascii="Times New Roman"/>
          <w:sz w:val="2"/>
        </w:rPr>
        <w:pict>
          <v:group style="width:368.65pt;height:.5pt;mso-position-horizontal-relative:char;mso-position-vertical-relative:line" coordorigin="0,0" coordsize="7373,10">
            <v:shape style="position:absolute;left:0;top:0;width:7373;height:10" coordorigin="0,0" coordsize="7373,10" path="m1836,0l0,0,0,10,1836,10,1836,0xm7372,0l5850,0,5841,0,1846,0,1837,0,1837,10,1846,10,5841,10,5850,10,7372,10,7372,0xe" filled="true" fillcolor="#000000" stroked="false">
              <v:path arrowok="t"/>
              <v:fill type="solid"/>
            </v:shape>
          </v:group>
        </w:pict>
      </w:r>
      <w:r>
        <w:rPr>
          <w:rFonts w:ascii="Times New Roman"/>
          <w:sz w:val="2"/>
        </w:rPr>
      </w:r>
    </w:p>
    <w:p>
      <w:pPr>
        <w:spacing w:after="0" w:line="20" w:lineRule="exact"/>
        <w:rPr>
          <w:rFonts w:ascii="Times New Roman"/>
          <w:sz w:val="2"/>
        </w:rPr>
        <w:sectPr>
          <w:type w:val="continuous"/>
          <w:pgSz w:w="11910" w:h="16840"/>
          <w:pgMar w:top="220" w:bottom="1400" w:left="240" w:right="400"/>
        </w:sectPr>
      </w:pPr>
    </w:p>
    <w:p>
      <w:pPr>
        <w:pStyle w:val="BodyText"/>
        <w:rPr>
          <w:rFonts w:ascii="Times New Roman"/>
          <w:sz w:val="18"/>
        </w:rPr>
      </w:pPr>
    </w:p>
    <w:p>
      <w:pPr>
        <w:pStyle w:val="BodyText"/>
        <w:spacing w:before="1"/>
        <w:rPr>
          <w:rFonts w:ascii="Times New Roman"/>
        </w:rPr>
      </w:pPr>
    </w:p>
    <w:p>
      <w:pPr>
        <w:spacing w:before="1"/>
        <w:ind w:left="0" w:right="0" w:firstLine="0"/>
        <w:jc w:val="right"/>
        <w:rPr>
          <w:sz w:val="18"/>
        </w:rPr>
      </w:pPr>
      <w:r>
        <w:rPr>
          <w:sz w:val="18"/>
        </w:rPr>
        <w:t>非变性病性痴呆</w:t>
      </w:r>
    </w:p>
    <w:p>
      <w:pPr>
        <w:tabs>
          <w:tab w:pos="4607" w:val="left" w:leader="none"/>
        </w:tabs>
        <w:spacing w:line="328" w:lineRule="exact" w:before="0"/>
        <w:ind w:left="1609" w:right="0" w:firstLine="0"/>
        <w:jc w:val="left"/>
        <w:rPr>
          <w:rFonts w:ascii="Microsoft JhengHei" w:eastAsia="Microsoft JhengHei" w:hint="eastAsia"/>
          <w:b/>
          <w:sz w:val="18"/>
        </w:rPr>
      </w:pPr>
      <w:r>
        <w:rPr/>
        <w:br w:type="column"/>
      </w:r>
      <w:r>
        <w:rPr>
          <w:sz w:val="18"/>
        </w:rPr>
        <w:t>血管性痴呆</w:t>
      </w:r>
      <w:r>
        <w:rPr>
          <w:rFonts w:ascii="Times New Roman" w:eastAsia="Times New Roman"/>
          <w:sz w:val="18"/>
        </w:rPr>
        <w:t>(VD)</w:t>
        <w:tab/>
      </w:r>
      <w:r>
        <w:rPr>
          <w:rFonts w:ascii="Times New Roman" w:eastAsia="Times New Roman"/>
          <w:b/>
          <w:sz w:val="18"/>
        </w:rPr>
        <w:t>15</w:t>
      </w:r>
      <w:r>
        <w:rPr>
          <w:rFonts w:ascii="Microsoft JhengHei" w:eastAsia="Microsoft JhengHei" w:hint="eastAsia"/>
          <w:b/>
          <w:sz w:val="18"/>
        </w:rPr>
        <w:t>％</w:t>
      </w:r>
      <w:r>
        <w:rPr>
          <w:rFonts w:ascii="Times New Roman" w:eastAsia="Times New Roman"/>
          <w:b/>
          <w:sz w:val="18"/>
        </w:rPr>
        <w:t>~20</w:t>
      </w:r>
      <w:r>
        <w:rPr>
          <w:rFonts w:ascii="Microsoft JhengHei" w:eastAsia="Microsoft JhengHei" w:hint="eastAsia"/>
          <w:b/>
          <w:sz w:val="18"/>
        </w:rPr>
        <w:t>％</w:t>
      </w:r>
    </w:p>
    <w:p>
      <w:pPr>
        <w:pStyle w:val="BodyText"/>
        <w:spacing w:before="7"/>
        <w:rPr>
          <w:rFonts w:ascii="Microsoft JhengHei"/>
          <w:b/>
          <w:sz w:val="4"/>
        </w:rPr>
      </w:pPr>
    </w:p>
    <w:p>
      <w:pPr>
        <w:pStyle w:val="BodyText"/>
        <w:spacing w:line="20" w:lineRule="exact"/>
        <w:ind w:left="248"/>
        <w:rPr>
          <w:rFonts w:ascii="Microsoft JhengHei"/>
          <w:sz w:val="2"/>
        </w:rPr>
      </w:pPr>
      <w:r>
        <w:rPr>
          <w:rFonts w:ascii="Microsoft JhengHei"/>
          <w:sz w:val="2"/>
        </w:rPr>
        <w:pict>
          <v:group style="width:276.8pt;height:.5pt;mso-position-horizontal-relative:char;mso-position-vertical-relative:line" coordorigin="0,0" coordsize="5536,10">
            <v:shape style="position:absolute;left:0;top:0;width:5536;height:10" coordorigin="0,0" coordsize="5536,10" path="m5536,0l4014,0,4004,0,0,0,0,10,4004,10,4014,10,5536,10,5536,0xe" filled="true" fillcolor="#000000" stroked="false">
              <v:path arrowok="t"/>
              <v:fill type="solid"/>
            </v:shape>
          </v:group>
        </w:pict>
      </w:r>
      <w:r>
        <w:rPr>
          <w:rFonts w:ascii="Microsoft JhengHei"/>
          <w:sz w:val="2"/>
        </w:rPr>
      </w:r>
    </w:p>
    <w:p>
      <w:pPr>
        <w:spacing w:line="164" w:lineRule="exact" w:before="91"/>
        <w:ind w:left="418" w:right="0" w:firstLine="0"/>
        <w:jc w:val="left"/>
        <w:rPr>
          <w:sz w:val="18"/>
        </w:rPr>
      </w:pPr>
      <w:r>
        <w:rPr>
          <w:sz w:val="18"/>
        </w:rPr>
        <w:t>正常压力性脑积水及继发于其他疾病</w:t>
      </w:r>
      <w:r>
        <w:rPr>
          <w:rFonts w:ascii="Times New Roman" w:eastAsia="Times New Roman"/>
          <w:sz w:val="18"/>
        </w:rPr>
        <w:t>(</w:t>
      </w:r>
      <w:r>
        <w:rPr>
          <w:sz w:val="18"/>
        </w:rPr>
        <w:t>如感染、</w:t>
      </w:r>
    </w:p>
    <w:p>
      <w:pPr>
        <w:spacing w:after="0" w:line="164" w:lineRule="exact"/>
        <w:jc w:val="left"/>
        <w:rPr>
          <w:sz w:val="18"/>
        </w:rPr>
        <w:sectPr>
          <w:type w:val="continuous"/>
          <w:pgSz w:w="11910" w:h="16840"/>
          <w:pgMar w:top="220" w:bottom="1400" w:left="240" w:right="400"/>
          <w:cols w:num="2" w:equalWidth="0">
            <w:col w:w="4713" w:space="40"/>
            <w:col w:w="6517"/>
          </w:cols>
        </w:sectPr>
      </w:pPr>
    </w:p>
    <w:p>
      <w:pPr>
        <w:spacing w:before="127"/>
        <w:ind w:left="0" w:right="0" w:firstLine="0"/>
        <w:jc w:val="right"/>
        <w:rPr>
          <w:sz w:val="18"/>
        </w:rPr>
      </w:pPr>
      <w:r>
        <w:rPr>
          <w:sz w:val="18"/>
        </w:rPr>
        <w:t>肿瘤、中毒和代谢性疾病等</w:t>
      </w:r>
      <w:r>
        <w:rPr>
          <w:rFonts w:ascii="Times New Roman" w:eastAsia="Times New Roman"/>
          <w:sz w:val="18"/>
        </w:rPr>
        <w:t>)</w:t>
      </w:r>
      <w:r>
        <w:rPr>
          <w:sz w:val="18"/>
        </w:rPr>
        <w:t>的痴呆</w:t>
      </w:r>
    </w:p>
    <w:p>
      <w:pPr>
        <w:spacing w:line="211" w:lineRule="exact" w:before="0"/>
        <w:ind w:left="891" w:right="0" w:firstLine="0"/>
        <w:jc w:val="left"/>
        <w:rPr>
          <w:sz w:val="18"/>
        </w:rPr>
      </w:pPr>
      <w:r>
        <w:rPr/>
        <w:br w:type="column"/>
      </w:r>
      <w:r>
        <w:rPr>
          <w:rFonts w:ascii="Times New Roman" w:eastAsia="Times New Roman"/>
          <w:sz w:val="18"/>
        </w:rPr>
        <w:t>5.0</w:t>
      </w:r>
      <w:r>
        <w:rPr>
          <w:sz w:val="18"/>
        </w:rPr>
        <w:t>％</w:t>
      </w:r>
      <w:r>
        <w:rPr>
          <w:rFonts w:ascii="Times New Roman" w:eastAsia="Times New Roman"/>
          <w:sz w:val="18"/>
        </w:rPr>
        <w:t>~6.4</w:t>
      </w:r>
      <w:r>
        <w:rPr>
          <w:sz w:val="18"/>
        </w:rPr>
        <w:t>％</w:t>
      </w:r>
    </w:p>
    <w:p>
      <w:pPr>
        <w:spacing w:after="0" w:line="211" w:lineRule="exact"/>
        <w:jc w:val="left"/>
        <w:rPr>
          <w:sz w:val="18"/>
        </w:rPr>
        <w:sectPr>
          <w:type w:val="continuous"/>
          <w:pgSz w:w="11910" w:h="16840"/>
          <w:pgMar w:top="220" w:bottom="1400" w:left="240" w:right="400"/>
          <w:cols w:num="2" w:equalWidth="0">
            <w:col w:w="8383" w:space="40"/>
            <w:col w:w="2847"/>
          </w:cols>
        </w:sectPr>
      </w:pPr>
    </w:p>
    <w:p>
      <w:pPr>
        <w:pStyle w:val="BodyText"/>
        <w:spacing w:before="2"/>
        <w:rPr>
          <w:sz w:val="12"/>
        </w:rPr>
      </w:pPr>
      <w:r>
        <w:rPr/>
        <w:pict>
          <v:rect style="position:absolute;margin-left:42.720001pt;margin-top:767.880005pt;width:508.08pt;height:1.44pt;mso-position-horizontal-relative:page;mso-position-vertical-relative:page;z-index:15735296" filled="true" fillcolor="#333366" stroked="false">
            <v:fill type="solid"/>
            <w10:wrap type="none"/>
          </v:rect>
        </w:pict>
      </w:r>
      <w:r>
        <w:rPr/>
        <w:pict>
          <v:rect style="position:absolute;margin-left:169.460007pt;margin-top:760.679993pt;width:383.620018pt;height:.48pt;mso-position-horizontal-relative:page;mso-position-vertical-relative:page;z-index:-17887232" filled="true" fillcolor="#000000" stroked="false">
            <v:fill type="solid"/>
            <w10:wrap type="none"/>
          </v:rect>
        </w:pict>
      </w:r>
    </w:p>
    <w:p>
      <w:pPr>
        <w:pStyle w:val="BodyText"/>
        <w:spacing w:line="20" w:lineRule="exact"/>
        <w:ind w:left="3163"/>
        <w:rPr>
          <w:sz w:val="2"/>
        </w:rPr>
      </w:pPr>
      <w:r>
        <w:rPr>
          <w:sz w:val="2"/>
        </w:rPr>
        <w:pict>
          <v:group style="width:368.65pt;height:.5pt;mso-position-horizontal-relative:char;mso-position-vertical-relative:line" coordorigin="0,0" coordsize="7373,10">
            <v:shape style="position:absolute;left:0;top:0;width:7373;height:10" coordorigin="0,0" coordsize="7373,10" path="m1836,0l0,0,0,10,1836,10,1836,0xm7372,0l5850,0,5841,0,1846,0,1837,0,1837,10,1846,10,5841,10,5850,10,7372,10,7372,0xe" filled="true" fillcolor="#000000" stroked="false">
              <v:path arrowok="t"/>
              <v:fill type="solid"/>
            </v:shape>
          </v:group>
        </w:pict>
      </w:r>
      <w:r>
        <w:rPr>
          <w:sz w:val="2"/>
        </w:rPr>
      </w:r>
    </w:p>
    <w:p>
      <w:pPr>
        <w:spacing w:line="302" w:lineRule="auto" w:before="0"/>
        <w:ind w:left="3272" w:right="972" w:firstLine="0"/>
        <w:jc w:val="left"/>
        <w:rPr>
          <w:sz w:val="18"/>
        </w:rPr>
      </w:pPr>
      <w:r>
        <w:rPr>
          <w:sz w:val="18"/>
        </w:rPr>
        <w:t>资料来源：世界卫生组织，非阿尔茨海默病痴呆的流行病学现状及临床诊断，兴业证券经济与金融研究院整理</w:t>
      </w:r>
    </w:p>
    <w:p>
      <w:pPr>
        <w:pStyle w:val="BodyText"/>
        <w:spacing w:before="8"/>
        <w:rPr>
          <w:sz w:val="17"/>
        </w:rPr>
      </w:pPr>
    </w:p>
    <w:p>
      <w:pPr>
        <w:pStyle w:val="BodyText"/>
        <w:spacing w:line="304" w:lineRule="auto" w:before="72"/>
        <w:ind w:left="3163" w:right="726"/>
        <w:jc w:val="both"/>
      </w:pPr>
      <w:r>
        <w:rPr/>
        <w:pict>
          <v:group style="position:absolute;margin-left:170.179993pt;margin-top:86.700027pt;width:382.9pt;height:19.350pt;mso-position-horizontal-relative:page;mso-position-vertical-relative:paragraph;z-index:-17887744" coordorigin="3404,1734" coordsize="7658,387">
            <v:shape style="position:absolute;left:3403;top:1743;width:7656;height:368" coordorigin="3404,1744" coordsize="7656,368" path="m4395,1744l3404,1744,3404,2111,4395,2111,4395,1744xm7938,1744l4395,1744,4395,2111,7938,2111,7938,1744xm11059,1744l7941,1744,7941,2111,11059,2111,11059,1744xe" filled="true" fillcolor="#deebf6" stroked="false">
              <v:path arrowok="t"/>
              <v:fill type="solid"/>
            </v:shape>
            <v:shape style="position:absolute;left:3403;top:1734;width:7658;height:387" coordorigin="3404,1734" coordsize="7658,387" path="m4398,2111l3404,2111,3404,2120,4398,2120,4398,2111xm4398,1734l3404,1734,3404,1744,4398,1744,4398,1734xm4407,2111l4398,2111,4398,2120,4407,2120,4407,2111xm4407,1734l4398,1734,4398,1744,4407,1744,4407,1734xm7950,2111l7941,2111,4407,2111,4407,2120,7941,2120,7950,2120,7950,2111xm7950,1734l7941,1734,4407,1734,4407,1744,7941,1744,7950,1744,7950,1734xm11062,2111l7950,2111,7950,2120,11062,2120,11062,2111xm11062,1734l7950,1734,7950,1744,11062,1744,11062,1734xe" filled="true" fillcolor="#000000" stroked="false">
              <v:path arrowok="t"/>
              <v:fill type="solid"/>
            </v:shape>
            <w10:wrap type="none"/>
          </v:group>
        </w:pict>
      </w:r>
      <w:r>
        <w:rPr>
          <w:spacing w:val="-3"/>
        </w:rPr>
        <w:t>阿尔茨海默病和血管性痴呆的早期症状鉴别比较容易，到晚期鉴别比较困难。二</w:t>
      </w:r>
      <w:r>
        <w:rPr>
          <w:spacing w:val="-5"/>
        </w:rPr>
        <w:t>者发病机制不同，</w:t>
      </w:r>
      <w:r>
        <w:rPr>
          <w:rFonts w:ascii="Times New Roman" w:eastAsia="Times New Roman"/>
          <w:spacing w:val="-15"/>
        </w:rPr>
        <w:t>AD </w:t>
      </w:r>
      <w:r>
        <w:rPr>
          <w:spacing w:val="-10"/>
        </w:rPr>
        <w:t>由神经系统病变导致，而 </w:t>
      </w:r>
      <w:r>
        <w:rPr>
          <w:rFonts w:ascii="Times New Roman" w:eastAsia="Times New Roman"/>
        </w:rPr>
        <w:t>VD </w:t>
      </w:r>
      <w:r>
        <w:rPr>
          <w:spacing w:val="-8"/>
        </w:rPr>
        <w:t>与血管疾病引起，此外两类患</w:t>
      </w:r>
      <w:r>
        <w:rPr>
          <w:spacing w:val="-18"/>
        </w:rPr>
        <w:t>者在发病速度、流行病学、发展进程、高风险因素、症状和治疗方面仍有所差异。</w:t>
      </w:r>
    </w:p>
    <w:p>
      <w:pPr>
        <w:pStyle w:val="BodyText"/>
        <w:spacing w:after="1"/>
        <w:rPr>
          <w:sz w:val="25"/>
        </w:rPr>
      </w:pPr>
    </w:p>
    <w:tbl>
      <w:tblPr>
        <w:tblW w:w="0" w:type="auto"/>
        <w:jc w:val="left"/>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728"/>
        <w:gridCol w:w="3514"/>
        <w:gridCol w:w="3166"/>
      </w:tblGrid>
      <w:tr>
        <w:trPr>
          <w:trHeight w:val="320" w:hRule="atLeast"/>
        </w:trPr>
        <w:tc>
          <w:tcPr>
            <w:tcW w:w="10408" w:type="dxa"/>
            <w:gridSpan w:val="3"/>
          </w:tcPr>
          <w:p>
            <w:pPr>
              <w:pStyle w:val="TableParagraph"/>
              <w:spacing w:line="295" w:lineRule="exact"/>
              <w:ind w:left="2857"/>
              <w:rPr>
                <w:rFonts w:ascii="Microsoft JhengHei" w:eastAsia="Microsoft JhengHei" w:hint="eastAsia"/>
                <w:b/>
                <w:sz w:val="21"/>
              </w:rPr>
            </w:pPr>
            <w:bookmarkStart w:name="_bookmark2" w:id="4"/>
            <w:bookmarkEnd w:id="4"/>
            <w:r>
              <w:rPr/>
            </w:r>
            <w:r>
              <w:rPr>
                <w:rFonts w:ascii="Microsoft JhengHei" w:eastAsia="Microsoft JhengHei" w:hint="eastAsia"/>
                <w:b/>
                <w:sz w:val="21"/>
              </w:rPr>
              <w:t>表 </w:t>
            </w:r>
            <w:r>
              <w:rPr>
                <w:rFonts w:ascii="Times New Roman" w:eastAsia="Times New Roman"/>
                <w:b/>
                <w:sz w:val="21"/>
              </w:rPr>
              <w:t>2</w:t>
            </w:r>
            <w:r>
              <w:rPr>
                <w:rFonts w:ascii="Microsoft JhengHei" w:eastAsia="Microsoft JhengHei" w:hint="eastAsia"/>
                <w:b/>
                <w:sz w:val="21"/>
              </w:rPr>
              <w:t>、</w:t>
            </w:r>
            <w:r>
              <w:rPr>
                <w:rFonts w:ascii="Times New Roman" w:eastAsia="Times New Roman"/>
                <w:b/>
                <w:sz w:val="21"/>
              </w:rPr>
              <w:t>AD </w:t>
            </w:r>
            <w:r>
              <w:rPr>
                <w:rFonts w:ascii="Microsoft JhengHei" w:eastAsia="Microsoft JhengHei" w:hint="eastAsia"/>
                <w:b/>
                <w:sz w:val="21"/>
              </w:rPr>
              <w:t>与 </w:t>
            </w:r>
            <w:r>
              <w:rPr>
                <w:rFonts w:ascii="Times New Roman" w:eastAsia="Times New Roman"/>
                <w:b/>
                <w:sz w:val="21"/>
              </w:rPr>
              <w:t>VD </w:t>
            </w:r>
            <w:r>
              <w:rPr>
                <w:rFonts w:ascii="Microsoft JhengHei" w:eastAsia="Microsoft JhengHei" w:hint="eastAsia"/>
                <w:b/>
                <w:sz w:val="21"/>
              </w:rPr>
              <w:t>的鉴别诊断</w:t>
            </w:r>
          </w:p>
        </w:tc>
      </w:tr>
      <w:tr>
        <w:trPr>
          <w:trHeight w:val="376" w:hRule="atLeast"/>
        </w:trPr>
        <w:tc>
          <w:tcPr>
            <w:tcW w:w="3728" w:type="dxa"/>
          </w:tcPr>
          <w:p>
            <w:pPr>
              <w:pStyle w:val="TableParagraph"/>
              <w:spacing w:before="45"/>
              <w:ind w:right="210"/>
              <w:jc w:val="right"/>
              <w:rPr>
                <w:sz w:val="18"/>
              </w:rPr>
            </w:pPr>
            <w:r>
              <w:rPr>
                <w:sz w:val="18"/>
              </w:rPr>
              <w:t>区分项</w:t>
            </w:r>
          </w:p>
        </w:tc>
        <w:tc>
          <w:tcPr>
            <w:tcW w:w="3514" w:type="dxa"/>
            <w:shd w:val="clear" w:color="auto" w:fill="DEEBF6"/>
          </w:tcPr>
          <w:p>
            <w:pPr>
              <w:pStyle w:val="TableParagraph"/>
              <w:spacing w:before="60"/>
              <w:ind w:left="1634" w:right="1579"/>
              <w:jc w:val="center"/>
              <w:rPr>
                <w:rFonts w:ascii="Times New Roman"/>
                <w:b/>
                <w:sz w:val="18"/>
              </w:rPr>
            </w:pPr>
            <w:r>
              <w:rPr>
                <w:rFonts w:ascii="Times New Roman"/>
                <w:b/>
                <w:sz w:val="18"/>
              </w:rPr>
              <w:t>AD</w:t>
            </w:r>
          </w:p>
        </w:tc>
        <w:tc>
          <w:tcPr>
            <w:tcW w:w="3166" w:type="dxa"/>
            <w:shd w:val="clear" w:color="auto" w:fill="DEEBF6"/>
          </w:tcPr>
          <w:p>
            <w:pPr>
              <w:pStyle w:val="TableParagraph"/>
              <w:spacing w:before="60"/>
              <w:ind w:left="1454" w:right="1411"/>
              <w:jc w:val="center"/>
              <w:rPr>
                <w:rFonts w:ascii="Times New Roman"/>
                <w:b/>
                <w:sz w:val="18"/>
              </w:rPr>
            </w:pPr>
            <w:r>
              <w:rPr>
                <w:rFonts w:ascii="Times New Roman"/>
                <w:b/>
                <w:sz w:val="18"/>
              </w:rPr>
              <w:t>VD</w:t>
            </w:r>
          </w:p>
        </w:tc>
      </w:tr>
      <w:tr>
        <w:trPr>
          <w:trHeight w:val="588" w:hRule="atLeast"/>
        </w:trPr>
        <w:tc>
          <w:tcPr>
            <w:tcW w:w="3728" w:type="dxa"/>
            <w:tcBorders>
              <w:bottom w:val="single" w:sz="4" w:space="0" w:color="000000"/>
            </w:tcBorders>
          </w:tcPr>
          <w:p>
            <w:pPr>
              <w:pStyle w:val="TableParagraph"/>
              <w:spacing w:before="154"/>
              <w:ind w:right="299"/>
              <w:jc w:val="right"/>
              <w:rPr>
                <w:sz w:val="18"/>
              </w:rPr>
            </w:pPr>
            <w:r>
              <w:rPr>
                <w:sz w:val="18"/>
              </w:rPr>
              <w:t>概述</w:t>
            </w:r>
          </w:p>
        </w:tc>
        <w:tc>
          <w:tcPr>
            <w:tcW w:w="3514" w:type="dxa"/>
            <w:tcBorders>
              <w:bottom w:val="single" w:sz="4" w:space="0" w:color="000000"/>
            </w:tcBorders>
          </w:tcPr>
          <w:p>
            <w:pPr>
              <w:pStyle w:val="TableParagraph"/>
              <w:spacing w:before="8"/>
              <w:ind w:left="120"/>
              <w:rPr>
                <w:sz w:val="18"/>
              </w:rPr>
            </w:pPr>
            <w:r>
              <w:rPr>
                <w:sz w:val="18"/>
              </w:rPr>
              <w:t>由神经系统病变导致，如 </w:t>
            </w:r>
            <w:r>
              <w:rPr>
                <w:rFonts w:ascii="楷体" w:hAnsi="楷体" w:eastAsia="楷体" w:hint="eastAsia"/>
                <w:sz w:val="18"/>
              </w:rPr>
              <w:t>A</w:t>
            </w:r>
            <w:r>
              <w:rPr>
                <w:rFonts w:ascii="Calibri" w:hAnsi="Calibri" w:eastAsia="Calibri"/>
                <w:sz w:val="18"/>
              </w:rPr>
              <w:t>β </w:t>
            </w:r>
            <w:r>
              <w:rPr>
                <w:sz w:val="18"/>
              </w:rPr>
              <w:t>蛋白的生成</w:t>
            </w:r>
          </w:p>
          <w:p>
            <w:pPr>
              <w:pStyle w:val="TableParagraph"/>
              <w:spacing w:before="62"/>
              <w:ind w:left="120"/>
              <w:rPr>
                <w:sz w:val="18"/>
              </w:rPr>
            </w:pPr>
            <w:r>
              <w:rPr>
                <w:sz w:val="18"/>
              </w:rPr>
              <w:t>与清除失衡引起神经元变性</w:t>
            </w:r>
          </w:p>
        </w:tc>
        <w:tc>
          <w:tcPr>
            <w:tcW w:w="3166" w:type="dxa"/>
            <w:tcBorders>
              <w:bottom w:val="single" w:sz="4" w:space="0" w:color="000000"/>
            </w:tcBorders>
          </w:tcPr>
          <w:p>
            <w:pPr>
              <w:pStyle w:val="TableParagraph"/>
              <w:spacing w:before="8"/>
              <w:ind w:left="152"/>
              <w:rPr>
                <w:sz w:val="18"/>
              </w:rPr>
            </w:pPr>
            <w:r>
              <w:rPr>
                <w:sz w:val="18"/>
              </w:rPr>
              <w:t>由血管疾病引起，如血管阻塞</w:t>
            </w:r>
            <w:r>
              <w:rPr>
                <w:rFonts w:ascii="楷体" w:eastAsia="楷体" w:hint="eastAsia"/>
                <w:sz w:val="18"/>
              </w:rPr>
              <w:t>/</w:t>
            </w:r>
            <w:r>
              <w:rPr>
                <w:sz w:val="18"/>
              </w:rPr>
              <w:t>破</w:t>
            </w:r>
          </w:p>
          <w:p>
            <w:pPr>
              <w:pStyle w:val="TableParagraph"/>
              <w:spacing w:before="62"/>
              <w:ind w:left="152"/>
              <w:rPr>
                <w:sz w:val="18"/>
              </w:rPr>
            </w:pPr>
            <w:r>
              <w:rPr>
                <w:sz w:val="18"/>
              </w:rPr>
              <w:t>裂，脑缺血</w:t>
            </w:r>
            <w:r>
              <w:rPr>
                <w:rFonts w:ascii="楷体" w:eastAsia="楷体" w:hint="eastAsia"/>
                <w:sz w:val="18"/>
              </w:rPr>
              <w:t>/</w:t>
            </w:r>
            <w:r>
              <w:rPr>
                <w:sz w:val="18"/>
              </w:rPr>
              <w:t>出血引起大脑氧供不足</w:t>
            </w:r>
          </w:p>
        </w:tc>
      </w:tr>
      <w:tr>
        <w:trPr>
          <w:trHeight w:val="438" w:hRule="atLeast"/>
        </w:trPr>
        <w:tc>
          <w:tcPr>
            <w:tcW w:w="3728" w:type="dxa"/>
            <w:tcBorders>
              <w:top w:val="single" w:sz="4" w:space="0" w:color="000000"/>
              <w:bottom w:val="single" w:sz="4" w:space="0" w:color="000000"/>
            </w:tcBorders>
          </w:tcPr>
          <w:p>
            <w:pPr>
              <w:pStyle w:val="TableParagraph"/>
              <w:spacing w:before="76"/>
              <w:ind w:right="119"/>
              <w:jc w:val="right"/>
              <w:rPr>
                <w:sz w:val="18"/>
              </w:rPr>
            </w:pPr>
            <w:r>
              <w:rPr>
                <w:sz w:val="18"/>
              </w:rPr>
              <w:t>发病速度</w:t>
            </w:r>
          </w:p>
        </w:tc>
        <w:tc>
          <w:tcPr>
            <w:tcW w:w="3514" w:type="dxa"/>
            <w:tcBorders>
              <w:top w:val="single" w:sz="4" w:space="0" w:color="000000"/>
              <w:bottom w:val="single" w:sz="4" w:space="0" w:color="000000"/>
            </w:tcBorders>
          </w:tcPr>
          <w:p>
            <w:pPr>
              <w:pStyle w:val="TableParagraph"/>
              <w:spacing w:before="76"/>
              <w:ind w:left="120"/>
              <w:rPr>
                <w:sz w:val="18"/>
              </w:rPr>
            </w:pPr>
            <w:r>
              <w:rPr>
                <w:sz w:val="18"/>
              </w:rPr>
              <w:t>缓慢，从发病至死亡，持续加重</w:t>
            </w:r>
          </w:p>
        </w:tc>
        <w:tc>
          <w:tcPr>
            <w:tcW w:w="3166" w:type="dxa"/>
            <w:tcBorders>
              <w:top w:val="single" w:sz="4" w:space="0" w:color="000000"/>
              <w:bottom w:val="single" w:sz="4" w:space="0" w:color="000000"/>
            </w:tcBorders>
          </w:tcPr>
          <w:p>
            <w:pPr>
              <w:pStyle w:val="TableParagraph"/>
              <w:spacing w:before="76"/>
              <w:ind w:left="152"/>
              <w:rPr>
                <w:sz w:val="18"/>
              </w:rPr>
            </w:pPr>
            <w:r>
              <w:rPr>
                <w:sz w:val="18"/>
              </w:rPr>
              <w:t>迅速，在数天内发病</w:t>
            </w:r>
          </w:p>
        </w:tc>
      </w:tr>
      <w:tr>
        <w:trPr>
          <w:trHeight w:val="436" w:hRule="atLeast"/>
        </w:trPr>
        <w:tc>
          <w:tcPr>
            <w:tcW w:w="3728" w:type="dxa"/>
            <w:tcBorders>
              <w:top w:val="single" w:sz="4" w:space="0" w:color="000000"/>
              <w:bottom w:val="single" w:sz="4" w:space="0" w:color="000000"/>
            </w:tcBorders>
          </w:tcPr>
          <w:p>
            <w:pPr>
              <w:pStyle w:val="TableParagraph"/>
              <w:spacing w:before="74"/>
              <w:ind w:right="119"/>
              <w:jc w:val="right"/>
              <w:rPr>
                <w:sz w:val="18"/>
              </w:rPr>
            </w:pPr>
            <w:r>
              <w:rPr>
                <w:sz w:val="18"/>
              </w:rPr>
              <w:t>流行病学</w:t>
            </w:r>
          </w:p>
        </w:tc>
        <w:tc>
          <w:tcPr>
            <w:tcW w:w="3514" w:type="dxa"/>
            <w:tcBorders>
              <w:top w:val="single" w:sz="4" w:space="0" w:color="000000"/>
              <w:bottom w:val="single" w:sz="4" w:space="0" w:color="000000"/>
            </w:tcBorders>
          </w:tcPr>
          <w:p>
            <w:pPr>
              <w:pStyle w:val="TableParagraph"/>
              <w:spacing w:before="74"/>
              <w:ind w:left="120"/>
              <w:rPr>
                <w:sz w:val="18"/>
              </w:rPr>
            </w:pPr>
            <w:r>
              <w:rPr>
                <w:sz w:val="18"/>
              </w:rPr>
              <w:t>女性相对多见</w:t>
            </w:r>
          </w:p>
        </w:tc>
        <w:tc>
          <w:tcPr>
            <w:tcW w:w="3166" w:type="dxa"/>
            <w:tcBorders>
              <w:top w:val="single" w:sz="4" w:space="0" w:color="000000"/>
              <w:bottom w:val="single" w:sz="4" w:space="0" w:color="000000"/>
            </w:tcBorders>
          </w:tcPr>
          <w:p>
            <w:pPr>
              <w:pStyle w:val="TableParagraph"/>
              <w:spacing w:before="74"/>
              <w:ind w:left="152"/>
              <w:rPr>
                <w:sz w:val="18"/>
              </w:rPr>
            </w:pPr>
            <w:r>
              <w:rPr>
                <w:sz w:val="18"/>
              </w:rPr>
              <w:t>男性相对多见</w:t>
            </w:r>
          </w:p>
        </w:tc>
      </w:tr>
      <w:tr>
        <w:trPr>
          <w:trHeight w:val="436" w:hRule="atLeast"/>
        </w:trPr>
        <w:tc>
          <w:tcPr>
            <w:tcW w:w="3728" w:type="dxa"/>
            <w:tcBorders>
              <w:top w:val="single" w:sz="4" w:space="0" w:color="000000"/>
              <w:bottom w:val="single" w:sz="4" w:space="0" w:color="000000"/>
            </w:tcBorders>
          </w:tcPr>
          <w:p>
            <w:pPr>
              <w:pStyle w:val="TableParagraph"/>
              <w:spacing w:before="74"/>
              <w:ind w:right="119"/>
              <w:jc w:val="right"/>
              <w:rPr>
                <w:sz w:val="18"/>
              </w:rPr>
            </w:pPr>
            <w:r>
              <w:rPr>
                <w:sz w:val="18"/>
              </w:rPr>
              <w:t>疾病病程</w:t>
            </w:r>
          </w:p>
        </w:tc>
        <w:tc>
          <w:tcPr>
            <w:tcW w:w="3514" w:type="dxa"/>
            <w:tcBorders>
              <w:top w:val="single" w:sz="4" w:space="0" w:color="000000"/>
              <w:bottom w:val="single" w:sz="4" w:space="0" w:color="000000"/>
            </w:tcBorders>
          </w:tcPr>
          <w:p>
            <w:pPr>
              <w:pStyle w:val="TableParagraph"/>
              <w:spacing w:before="74"/>
              <w:ind w:left="120"/>
              <w:rPr>
                <w:sz w:val="18"/>
              </w:rPr>
            </w:pPr>
            <w:r>
              <w:rPr>
                <w:sz w:val="18"/>
              </w:rPr>
              <w:t>进展性，持续进行性发展</w:t>
            </w:r>
          </w:p>
        </w:tc>
        <w:tc>
          <w:tcPr>
            <w:tcW w:w="3166" w:type="dxa"/>
            <w:tcBorders>
              <w:top w:val="single" w:sz="4" w:space="0" w:color="000000"/>
              <w:bottom w:val="single" w:sz="4" w:space="0" w:color="000000"/>
            </w:tcBorders>
          </w:tcPr>
          <w:p>
            <w:pPr>
              <w:pStyle w:val="TableParagraph"/>
              <w:spacing w:before="74"/>
              <w:ind w:left="152"/>
              <w:rPr>
                <w:sz w:val="18"/>
              </w:rPr>
            </w:pPr>
            <w:r>
              <w:rPr>
                <w:sz w:val="18"/>
              </w:rPr>
              <w:t>波动性进展</w:t>
            </w:r>
          </w:p>
        </w:tc>
      </w:tr>
      <w:tr>
        <w:trPr>
          <w:trHeight w:val="585" w:hRule="atLeast"/>
        </w:trPr>
        <w:tc>
          <w:tcPr>
            <w:tcW w:w="3728" w:type="dxa"/>
            <w:tcBorders>
              <w:top w:val="single" w:sz="4" w:space="0" w:color="000000"/>
              <w:bottom w:val="single" w:sz="4" w:space="0" w:color="000000"/>
            </w:tcBorders>
          </w:tcPr>
          <w:p>
            <w:pPr>
              <w:pStyle w:val="TableParagraph"/>
              <w:spacing w:before="2"/>
              <w:ind w:left="2866" w:right="101"/>
              <w:jc w:val="center"/>
              <w:rPr>
                <w:sz w:val="18"/>
              </w:rPr>
            </w:pPr>
            <w:r>
              <w:rPr>
                <w:sz w:val="18"/>
              </w:rPr>
              <w:t>高风险因</w:t>
            </w:r>
          </w:p>
          <w:p>
            <w:pPr>
              <w:pStyle w:val="TableParagraph"/>
              <w:spacing w:before="62"/>
              <w:ind w:left="2762"/>
              <w:jc w:val="center"/>
              <w:rPr>
                <w:sz w:val="18"/>
              </w:rPr>
            </w:pPr>
            <w:r>
              <w:rPr>
                <w:sz w:val="18"/>
              </w:rPr>
              <w:t>素</w:t>
            </w:r>
          </w:p>
        </w:tc>
        <w:tc>
          <w:tcPr>
            <w:tcW w:w="3514" w:type="dxa"/>
            <w:tcBorders>
              <w:top w:val="single" w:sz="4" w:space="0" w:color="000000"/>
              <w:bottom w:val="single" w:sz="4" w:space="0" w:color="000000"/>
            </w:tcBorders>
          </w:tcPr>
          <w:p>
            <w:pPr>
              <w:pStyle w:val="TableParagraph"/>
              <w:spacing w:before="2"/>
              <w:ind w:left="120"/>
              <w:rPr>
                <w:sz w:val="18"/>
              </w:rPr>
            </w:pPr>
            <w:r>
              <w:rPr>
                <w:sz w:val="18"/>
              </w:rPr>
              <w:t>基因、低教育程度、饮食、吸烟、女性激</w:t>
            </w:r>
          </w:p>
          <w:p>
            <w:pPr>
              <w:pStyle w:val="TableParagraph"/>
              <w:spacing w:before="62"/>
              <w:ind w:left="120"/>
              <w:rPr>
                <w:sz w:val="18"/>
              </w:rPr>
            </w:pPr>
            <w:r>
              <w:rPr>
                <w:sz w:val="18"/>
              </w:rPr>
              <w:t>素水平降低、高血糖</w:t>
            </w:r>
          </w:p>
        </w:tc>
        <w:tc>
          <w:tcPr>
            <w:tcW w:w="3166" w:type="dxa"/>
            <w:tcBorders>
              <w:top w:val="single" w:sz="4" w:space="0" w:color="000000"/>
              <w:bottom w:val="single" w:sz="4" w:space="0" w:color="000000"/>
            </w:tcBorders>
          </w:tcPr>
          <w:p>
            <w:pPr>
              <w:pStyle w:val="TableParagraph"/>
              <w:spacing w:before="2"/>
              <w:ind w:left="152"/>
              <w:rPr>
                <w:sz w:val="18"/>
              </w:rPr>
            </w:pPr>
            <w:r>
              <w:rPr>
                <w:sz w:val="18"/>
              </w:rPr>
              <w:t>中风、肥胖、糖尿病、高血压、动脉</w:t>
            </w:r>
          </w:p>
          <w:p>
            <w:pPr>
              <w:pStyle w:val="TableParagraph"/>
              <w:spacing w:before="62"/>
              <w:ind w:left="152"/>
              <w:rPr>
                <w:sz w:val="18"/>
              </w:rPr>
            </w:pPr>
            <w:r>
              <w:rPr>
                <w:sz w:val="18"/>
              </w:rPr>
              <w:t>硬化、吸烟</w:t>
            </w:r>
          </w:p>
        </w:tc>
      </w:tr>
      <w:tr>
        <w:trPr>
          <w:trHeight w:val="1339" w:hRule="atLeast"/>
        </w:trPr>
        <w:tc>
          <w:tcPr>
            <w:tcW w:w="3728" w:type="dxa"/>
            <w:tcBorders>
              <w:top w:val="single" w:sz="4" w:space="0" w:color="000000"/>
            </w:tcBorders>
          </w:tcPr>
          <w:p>
            <w:pPr>
              <w:pStyle w:val="TableParagraph"/>
              <w:rPr>
                <w:sz w:val="18"/>
              </w:rPr>
            </w:pPr>
          </w:p>
          <w:p>
            <w:pPr>
              <w:pStyle w:val="TableParagraph"/>
              <w:spacing w:before="3"/>
              <w:rPr>
                <w:sz w:val="16"/>
              </w:rPr>
            </w:pPr>
          </w:p>
          <w:p>
            <w:pPr>
              <w:pStyle w:val="TableParagraph"/>
              <w:ind w:right="299"/>
              <w:jc w:val="right"/>
              <w:rPr>
                <w:sz w:val="18"/>
              </w:rPr>
            </w:pPr>
            <w:r>
              <w:rPr>
                <w:sz w:val="18"/>
              </w:rPr>
              <w:t>症状</w:t>
            </w:r>
          </w:p>
        </w:tc>
        <w:tc>
          <w:tcPr>
            <w:tcW w:w="3514" w:type="dxa"/>
            <w:tcBorders>
              <w:top w:val="single" w:sz="4" w:space="0" w:color="000000"/>
            </w:tcBorders>
          </w:tcPr>
          <w:p>
            <w:pPr>
              <w:pStyle w:val="TableParagraph"/>
              <w:spacing w:before="2"/>
              <w:ind w:left="120"/>
              <w:rPr>
                <w:sz w:val="18"/>
              </w:rPr>
            </w:pPr>
            <w:r>
              <w:rPr>
                <w:sz w:val="18"/>
              </w:rPr>
              <w:t>症状随时间逐渐加重；</w:t>
            </w:r>
          </w:p>
          <w:p>
            <w:pPr>
              <w:pStyle w:val="TableParagraph"/>
              <w:spacing w:line="304" w:lineRule="auto" w:before="60"/>
              <w:ind w:left="120" w:right="1052"/>
              <w:rPr>
                <w:sz w:val="18"/>
              </w:rPr>
            </w:pPr>
            <w:r>
              <w:rPr>
                <w:sz w:val="18"/>
              </w:rPr>
              <w:t>记忆力随病程加深逐渐减退； 人格崩坏，焦虑，暴躁易怒；</w:t>
            </w:r>
          </w:p>
          <w:p>
            <w:pPr>
              <w:pStyle w:val="TableParagraph"/>
              <w:spacing w:line="228" w:lineRule="exact"/>
              <w:ind w:left="120"/>
              <w:rPr>
                <w:sz w:val="18"/>
              </w:rPr>
            </w:pPr>
            <w:r>
              <w:rPr>
                <w:sz w:val="18"/>
              </w:rPr>
              <w:t>其他症状：语言和运动功能障碍，注意力</w:t>
            </w:r>
          </w:p>
        </w:tc>
        <w:tc>
          <w:tcPr>
            <w:tcW w:w="3166" w:type="dxa"/>
            <w:tcBorders>
              <w:top w:val="single" w:sz="4" w:space="0" w:color="000000"/>
            </w:tcBorders>
          </w:tcPr>
          <w:p>
            <w:pPr>
              <w:pStyle w:val="TableParagraph"/>
              <w:spacing w:line="302" w:lineRule="auto" w:before="2"/>
              <w:ind w:left="152" w:right="851"/>
              <w:rPr>
                <w:sz w:val="18"/>
              </w:rPr>
            </w:pPr>
            <w:r>
              <w:rPr>
                <w:sz w:val="18"/>
              </w:rPr>
              <w:t>症状通常不跟随时间加重； 人格相对保留；</w:t>
            </w:r>
          </w:p>
          <w:p>
            <w:pPr>
              <w:pStyle w:val="TableParagraph"/>
              <w:spacing w:line="302" w:lineRule="auto" w:before="2"/>
              <w:ind w:left="152" w:right="131"/>
              <w:rPr>
                <w:sz w:val="18"/>
              </w:rPr>
            </w:pPr>
            <w:r>
              <w:rPr>
                <w:sz w:val="18"/>
              </w:rPr>
              <w:t>头痛、眩晕、肢体麻木等自觉症状； 难以集中注意力或做决定；</w:t>
            </w:r>
          </w:p>
        </w:tc>
      </w:tr>
    </w:tbl>
    <w:p>
      <w:pPr>
        <w:spacing w:after="0" w:line="302" w:lineRule="auto"/>
        <w:rPr>
          <w:sz w:val="18"/>
        </w:rPr>
        <w:sectPr>
          <w:type w:val="continuous"/>
          <w:pgSz w:w="11910" w:h="16840"/>
          <w:pgMar w:top="220" w:bottom="1400" w:left="240" w:right="400"/>
        </w:sectPr>
      </w:pPr>
    </w:p>
    <w:p>
      <w:pPr>
        <w:pStyle w:val="BodyText"/>
        <w:spacing w:before="3"/>
        <w:rPr>
          <w:sz w:val="14"/>
        </w:rPr>
      </w:pPr>
    </w:p>
    <w:tbl>
      <w:tblPr>
        <w:tblW w:w="0" w:type="auto"/>
        <w:jc w:val="left"/>
        <w:tblInd w:w="6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528"/>
        <w:gridCol w:w="3538"/>
        <w:gridCol w:w="3141"/>
      </w:tblGrid>
      <w:tr>
        <w:trPr>
          <w:trHeight w:val="582" w:hRule="atLeast"/>
        </w:trPr>
        <w:tc>
          <w:tcPr>
            <w:tcW w:w="3528" w:type="dxa"/>
            <w:tcBorders>
              <w:top w:val="single" w:sz="12" w:space="0" w:color="333366"/>
              <w:bottom w:val="single" w:sz="4" w:space="0" w:color="000000"/>
            </w:tcBorders>
          </w:tcPr>
          <w:p>
            <w:pPr>
              <w:pStyle w:val="TableParagraph"/>
              <w:rPr>
                <w:rFonts w:ascii="Times New Roman"/>
                <w:sz w:val="18"/>
              </w:rPr>
            </w:pPr>
          </w:p>
        </w:tc>
        <w:tc>
          <w:tcPr>
            <w:tcW w:w="3538" w:type="dxa"/>
            <w:tcBorders>
              <w:top w:val="single" w:sz="12" w:space="0" w:color="333366"/>
              <w:bottom w:val="single" w:sz="4" w:space="0" w:color="000000"/>
            </w:tcBorders>
          </w:tcPr>
          <w:p>
            <w:pPr>
              <w:pStyle w:val="TableParagraph"/>
              <w:spacing w:before="1"/>
              <w:ind w:left="120"/>
              <w:rPr>
                <w:sz w:val="18"/>
              </w:rPr>
            </w:pPr>
            <w:r>
              <w:rPr>
                <w:sz w:val="18"/>
              </w:rPr>
              <w:t>与执行能力下降，谵妄，激越</w:t>
            </w:r>
            <w:r>
              <w:rPr>
                <w:rFonts w:ascii="楷体" w:eastAsia="楷体" w:hint="eastAsia"/>
                <w:sz w:val="18"/>
              </w:rPr>
              <w:t>/</w:t>
            </w:r>
            <w:r>
              <w:rPr>
                <w:sz w:val="18"/>
              </w:rPr>
              <w:t>攻击性；</w:t>
            </w:r>
          </w:p>
          <w:p>
            <w:pPr>
              <w:pStyle w:val="TableParagraph"/>
              <w:spacing w:before="60"/>
              <w:ind w:left="120"/>
              <w:rPr>
                <w:sz w:val="18"/>
              </w:rPr>
            </w:pPr>
            <w:r>
              <w:rPr>
                <w:sz w:val="18"/>
              </w:rPr>
              <w:t>抑郁、情感淡漠</w:t>
            </w:r>
          </w:p>
        </w:tc>
        <w:tc>
          <w:tcPr>
            <w:tcW w:w="3141" w:type="dxa"/>
            <w:tcBorders>
              <w:top w:val="single" w:sz="12" w:space="0" w:color="333366"/>
              <w:bottom w:val="single" w:sz="4" w:space="0" w:color="000000"/>
            </w:tcBorders>
          </w:tcPr>
          <w:p>
            <w:pPr>
              <w:pStyle w:val="TableParagraph"/>
              <w:spacing w:before="1"/>
              <w:ind w:left="128"/>
              <w:rPr>
                <w:sz w:val="18"/>
              </w:rPr>
            </w:pPr>
            <w:r>
              <w:rPr>
                <w:sz w:val="18"/>
              </w:rPr>
              <w:t>幻觉；</w:t>
            </w:r>
          </w:p>
          <w:p>
            <w:pPr>
              <w:pStyle w:val="TableParagraph"/>
              <w:spacing w:before="60"/>
              <w:ind w:left="128"/>
              <w:rPr>
                <w:sz w:val="18"/>
              </w:rPr>
            </w:pPr>
            <w:r>
              <w:rPr>
                <w:sz w:val="18"/>
              </w:rPr>
              <w:t>抑郁、情感淡漠</w:t>
            </w:r>
          </w:p>
        </w:tc>
      </w:tr>
      <w:tr>
        <w:trPr>
          <w:trHeight w:val="436" w:hRule="atLeast"/>
        </w:trPr>
        <w:tc>
          <w:tcPr>
            <w:tcW w:w="3528" w:type="dxa"/>
            <w:tcBorders>
              <w:top w:val="single" w:sz="4" w:space="0" w:color="000000"/>
              <w:bottom w:val="single" w:sz="4" w:space="0" w:color="000000"/>
            </w:tcBorders>
          </w:tcPr>
          <w:p>
            <w:pPr>
              <w:pStyle w:val="TableParagraph"/>
              <w:spacing w:before="88"/>
              <w:ind w:right="167"/>
              <w:jc w:val="right"/>
              <w:rPr>
                <w:rFonts w:ascii="Times New Roman"/>
                <w:sz w:val="18"/>
              </w:rPr>
            </w:pPr>
            <w:r>
              <w:rPr>
                <w:rFonts w:ascii="Times New Roman"/>
                <w:sz w:val="18"/>
              </w:rPr>
              <w:t>CT/MRI</w:t>
            </w:r>
          </w:p>
        </w:tc>
        <w:tc>
          <w:tcPr>
            <w:tcW w:w="3538" w:type="dxa"/>
            <w:tcBorders>
              <w:top w:val="single" w:sz="4" w:space="0" w:color="000000"/>
              <w:bottom w:val="single" w:sz="4" w:space="0" w:color="000000"/>
            </w:tcBorders>
          </w:tcPr>
          <w:p>
            <w:pPr>
              <w:pStyle w:val="TableParagraph"/>
              <w:spacing w:before="74"/>
              <w:ind w:left="120"/>
              <w:rPr>
                <w:sz w:val="18"/>
              </w:rPr>
            </w:pPr>
            <w:r>
              <w:rPr>
                <w:sz w:val="18"/>
              </w:rPr>
              <w:t>脑萎缩</w:t>
            </w:r>
          </w:p>
        </w:tc>
        <w:tc>
          <w:tcPr>
            <w:tcW w:w="3141" w:type="dxa"/>
            <w:tcBorders>
              <w:top w:val="single" w:sz="4" w:space="0" w:color="000000"/>
              <w:bottom w:val="single" w:sz="4" w:space="0" w:color="000000"/>
            </w:tcBorders>
          </w:tcPr>
          <w:p>
            <w:pPr>
              <w:pStyle w:val="TableParagraph"/>
              <w:spacing w:before="74"/>
              <w:ind w:left="128"/>
              <w:rPr>
                <w:sz w:val="18"/>
              </w:rPr>
            </w:pPr>
            <w:r>
              <w:rPr>
                <w:sz w:val="18"/>
              </w:rPr>
              <w:t>脑梗死灶或出血灶</w:t>
            </w:r>
          </w:p>
        </w:tc>
      </w:tr>
      <w:tr>
        <w:trPr>
          <w:trHeight w:val="517" w:hRule="atLeast"/>
        </w:trPr>
        <w:tc>
          <w:tcPr>
            <w:tcW w:w="3528" w:type="dxa"/>
            <w:tcBorders>
              <w:top w:val="single" w:sz="4" w:space="0" w:color="000000"/>
              <w:bottom w:val="single" w:sz="4" w:space="0" w:color="000000"/>
            </w:tcBorders>
          </w:tcPr>
          <w:p>
            <w:pPr>
              <w:pStyle w:val="TableParagraph"/>
              <w:spacing w:line="207" w:lineRule="exact"/>
              <w:ind w:left="2685" w:right="121"/>
              <w:jc w:val="center"/>
              <w:rPr>
                <w:rFonts w:ascii="Times New Roman"/>
                <w:sz w:val="18"/>
              </w:rPr>
            </w:pPr>
            <w:r>
              <w:rPr>
                <w:rFonts w:ascii="Times New Roman"/>
                <w:sz w:val="18"/>
              </w:rPr>
              <w:t>PET/SPE</w:t>
            </w:r>
          </w:p>
          <w:p>
            <w:pPr>
              <w:pStyle w:val="TableParagraph"/>
              <w:spacing w:before="52"/>
              <w:ind w:left="2685" w:right="121"/>
              <w:jc w:val="center"/>
              <w:rPr>
                <w:rFonts w:ascii="Times New Roman"/>
                <w:sz w:val="18"/>
              </w:rPr>
            </w:pPr>
            <w:r>
              <w:rPr>
                <w:rFonts w:ascii="Times New Roman"/>
                <w:sz w:val="18"/>
              </w:rPr>
              <w:t>CT</w:t>
            </w:r>
          </w:p>
        </w:tc>
        <w:tc>
          <w:tcPr>
            <w:tcW w:w="3538" w:type="dxa"/>
            <w:tcBorders>
              <w:top w:val="single" w:sz="4" w:space="0" w:color="000000"/>
              <w:bottom w:val="single" w:sz="4" w:space="0" w:color="000000"/>
            </w:tcBorders>
          </w:tcPr>
          <w:p>
            <w:pPr>
              <w:pStyle w:val="TableParagraph"/>
              <w:spacing w:before="115"/>
              <w:ind w:left="120"/>
              <w:rPr>
                <w:sz w:val="18"/>
              </w:rPr>
            </w:pPr>
            <w:r>
              <w:rPr>
                <w:sz w:val="18"/>
              </w:rPr>
              <w:t>颞、顶叶对称性血流低下</w:t>
            </w:r>
          </w:p>
        </w:tc>
        <w:tc>
          <w:tcPr>
            <w:tcW w:w="3141" w:type="dxa"/>
            <w:tcBorders>
              <w:top w:val="single" w:sz="4" w:space="0" w:color="000000"/>
              <w:bottom w:val="single" w:sz="4" w:space="0" w:color="000000"/>
            </w:tcBorders>
          </w:tcPr>
          <w:p>
            <w:pPr>
              <w:pStyle w:val="TableParagraph"/>
              <w:spacing w:before="115"/>
              <w:ind w:left="128"/>
              <w:rPr>
                <w:sz w:val="18"/>
              </w:rPr>
            </w:pPr>
            <w:r>
              <w:rPr>
                <w:sz w:val="18"/>
              </w:rPr>
              <w:t>局限性、非对称性血流低下</w:t>
            </w:r>
          </w:p>
        </w:tc>
      </w:tr>
      <w:tr>
        <w:trPr>
          <w:trHeight w:val="263" w:hRule="atLeast"/>
        </w:trPr>
        <w:tc>
          <w:tcPr>
            <w:tcW w:w="3528" w:type="dxa"/>
            <w:tcBorders>
              <w:top w:val="single" w:sz="4" w:space="0" w:color="000000"/>
            </w:tcBorders>
          </w:tcPr>
          <w:p>
            <w:pPr>
              <w:pStyle w:val="TableParagraph"/>
              <w:rPr>
                <w:rFonts w:ascii="Times New Roman"/>
                <w:sz w:val="18"/>
              </w:rPr>
            </w:pPr>
          </w:p>
        </w:tc>
        <w:tc>
          <w:tcPr>
            <w:tcW w:w="3538" w:type="dxa"/>
            <w:tcBorders>
              <w:top w:val="single" w:sz="4" w:space="0" w:color="000000"/>
            </w:tcBorders>
          </w:tcPr>
          <w:p>
            <w:pPr>
              <w:pStyle w:val="TableParagraph"/>
              <w:rPr>
                <w:rFonts w:ascii="Times New Roman"/>
                <w:sz w:val="18"/>
              </w:rPr>
            </w:pPr>
          </w:p>
        </w:tc>
        <w:tc>
          <w:tcPr>
            <w:tcW w:w="3141" w:type="dxa"/>
            <w:tcBorders>
              <w:top w:val="single" w:sz="4" w:space="0" w:color="000000"/>
            </w:tcBorders>
          </w:tcPr>
          <w:p>
            <w:pPr>
              <w:pStyle w:val="TableParagraph"/>
              <w:spacing w:before="2"/>
              <w:ind w:left="128"/>
              <w:rPr>
                <w:sz w:val="18"/>
              </w:rPr>
            </w:pPr>
            <w:r>
              <w:rPr>
                <w:sz w:val="18"/>
              </w:rPr>
              <w:t>改善认知：胆碱酯酶抑制剂；</w:t>
            </w:r>
          </w:p>
        </w:tc>
      </w:tr>
      <w:tr>
        <w:trPr>
          <w:trHeight w:val="291" w:hRule="atLeast"/>
        </w:trPr>
        <w:tc>
          <w:tcPr>
            <w:tcW w:w="3528" w:type="dxa"/>
          </w:tcPr>
          <w:p>
            <w:pPr>
              <w:pStyle w:val="TableParagraph"/>
              <w:rPr>
                <w:rFonts w:ascii="Times New Roman"/>
                <w:sz w:val="18"/>
              </w:rPr>
            </w:pPr>
          </w:p>
        </w:tc>
        <w:tc>
          <w:tcPr>
            <w:tcW w:w="3538" w:type="dxa"/>
          </w:tcPr>
          <w:p>
            <w:pPr>
              <w:pStyle w:val="TableParagraph"/>
              <w:spacing w:before="31"/>
              <w:ind w:left="120"/>
              <w:rPr>
                <w:sz w:val="18"/>
              </w:rPr>
            </w:pPr>
            <w:r>
              <w:rPr>
                <w:sz w:val="18"/>
              </w:rPr>
              <w:t>改善认知功能：胆碱酯酶抑制剂、</w:t>
            </w:r>
            <w:r>
              <w:rPr>
                <w:rFonts w:ascii="楷体" w:eastAsia="楷体" w:hint="eastAsia"/>
                <w:sz w:val="18"/>
              </w:rPr>
              <w:t>NMDA </w:t>
            </w:r>
            <w:r>
              <w:rPr>
                <w:sz w:val="18"/>
              </w:rPr>
              <w:t>受</w:t>
            </w:r>
          </w:p>
        </w:tc>
        <w:tc>
          <w:tcPr>
            <w:tcW w:w="3141" w:type="dxa"/>
          </w:tcPr>
          <w:p>
            <w:pPr>
              <w:pStyle w:val="TableParagraph"/>
              <w:spacing w:before="31"/>
              <w:ind w:left="128"/>
              <w:rPr>
                <w:sz w:val="18"/>
              </w:rPr>
            </w:pPr>
            <w:r>
              <w:rPr>
                <w:sz w:val="18"/>
              </w:rPr>
              <w:t>高血压药物：</w:t>
            </w:r>
            <w:r>
              <w:rPr>
                <w:rFonts w:ascii="楷体" w:eastAsia="楷体" w:hint="eastAsia"/>
                <w:sz w:val="18"/>
              </w:rPr>
              <w:t>ACEIs </w:t>
            </w:r>
            <w:r>
              <w:rPr>
                <w:sz w:val="18"/>
              </w:rPr>
              <w:t>等；</w:t>
            </w:r>
          </w:p>
        </w:tc>
      </w:tr>
      <w:tr>
        <w:trPr>
          <w:trHeight w:val="291" w:hRule="atLeast"/>
        </w:trPr>
        <w:tc>
          <w:tcPr>
            <w:tcW w:w="3528" w:type="dxa"/>
          </w:tcPr>
          <w:p>
            <w:pPr>
              <w:pStyle w:val="TableParagraph"/>
              <w:spacing w:before="30"/>
              <w:ind w:right="119"/>
              <w:jc w:val="right"/>
              <w:rPr>
                <w:sz w:val="18"/>
              </w:rPr>
            </w:pPr>
            <w:r>
              <w:rPr>
                <w:sz w:val="18"/>
              </w:rPr>
              <w:t>药物治疗</w:t>
            </w:r>
          </w:p>
        </w:tc>
        <w:tc>
          <w:tcPr>
            <w:tcW w:w="3538" w:type="dxa"/>
          </w:tcPr>
          <w:p>
            <w:pPr>
              <w:pStyle w:val="TableParagraph"/>
              <w:spacing w:before="30"/>
              <w:ind w:left="120"/>
              <w:rPr>
                <w:sz w:val="18"/>
              </w:rPr>
            </w:pPr>
            <w:r>
              <w:rPr>
                <w:sz w:val="18"/>
              </w:rPr>
              <w:t>体拮抗剂；</w:t>
            </w:r>
          </w:p>
        </w:tc>
        <w:tc>
          <w:tcPr>
            <w:tcW w:w="3141" w:type="dxa"/>
          </w:tcPr>
          <w:p>
            <w:pPr>
              <w:pStyle w:val="TableParagraph"/>
              <w:spacing w:before="30"/>
              <w:ind w:left="128"/>
              <w:rPr>
                <w:sz w:val="18"/>
              </w:rPr>
            </w:pPr>
            <w:r>
              <w:rPr>
                <w:sz w:val="18"/>
              </w:rPr>
              <w:t>糖尿病药物：胰岛素等；</w:t>
            </w:r>
          </w:p>
        </w:tc>
      </w:tr>
      <w:tr>
        <w:trPr>
          <w:trHeight w:val="291" w:hRule="atLeast"/>
        </w:trPr>
        <w:tc>
          <w:tcPr>
            <w:tcW w:w="3528" w:type="dxa"/>
          </w:tcPr>
          <w:p>
            <w:pPr>
              <w:pStyle w:val="TableParagraph"/>
              <w:rPr>
                <w:rFonts w:ascii="Times New Roman"/>
                <w:sz w:val="18"/>
              </w:rPr>
            </w:pPr>
          </w:p>
        </w:tc>
        <w:tc>
          <w:tcPr>
            <w:tcW w:w="3538" w:type="dxa"/>
          </w:tcPr>
          <w:p>
            <w:pPr>
              <w:pStyle w:val="TableParagraph"/>
              <w:spacing w:before="31"/>
              <w:ind w:left="120"/>
              <w:rPr>
                <w:sz w:val="18"/>
              </w:rPr>
            </w:pPr>
            <w:r>
              <w:rPr>
                <w:sz w:val="18"/>
              </w:rPr>
              <w:t>控制精神症状：抗抑郁药物、抗精神药物</w:t>
            </w:r>
          </w:p>
        </w:tc>
        <w:tc>
          <w:tcPr>
            <w:tcW w:w="3141" w:type="dxa"/>
          </w:tcPr>
          <w:p>
            <w:pPr>
              <w:pStyle w:val="TableParagraph"/>
              <w:spacing w:before="31"/>
              <w:ind w:left="128"/>
              <w:rPr>
                <w:sz w:val="18"/>
              </w:rPr>
            </w:pPr>
            <w:r>
              <w:rPr>
                <w:sz w:val="18"/>
              </w:rPr>
              <w:t>降低未来中风风险：阿司匹林、氯吡</w:t>
            </w:r>
          </w:p>
        </w:tc>
      </w:tr>
      <w:tr>
        <w:trPr>
          <w:trHeight w:val="320" w:hRule="atLeast"/>
        </w:trPr>
        <w:tc>
          <w:tcPr>
            <w:tcW w:w="3528" w:type="dxa"/>
            <w:tcBorders>
              <w:bottom w:val="single" w:sz="4" w:space="0" w:color="000000"/>
            </w:tcBorders>
          </w:tcPr>
          <w:p>
            <w:pPr>
              <w:pStyle w:val="TableParagraph"/>
              <w:rPr>
                <w:rFonts w:ascii="Times New Roman"/>
                <w:sz w:val="18"/>
              </w:rPr>
            </w:pPr>
          </w:p>
        </w:tc>
        <w:tc>
          <w:tcPr>
            <w:tcW w:w="3538" w:type="dxa"/>
            <w:tcBorders>
              <w:bottom w:val="single" w:sz="4" w:space="0" w:color="000000"/>
            </w:tcBorders>
          </w:tcPr>
          <w:p>
            <w:pPr>
              <w:pStyle w:val="TableParagraph"/>
              <w:rPr>
                <w:rFonts w:ascii="Times New Roman"/>
                <w:sz w:val="18"/>
              </w:rPr>
            </w:pPr>
          </w:p>
        </w:tc>
        <w:tc>
          <w:tcPr>
            <w:tcW w:w="3141" w:type="dxa"/>
            <w:tcBorders>
              <w:bottom w:val="single" w:sz="4" w:space="0" w:color="000000"/>
            </w:tcBorders>
          </w:tcPr>
          <w:p>
            <w:pPr>
              <w:pStyle w:val="TableParagraph"/>
              <w:spacing w:before="30"/>
              <w:ind w:left="128"/>
              <w:rPr>
                <w:sz w:val="18"/>
              </w:rPr>
            </w:pPr>
            <w:r>
              <w:rPr>
                <w:sz w:val="18"/>
              </w:rPr>
              <w:t>格雷</w:t>
            </w:r>
          </w:p>
        </w:tc>
      </w:tr>
      <w:tr>
        <w:trPr>
          <w:trHeight w:val="207" w:hRule="atLeast"/>
        </w:trPr>
        <w:tc>
          <w:tcPr>
            <w:tcW w:w="10207" w:type="dxa"/>
            <w:gridSpan w:val="3"/>
          </w:tcPr>
          <w:p>
            <w:pPr>
              <w:pStyle w:val="TableParagraph"/>
              <w:spacing w:line="185" w:lineRule="exact" w:before="2"/>
              <w:ind w:left="2639" w:right="2668"/>
              <w:jc w:val="center"/>
              <w:rPr>
                <w:sz w:val="18"/>
              </w:rPr>
            </w:pPr>
            <w:r>
              <w:rPr>
                <w:sz w:val="18"/>
              </w:rPr>
              <w:t>资料来源：《黄手环行动》，兴业证券经济与金融研究院整理</w:t>
            </w:r>
          </w:p>
        </w:tc>
      </w:tr>
    </w:tbl>
    <w:p>
      <w:pPr>
        <w:pStyle w:val="BodyText"/>
        <w:spacing w:before="11"/>
      </w:pPr>
    </w:p>
    <w:p>
      <w:pPr>
        <w:pStyle w:val="ListParagraph"/>
        <w:numPr>
          <w:ilvl w:val="1"/>
          <w:numId w:val="3"/>
        </w:numPr>
        <w:tabs>
          <w:tab w:pos="3714" w:val="left" w:leader="none"/>
        </w:tabs>
        <w:spacing w:line="429" w:lineRule="exact" w:before="0" w:after="0"/>
        <w:ind w:left="3713" w:right="0" w:hanging="551"/>
        <w:jc w:val="left"/>
        <w:rPr>
          <w:rFonts w:ascii="Microsoft JhengHei" w:eastAsia="Microsoft JhengHei" w:hint="eastAsia"/>
          <w:b/>
          <w:sz w:val="24"/>
        </w:rPr>
      </w:pPr>
      <w:bookmarkStart w:name="_bookmark3" w:id="5"/>
      <w:bookmarkEnd w:id="5"/>
      <w:r>
        <w:rPr/>
      </w:r>
      <w:bookmarkStart w:name="_bookmark3" w:id="6"/>
      <w:bookmarkEnd w:id="6"/>
      <w:r>
        <w:rPr>
          <w:rFonts w:ascii="Microsoft JhengHei" w:eastAsia="Microsoft JhengHei" w:hint="eastAsia"/>
          <w:b/>
          <w:color w:val="333366"/>
          <w:sz w:val="24"/>
        </w:rPr>
        <w:t>病理学</w:t>
      </w:r>
    </w:p>
    <w:p>
      <w:pPr>
        <w:pStyle w:val="BodyText"/>
        <w:spacing w:line="304" w:lineRule="auto" w:before="210"/>
        <w:ind w:left="3163" w:right="729"/>
      </w:pPr>
      <w:r>
        <w:rPr>
          <w:spacing w:val="-3"/>
        </w:rPr>
        <w:t>阿尔茨海默病涉及多种病理生理变化，发病机制多元化且尚无定论，包括β</w:t>
      </w:r>
      <w:r>
        <w:rPr>
          <w:spacing w:val="-6"/>
        </w:rPr>
        <w:t>淀粉</w:t>
      </w:r>
      <w:r>
        <w:rPr>
          <w:spacing w:val="-3"/>
        </w:rPr>
        <w:t>样蛋白级联假说、</w:t>
      </w:r>
      <w:r>
        <w:rPr>
          <w:rFonts w:ascii="楷体" w:hAnsi="楷体" w:eastAsia="楷体" w:hint="eastAsia"/>
        </w:rPr>
        <w:t>Tau</w:t>
      </w:r>
      <w:r>
        <w:rPr>
          <w:rFonts w:ascii="楷体" w:hAnsi="楷体" w:eastAsia="楷体" w:hint="eastAsia"/>
          <w:spacing w:val="-53"/>
        </w:rPr>
        <w:t> </w:t>
      </w:r>
      <w:r>
        <w:rPr>
          <w:spacing w:val="-3"/>
        </w:rPr>
        <w:t>蛋白假说等。</w:t>
      </w:r>
    </w:p>
    <w:p>
      <w:pPr>
        <w:pStyle w:val="BodyText"/>
        <w:spacing w:before="4"/>
        <w:rPr>
          <w:sz w:val="28"/>
        </w:rPr>
      </w:pPr>
    </w:p>
    <w:tbl>
      <w:tblPr>
        <w:tblW w:w="0" w:type="auto"/>
        <w:jc w:val="left"/>
        <w:tblInd w:w="12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388"/>
      </w:tblGrid>
      <w:tr>
        <w:trPr>
          <w:trHeight w:val="332" w:hRule="atLeast"/>
        </w:trPr>
        <w:tc>
          <w:tcPr>
            <w:tcW w:w="9388" w:type="dxa"/>
            <w:tcBorders>
              <w:bottom w:val="single" w:sz="4" w:space="0" w:color="000000"/>
            </w:tcBorders>
          </w:tcPr>
          <w:p>
            <w:pPr>
              <w:pStyle w:val="TableParagraph"/>
              <w:spacing w:line="288" w:lineRule="exact"/>
              <w:ind w:left="105"/>
              <w:rPr>
                <w:rFonts w:ascii="Microsoft JhengHei" w:eastAsia="Microsoft JhengHei" w:hint="eastAsia"/>
                <w:b/>
                <w:sz w:val="21"/>
              </w:rPr>
            </w:pPr>
            <w:bookmarkStart w:name="_bookmark4" w:id="7"/>
            <w:bookmarkEnd w:id="7"/>
            <w:r>
              <w:rPr/>
            </w:r>
            <w:r>
              <w:rPr>
                <w:rFonts w:ascii="Microsoft JhengHei" w:eastAsia="Microsoft JhengHei" w:hint="eastAsia"/>
                <w:b/>
                <w:sz w:val="21"/>
              </w:rPr>
              <w:t>图 1、</w:t>
            </w:r>
            <w:r>
              <w:rPr>
                <w:rFonts w:ascii="Microsoft JhengHei" w:eastAsia="Microsoft JhengHei" w:hint="eastAsia"/>
                <w:b/>
                <w:w w:val="95"/>
                <w:sz w:val="21"/>
              </w:rPr>
              <w:t>AD </w:t>
            </w:r>
            <w:r>
              <w:rPr>
                <w:rFonts w:ascii="Microsoft JhengHei" w:eastAsia="Microsoft JhengHei" w:hint="eastAsia"/>
                <w:b/>
                <w:sz w:val="21"/>
              </w:rPr>
              <w:t>相关病理机制概览</w:t>
            </w:r>
          </w:p>
        </w:tc>
      </w:tr>
      <w:tr>
        <w:trPr>
          <w:trHeight w:val="4875" w:hRule="atLeast"/>
        </w:trPr>
        <w:tc>
          <w:tcPr>
            <w:tcW w:w="9388" w:type="dxa"/>
            <w:tcBorders>
              <w:top w:val="single" w:sz="4" w:space="0" w:color="000000"/>
              <w:bottom w:val="single" w:sz="4" w:space="0" w:color="000000"/>
            </w:tcBorders>
          </w:tcPr>
          <w:p>
            <w:pPr>
              <w:pStyle w:val="TableParagraph"/>
              <w:spacing w:before="6"/>
              <w:rPr>
                <w:sz w:val="18"/>
              </w:rPr>
            </w:pPr>
          </w:p>
          <w:p>
            <w:pPr>
              <w:pStyle w:val="TableParagraph"/>
              <w:ind w:left="134"/>
              <w:rPr>
                <w:sz w:val="20"/>
              </w:rPr>
            </w:pPr>
            <w:r>
              <w:rPr>
                <w:sz w:val="20"/>
              </w:rPr>
              <w:drawing>
                <wp:inline distT="0" distB="0" distL="0" distR="0">
                  <wp:extent cx="5737914" cy="2734055"/>
                  <wp:effectExtent l="0" t="0" r="0" b="0"/>
                  <wp:docPr id="7" name="image3.jpeg"/>
                  <wp:cNvGraphicFramePr>
                    <a:graphicFrameLocks noChangeAspect="1"/>
                  </wp:cNvGraphicFramePr>
                  <a:graphic>
                    <a:graphicData uri="http://schemas.openxmlformats.org/drawingml/2006/picture">
                      <pic:pic>
                        <pic:nvPicPr>
                          <pic:cNvPr id="8" name="image3.jpeg"/>
                          <pic:cNvPicPr/>
                        </pic:nvPicPr>
                        <pic:blipFill>
                          <a:blip r:embed="rId16" cstate="print"/>
                          <a:stretch>
                            <a:fillRect/>
                          </a:stretch>
                        </pic:blipFill>
                        <pic:spPr>
                          <a:xfrm>
                            <a:off x="0" y="0"/>
                            <a:ext cx="5737914" cy="2734055"/>
                          </a:xfrm>
                          <a:prstGeom prst="rect">
                            <a:avLst/>
                          </a:prstGeom>
                        </pic:spPr>
                      </pic:pic>
                    </a:graphicData>
                  </a:graphic>
                </wp:inline>
              </w:drawing>
            </w:r>
            <w:r>
              <w:rPr>
                <w:sz w:val="20"/>
              </w:rPr>
            </w:r>
          </w:p>
        </w:tc>
      </w:tr>
      <w:tr>
        <w:trPr>
          <w:trHeight w:val="226" w:hRule="atLeast"/>
        </w:trPr>
        <w:tc>
          <w:tcPr>
            <w:tcW w:w="9388" w:type="dxa"/>
            <w:tcBorders>
              <w:top w:val="single" w:sz="4" w:space="0" w:color="000000"/>
            </w:tcBorders>
          </w:tcPr>
          <w:p>
            <w:pPr>
              <w:pStyle w:val="TableParagraph"/>
              <w:spacing w:line="185" w:lineRule="exact" w:before="21"/>
              <w:ind w:left="105"/>
              <w:rPr>
                <w:sz w:val="18"/>
              </w:rPr>
            </w:pPr>
            <w:r>
              <w:rPr>
                <w:sz w:val="18"/>
              </w:rPr>
              <w:t>资料来源：</w:t>
            </w:r>
            <w:r>
              <w:rPr>
                <w:rFonts w:ascii="楷体" w:eastAsia="楷体" w:hint="eastAsia"/>
                <w:sz w:val="18"/>
              </w:rPr>
              <w:t>Curr Neuropharmacol,2020,18(11):1106-1125</w:t>
            </w:r>
            <w:r>
              <w:rPr>
                <w:sz w:val="18"/>
              </w:rPr>
              <w:t>，兴业证券经济与金融研究院整理</w:t>
            </w:r>
          </w:p>
        </w:tc>
      </w:tr>
    </w:tbl>
    <w:p>
      <w:pPr>
        <w:pStyle w:val="BodyText"/>
        <w:rPr>
          <w:sz w:val="20"/>
        </w:rPr>
      </w:pPr>
    </w:p>
    <w:p>
      <w:pPr>
        <w:pStyle w:val="BodyText"/>
        <w:spacing w:before="2"/>
        <w:rPr>
          <w:sz w:val="25"/>
        </w:rPr>
      </w:pPr>
    </w:p>
    <w:p>
      <w:pPr>
        <w:pStyle w:val="Heading3"/>
        <w:numPr>
          <w:ilvl w:val="2"/>
          <w:numId w:val="3"/>
        </w:numPr>
        <w:tabs>
          <w:tab w:pos="3858" w:val="left" w:leader="none"/>
        </w:tabs>
        <w:spacing w:line="240" w:lineRule="auto" w:before="2" w:after="0"/>
        <w:ind w:left="3857" w:right="0" w:hanging="695"/>
        <w:jc w:val="left"/>
        <w:rPr>
          <w:color w:val="333366"/>
        </w:rPr>
      </w:pPr>
      <w:bookmarkStart w:name="_bookmark5" w:id="8"/>
      <w:bookmarkEnd w:id="8"/>
      <w:r>
        <w:rPr>
          <w:b w:val="0"/>
        </w:rPr>
      </w:r>
      <w:bookmarkStart w:name="_bookmark5" w:id="9"/>
      <w:bookmarkEnd w:id="9"/>
      <w:r>
        <w:rPr>
          <w:color w:val="333366"/>
          <w:w w:val="105"/>
        </w:rPr>
        <w:t>β</w:t>
      </w:r>
      <w:r>
        <w:rPr>
          <w:color w:val="333366"/>
          <w:spacing w:val="-1"/>
          <w:w w:val="105"/>
        </w:rPr>
        <w:t>淀粉样蛋白级联假说</w:t>
      </w:r>
    </w:p>
    <w:p>
      <w:pPr>
        <w:pStyle w:val="BodyText"/>
        <w:spacing w:before="14"/>
        <w:rPr>
          <w:rFonts w:ascii="Microsoft JhengHei"/>
          <w:b/>
          <w:sz w:val="11"/>
        </w:rPr>
      </w:pPr>
    </w:p>
    <w:p>
      <w:pPr>
        <w:pStyle w:val="BodyText"/>
        <w:spacing w:line="302" w:lineRule="auto"/>
        <w:ind w:left="3163" w:right="723"/>
        <w:jc w:val="both"/>
      </w:pPr>
      <w:r>
        <w:rPr/>
        <w:t>β</w:t>
      </w:r>
      <w:r>
        <w:rPr>
          <w:spacing w:val="-5"/>
        </w:rPr>
        <w:t>淀粉样蛋白级联假说是 </w:t>
      </w:r>
      <w:r>
        <w:rPr>
          <w:rFonts w:ascii="Times New Roman" w:hAnsi="Times New Roman" w:eastAsia="Times New Roman"/>
        </w:rPr>
        <w:t>AD </w:t>
      </w:r>
      <w:r>
        <w:rPr>
          <w:spacing w:val="-3"/>
        </w:rPr>
        <w:t>最流行的假说。随着年龄的增长或β</w:t>
      </w:r>
      <w:r>
        <w:rPr/>
        <w:t>和</w:t>
      </w:r>
      <w:r>
        <w:rPr>
          <w:spacing w:val="-3"/>
        </w:rPr>
        <w:t>γ</w:t>
      </w:r>
      <w:r>
        <w:rPr>
          <w:spacing w:val="-2"/>
        </w:rPr>
        <w:t>分泌酶的</w:t>
      </w:r>
      <w:r>
        <w:rPr>
          <w:spacing w:val="-15"/>
        </w:rPr>
        <w:t>功能异常，导致 </w:t>
      </w:r>
      <w:r>
        <w:rPr>
          <w:rFonts w:ascii="Times New Roman" w:hAnsi="Times New Roman" w:eastAsia="Times New Roman"/>
          <w:spacing w:val="-14"/>
        </w:rPr>
        <w:t>APP</w:t>
      </w:r>
      <w:r>
        <w:rPr>
          <w:spacing w:val="-14"/>
        </w:rPr>
        <w:t>（</w:t>
      </w:r>
      <w:r>
        <w:rPr>
          <w:spacing w:val="-3"/>
        </w:rPr>
        <w:t>淀粉样蛋白前体蛋白</w:t>
      </w:r>
      <w:r>
        <w:rPr>
          <w:spacing w:val="-51"/>
        </w:rPr>
        <w:t>）</w:t>
      </w:r>
      <w:r>
        <w:rPr>
          <w:spacing w:val="-10"/>
        </w:rPr>
        <w:t>产生过多 </w:t>
      </w:r>
      <w:r>
        <w:rPr>
          <w:rFonts w:ascii="Times New Roman" w:hAnsi="Times New Roman" w:eastAsia="Times New Roman"/>
        </w:rPr>
        <w:t>A</w:t>
      </w:r>
      <w:r>
        <w:rPr/>
        <w:t>β</w:t>
      </w:r>
      <w:r>
        <w:rPr>
          <w:spacing w:val="-10"/>
        </w:rPr>
        <w:t>到神经元胞外沉积</w:t>
      </w:r>
      <w:r>
        <w:rPr/>
        <w:t>（经</w:t>
      </w:r>
      <w:r>
        <w:rPr>
          <w:spacing w:val="-6"/>
        </w:rPr>
        <w:t>历 </w:t>
      </w:r>
      <w:r>
        <w:rPr>
          <w:rFonts w:ascii="Times New Roman" w:hAnsi="Times New Roman" w:eastAsia="Times New Roman"/>
        </w:rPr>
        <w:t>A</w:t>
      </w:r>
      <w:r>
        <w:rPr/>
        <w:t>β</w:t>
      </w:r>
      <w:r>
        <w:rPr>
          <w:rFonts w:ascii="Times New Roman" w:hAnsi="Times New Roman" w:eastAsia="Times New Roman"/>
        </w:rPr>
        <w:t>42 </w:t>
      </w:r>
      <w:r>
        <w:rPr>
          <w:spacing w:val="-2"/>
        </w:rPr>
        <w:t>单体</w:t>
      </w:r>
      <w:r>
        <w:rPr>
          <w:rFonts w:ascii="Times New Roman" w:hAnsi="Times New Roman" w:eastAsia="Times New Roman"/>
        </w:rPr>
        <w:t>-A</w:t>
      </w:r>
      <w:r>
        <w:rPr/>
        <w:t>β</w:t>
      </w:r>
      <w:r>
        <w:rPr>
          <w:rFonts w:ascii="Times New Roman" w:hAnsi="Times New Roman" w:eastAsia="Times New Roman"/>
        </w:rPr>
        <w:t>42 </w:t>
      </w:r>
      <w:r>
        <w:rPr>
          <w:spacing w:val="-2"/>
        </w:rPr>
        <w:t>寡聚体</w:t>
      </w:r>
      <w:r>
        <w:rPr>
          <w:rFonts w:ascii="Times New Roman" w:hAnsi="Times New Roman" w:eastAsia="Times New Roman"/>
          <w:spacing w:val="-2"/>
        </w:rPr>
        <w:t>-A</w:t>
      </w:r>
      <w:r>
        <w:rPr>
          <w:spacing w:val="-2"/>
        </w:rPr>
        <w:t>β斑块形成</w:t>
      </w:r>
      <w:r>
        <w:rPr>
          <w:rFonts w:ascii="Times New Roman" w:hAnsi="Times New Roman" w:eastAsia="Times New Roman"/>
          <w:spacing w:val="-2"/>
        </w:rPr>
        <w:t>-A</w:t>
      </w:r>
      <w:r>
        <w:rPr>
          <w:spacing w:val="-2"/>
        </w:rPr>
        <w:t>β</w:t>
      </w:r>
      <w:r>
        <w:rPr>
          <w:spacing w:val="-3"/>
        </w:rPr>
        <w:t>神经元胞外沉积</w:t>
      </w:r>
      <w:r>
        <w:rPr/>
        <w:t>）</w:t>
      </w:r>
      <w:r>
        <w:rPr>
          <w:spacing w:val="-3"/>
        </w:rPr>
        <w:t>，诱发线粒体损伤，破坏系统稳态并导致突触功能障碍，部分研究表明 </w:t>
      </w:r>
      <w:r>
        <w:rPr>
          <w:rFonts w:ascii="Times New Roman" w:hAnsi="Times New Roman" w:eastAsia="Times New Roman"/>
        </w:rPr>
        <w:t>A</w:t>
      </w:r>
      <w:r>
        <w:rPr/>
        <w:t>β</w:t>
      </w:r>
      <w:r>
        <w:rPr>
          <w:spacing w:val="-3"/>
        </w:rPr>
        <w:t>神经毒性是由可溶性淀粉样蛋白低聚物而非不溶性聚集体介导的。β淀粉样蛋白级联假说强调 </w:t>
      </w:r>
      <w:r>
        <w:rPr>
          <w:rFonts w:ascii="Times New Roman" w:hAnsi="Times New Roman" w:eastAsia="Times New Roman"/>
        </w:rPr>
        <w:t>A</w:t>
      </w:r>
      <w:r>
        <w:rPr/>
        <w:t>β</w:t>
      </w:r>
    </w:p>
    <w:p>
      <w:pPr>
        <w:spacing w:after="0" w:line="302" w:lineRule="auto"/>
        <w:jc w:val="both"/>
        <w:sectPr>
          <w:headerReference w:type="default" r:id="rId14"/>
          <w:footerReference w:type="default" r:id="rId15"/>
          <w:pgSz w:w="11910" w:h="16840"/>
          <w:pgMar w:header="868" w:footer="1201" w:top="1400" w:bottom="1400" w:left="240" w:right="400"/>
        </w:sectPr>
      </w:pPr>
    </w:p>
    <w:p>
      <w:pPr>
        <w:pStyle w:val="BodyText"/>
        <w:spacing w:before="4"/>
        <w:rPr>
          <w:sz w:val="13"/>
        </w:rPr>
      </w:pPr>
    </w:p>
    <w:p>
      <w:pPr>
        <w:pStyle w:val="BodyText"/>
        <w:spacing w:line="20" w:lineRule="exact"/>
        <w:ind w:left="614"/>
        <w:rPr>
          <w:sz w:val="2"/>
        </w:rPr>
      </w:pPr>
      <w:r>
        <w:rPr>
          <w:sz w:val="2"/>
        </w:rPr>
        <w:pict>
          <v:group style="width:508.1pt;height:.75pt;mso-position-horizontal-relative:char;mso-position-vertical-relative:line" coordorigin="0,0" coordsize="10162,15">
            <v:rect style="position:absolute;left:0;top:0;width:10162;height:15" filled="true" fillcolor="#333366" stroked="false">
              <v:fill type="solid"/>
            </v:rect>
          </v:group>
        </w:pict>
      </w:r>
      <w:r>
        <w:rPr>
          <w:sz w:val="2"/>
        </w:rPr>
      </w:r>
    </w:p>
    <w:p>
      <w:pPr>
        <w:pStyle w:val="BodyText"/>
        <w:spacing w:line="304" w:lineRule="auto" w:after="18"/>
        <w:ind w:left="3163" w:right="729"/>
        <w:jc w:val="both"/>
      </w:pPr>
      <w:r>
        <w:rPr/>
        <w:pict>
          <v:group style="position:absolute;margin-left:145.399994pt;margin-top:57.589981pt;width:374.95pt;height:192.95pt;mso-position-horizontal-relative:page;mso-position-vertical-relative:paragraph;z-index:-17886208" coordorigin="2908,1152" coordsize="7499,3859">
            <v:shape style="position:absolute;left:2908;top:1166;width:4303;height:3844" type="#_x0000_t75" stroked="false">
              <v:imagedata r:id="rId17" o:title=""/>
            </v:shape>
            <v:shape style="position:absolute;left:7274;top:1166;width:3118;height:2890" coordorigin="7275,1167" coordsize="3118,2890" path="m7275,1246l7281,1215,7298,1190,7323,1173,7354,1167,10313,1167,10344,1173,10369,1190,10386,1215,10392,1246,10392,1562,10386,1593,10369,1618,10344,1635,10313,1642,7354,1642,7323,1635,7298,1618,7281,1593,7275,1562,7275,1246xm7277,1931l7287,1883,7313,1844,7352,1817,7400,1808,10262,1808,10310,1817,10349,1844,10376,1883,10386,1931,10386,2423,10376,2471,10349,2510,10310,2537,10262,2547,7400,2547,7352,2537,7313,2510,7287,2471,7277,2423,7277,1931xm7277,2817l7286,2776,7308,2743,7341,2721,7381,2713,10274,2713,10315,2721,10348,2743,10370,2776,10379,2817,10379,3234,10370,3274,10348,3307,10315,3330,10274,3338,7381,3338,7341,3330,7308,3307,7286,3274,7277,3234,7277,2817xm7284,3569l7292,3531,7313,3500,7344,3479,7382,3472,10275,3472,10313,3479,10343,3500,10364,3531,10372,3569,10372,3959,10364,3997,10343,4027,10313,4048,10275,4056,7382,4056,7344,4048,7313,4027,7292,3997,7284,3959,7284,3569xe" filled="false" stroked="true" strokeweight="1.5pt" strokecolor="#ffc000">
              <v:path arrowok="t"/>
              <v:stroke dashstyle="solid"/>
            </v:shape>
            <v:shape style="position:absolute;left:8757;top:1641;width:152;height:167" type="#_x0000_t75" stroked="false">
              <v:imagedata r:id="rId18" o:title=""/>
            </v:shape>
            <v:shape style="position:absolute;left:8755;top:2546;width:152;height:167" type="#_x0000_t75" stroked="false">
              <v:imagedata r:id="rId19" o:title=""/>
            </v:shape>
            <v:shape style="position:absolute;left:7288;top:4221;width:3095;height:778" coordorigin="7289,4222" coordsize="3095,778" path="m7289,4351l7299,4301,7327,4260,7368,4232,7419,4222,10253,4222,10304,4232,10345,4260,10373,4301,10383,4351,10383,4870,10373,4920,10345,4961,10304,4989,10253,4999,7419,4999,7368,4989,7327,4961,7299,4920,7289,4870,7289,4351xe" filled="false" stroked="true" strokeweight="1pt" strokecolor="#ec7c30">
              <v:path arrowok="t"/>
              <v:stroke dashstyle="solid"/>
            </v:shape>
            <w10:wrap type="none"/>
          </v:group>
        </w:pict>
      </w:r>
      <w:r>
        <w:rPr/>
        <w:t>寡聚体及淀粉样斑块的形成对神经变性的作用，目前争议主要在于具体致病因素的认定，也有学者认为可溶性</w:t>
      </w:r>
      <w:r>
        <w:rPr>
          <w:rFonts w:ascii="Times New Roman" w:hAnsi="Times New Roman" w:eastAsia="Times New Roman"/>
        </w:rPr>
        <w:t>A</w:t>
      </w:r>
      <w:r>
        <w:rPr/>
        <w:t>β的消耗或为致病因素。</w:t>
      </w:r>
    </w:p>
    <w:tbl>
      <w:tblPr>
        <w:tblW w:w="0" w:type="auto"/>
        <w:jc w:val="left"/>
        <w:tblInd w:w="21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608"/>
      </w:tblGrid>
      <w:tr>
        <w:trPr>
          <w:trHeight w:val="315" w:hRule="atLeast"/>
        </w:trPr>
        <w:tc>
          <w:tcPr>
            <w:tcW w:w="8608" w:type="dxa"/>
            <w:tcBorders>
              <w:bottom w:val="single" w:sz="4" w:space="0" w:color="000000"/>
            </w:tcBorders>
          </w:tcPr>
          <w:p>
            <w:pPr>
              <w:pStyle w:val="TableParagraph"/>
              <w:spacing w:line="295" w:lineRule="exact"/>
              <w:ind w:left="108"/>
              <w:rPr>
                <w:rFonts w:ascii="Microsoft JhengHei" w:hAnsi="Microsoft JhengHei" w:eastAsia="Microsoft JhengHei" w:hint="eastAsia"/>
                <w:b/>
                <w:sz w:val="21"/>
              </w:rPr>
            </w:pPr>
            <w:bookmarkStart w:name="_bookmark6" w:id="10"/>
            <w:bookmarkEnd w:id="10"/>
            <w:r>
              <w:rPr/>
            </w:r>
            <w:r>
              <w:rPr>
                <w:rFonts w:ascii="Microsoft JhengHei" w:hAnsi="Microsoft JhengHei" w:eastAsia="Microsoft JhengHei" w:hint="eastAsia"/>
                <w:b/>
                <w:w w:val="105"/>
                <w:sz w:val="21"/>
              </w:rPr>
              <w:t>图 </w:t>
            </w:r>
            <w:r>
              <w:rPr>
                <w:rFonts w:ascii="Times New Roman" w:hAnsi="Times New Roman" w:eastAsia="Times New Roman"/>
                <w:b/>
                <w:w w:val="105"/>
                <w:sz w:val="21"/>
              </w:rPr>
              <w:t>2</w:t>
            </w:r>
            <w:r>
              <w:rPr>
                <w:rFonts w:ascii="Microsoft JhengHei" w:hAnsi="Microsoft JhengHei" w:eastAsia="Microsoft JhengHei" w:hint="eastAsia"/>
                <w:b/>
                <w:w w:val="105"/>
                <w:sz w:val="21"/>
              </w:rPr>
              <w:t>、</w:t>
            </w:r>
            <w:r>
              <w:rPr>
                <w:rFonts w:ascii="Times New Roman" w:hAnsi="Times New Roman" w:eastAsia="Times New Roman"/>
                <w:b/>
                <w:w w:val="105"/>
                <w:sz w:val="21"/>
              </w:rPr>
              <w:t>A</w:t>
            </w:r>
            <w:r>
              <w:rPr>
                <w:rFonts w:ascii="Microsoft JhengHei" w:hAnsi="Microsoft JhengHei" w:eastAsia="Microsoft JhengHei" w:hint="eastAsia"/>
                <w:b/>
                <w:w w:val="105"/>
                <w:sz w:val="21"/>
              </w:rPr>
              <w:t>β淀粉样蛋白级联假说</w:t>
            </w:r>
          </w:p>
        </w:tc>
      </w:tr>
      <w:tr>
        <w:trPr>
          <w:trHeight w:val="138" w:hRule="atLeast"/>
        </w:trPr>
        <w:tc>
          <w:tcPr>
            <w:tcW w:w="8608" w:type="dxa"/>
            <w:tcBorders>
              <w:top w:val="single" w:sz="4" w:space="0" w:color="000000"/>
            </w:tcBorders>
          </w:tcPr>
          <w:p>
            <w:pPr>
              <w:pStyle w:val="TableParagraph"/>
              <w:rPr>
                <w:rFonts w:ascii="Times New Roman"/>
                <w:sz w:val="8"/>
              </w:rPr>
            </w:pPr>
          </w:p>
        </w:tc>
      </w:tr>
      <w:tr>
        <w:trPr>
          <w:trHeight w:val="3832" w:hRule="atLeast"/>
        </w:trPr>
        <w:tc>
          <w:tcPr>
            <w:tcW w:w="8608" w:type="dxa"/>
          </w:tcPr>
          <w:p>
            <w:pPr>
              <w:pStyle w:val="TableParagraph"/>
              <w:spacing w:before="8"/>
              <w:rPr>
                <w:sz w:val="10"/>
              </w:rPr>
            </w:pPr>
          </w:p>
          <w:p>
            <w:pPr>
              <w:pStyle w:val="TableParagraph"/>
              <w:ind w:left="5125" w:right="657"/>
              <w:jc w:val="center"/>
              <w:rPr>
                <w:sz w:val="15"/>
              </w:rPr>
            </w:pPr>
            <w:r>
              <w:rPr>
                <w:rFonts w:ascii="楷体" w:hAnsi="楷体" w:eastAsia="楷体" w:hint="eastAsia"/>
                <w:sz w:val="15"/>
              </w:rPr>
              <w:t>β-分泌酶启动毒性途径，导致 C99 生成</w:t>
            </w:r>
            <w:r>
              <w:rPr>
                <w:sz w:val="15"/>
              </w:rPr>
              <w:t> </w:t>
            </w:r>
          </w:p>
          <w:p>
            <w:pPr>
              <w:pStyle w:val="TableParagraph"/>
              <w:rPr>
                <w:sz w:val="14"/>
              </w:rPr>
            </w:pPr>
          </w:p>
          <w:p>
            <w:pPr>
              <w:pStyle w:val="TableParagraph"/>
              <w:spacing w:before="5"/>
              <w:rPr>
                <w:sz w:val="20"/>
              </w:rPr>
            </w:pPr>
          </w:p>
          <w:p>
            <w:pPr>
              <w:pStyle w:val="TableParagraph"/>
              <w:spacing w:line="199" w:lineRule="auto"/>
              <w:ind w:left="5185" w:right="792"/>
              <w:jc w:val="center"/>
              <w:rPr>
                <w:sz w:val="15"/>
              </w:rPr>
            </w:pPr>
            <w:r>
              <w:rPr>
                <w:rFonts w:ascii="楷体" w:hAnsi="楷体" w:eastAsia="楷体" w:hint="eastAsia"/>
                <w:sz w:val="15"/>
              </w:rPr>
              <w:t>C99 被γ-分泌酶非精确切割，产生大小不一的Aβ 片段（主要是 </w:t>
            </w:r>
            <w:r>
              <w:rPr>
                <w:rFonts w:ascii="楷体" w:hAnsi="楷体" w:eastAsia="楷体" w:hint="eastAsia"/>
                <w:b/>
                <w:sz w:val="15"/>
              </w:rPr>
              <w:t>Aβ40</w:t>
            </w:r>
            <w:r>
              <w:rPr>
                <w:rFonts w:ascii="楷体" w:hAnsi="楷体" w:eastAsia="楷体" w:hint="eastAsia"/>
                <w:sz w:val="15"/>
              </w:rPr>
              <w:t>、</w:t>
            </w:r>
            <w:r>
              <w:rPr>
                <w:rFonts w:ascii="楷体" w:hAnsi="楷体" w:eastAsia="楷体" w:hint="eastAsia"/>
                <w:b/>
                <w:sz w:val="15"/>
              </w:rPr>
              <w:t>Aβ42</w:t>
            </w:r>
            <w:r>
              <w:rPr>
                <w:rFonts w:ascii="楷体" w:hAnsi="楷体" w:eastAsia="楷体" w:hint="eastAsia"/>
                <w:sz w:val="15"/>
              </w:rPr>
              <w:t>）和 AICD 片段</w:t>
            </w:r>
            <w:r>
              <w:rPr>
                <w:sz w:val="15"/>
              </w:rPr>
              <w:t> </w:t>
            </w:r>
          </w:p>
          <w:p>
            <w:pPr>
              <w:pStyle w:val="TableParagraph"/>
              <w:rPr>
                <w:sz w:val="14"/>
              </w:rPr>
            </w:pPr>
          </w:p>
          <w:p>
            <w:pPr>
              <w:pStyle w:val="TableParagraph"/>
              <w:rPr>
                <w:sz w:val="18"/>
              </w:rPr>
            </w:pPr>
          </w:p>
          <w:p>
            <w:pPr>
              <w:pStyle w:val="TableParagraph"/>
              <w:spacing w:line="186" w:lineRule="exact"/>
              <w:ind w:left="5083" w:right="700"/>
              <w:jc w:val="center"/>
              <w:rPr>
                <w:rFonts w:ascii="楷体" w:hAnsi="楷体" w:eastAsia="楷体" w:hint="eastAsia"/>
                <w:sz w:val="15"/>
              </w:rPr>
            </w:pPr>
            <w:r>
              <w:rPr>
                <w:rFonts w:ascii="楷体" w:hAnsi="楷体" w:eastAsia="楷体" w:hint="eastAsia"/>
                <w:sz w:val="15"/>
              </w:rPr>
              <w:t>可溶性异常沉积的Aβ42 比Aβ40 更易于</w:t>
            </w:r>
          </w:p>
          <w:p>
            <w:pPr>
              <w:pStyle w:val="TableParagraph"/>
              <w:spacing w:line="186" w:lineRule="exact"/>
              <w:ind w:left="5083" w:right="700"/>
              <w:jc w:val="center"/>
              <w:rPr>
                <w:rFonts w:ascii="楷体" w:eastAsia="楷体" w:hint="eastAsia"/>
                <w:sz w:val="15"/>
              </w:rPr>
            </w:pPr>
            <w:r>
              <w:rPr>
                <w:rFonts w:ascii="楷体" w:eastAsia="楷体" w:hint="eastAsia"/>
                <w:sz w:val="15"/>
              </w:rPr>
              <w:t>聚集和形成斑块，神经毒性更强</w:t>
            </w:r>
          </w:p>
          <w:p>
            <w:pPr>
              <w:pStyle w:val="TableParagraph"/>
              <w:rPr>
                <w:sz w:val="14"/>
              </w:rPr>
            </w:pPr>
          </w:p>
          <w:p>
            <w:pPr>
              <w:pStyle w:val="TableParagraph"/>
              <w:rPr>
                <w:sz w:val="17"/>
              </w:rPr>
            </w:pPr>
          </w:p>
          <w:p>
            <w:pPr>
              <w:pStyle w:val="TableParagraph"/>
              <w:spacing w:line="196" w:lineRule="auto"/>
              <w:ind w:left="5144" w:right="759"/>
              <w:jc w:val="center"/>
              <w:rPr>
                <w:rFonts w:ascii="楷体" w:eastAsia="楷体" w:hint="eastAsia"/>
                <w:sz w:val="15"/>
              </w:rPr>
            </w:pPr>
            <w:r>
              <w:rPr>
                <w:rFonts w:ascii="楷体" w:eastAsia="楷体" w:hint="eastAsia"/>
                <w:sz w:val="15"/>
              </w:rPr>
              <w:t>同时，小胶质细胞和星形胶质细胞被激活并诱导相关炎症反应和氧化</w:t>
            </w:r>
          </w:p>
          <w:p>
            <w:pPr>
              <w:pStyle w:val="TableParagraph"/>
              <w:rPr>
                <w:sz w:val="14"/>
              </w:rPr>
            </w:pPr>
          </w:p>
          <w:p>
            <w:pPr>
              <w:pStyle w:val="TableParagraph"/>
              <w:spacing w:before="5"/>
              <w:rPr>
                <w:sz w:val="20"/>
              </w:rPr>
            </w:pPr>
          </w:p>
          <w:p>
            <w:pPr>
              <w:pStyle w:val="TableParagraph"/>
              <w:spacing w:line="196" w:lineRule="auto"/>
              <w:ind w:left="5153" w:right="745"/>
              <w:jc w:val="center"/>
              <w:rPr>
                <w:rFonts w:ascii="楷体" w:hAnsi="楷体" w:eastAsia="楷体" w:hint="eastAsia"/>
                <w:sz w:val="15"/>
              </w:rPr>
            </w:pPr>
            <w:r>
              <w:rPr>
                <w:rFonts w:ascii="楷体" w:hAnsi="楷体" w:eastAsia="楷体" w:hint="eastAsia"/>
                <w:sz w:val="15"/>
              </w:rPr>
              <w:t>可溶性Aβ 寡聚物比纤维状毒性更高，引起对突触膜的氧化损伤外还能诱导tau 蛋白过度磷酸化</w:t>
            </w:r>
          </w:p>
        </w:tc>
      </w:tr>
      <w:tr>
        <w:trPr>
          <w:trHeight w:val="78" w:hRule="atLeast"/>
        </w:trPr>
        <w:tc>
          <w:tcPr>
            <w:tcW w:w="8608" w:type="dxa"/>
            <w:tcBorders>
              <w:bottom w:val="single" w:sz="4" w:space="0" w:color="000000"/>
            </w:tcBorders>
          </w:tcPr>
          <w:p>
            <w:pPr>
              <w:pStyle w:val="TableParagraph"/>
              <w:rPr>
                <w:rFonts w:ascii="Times New Roman"/>
                <w:sz w:val="2"/>
              </w:rPr>
            </w:pPr>
          </w:p>
        </w:tc>
      </w:tr>
      <w:tr>
        <w:trPr>
          <w:trHeight w:val="240" w:hRule="atLeast"/>
        </w:trPr>
        <w:tc>
          <w:tcPr>
            <w:tcW w:w="8608" w:type="dxa"/>
            <w:tcBorders>
              <w:top w:val="single" w:sz="4" w:space="0" w:color="000000"/>
            </w:tcBorders>
          </w:tcPr>
          <w:p>
            <w:pPr>
              <w:pStyle w:val="TableParagraph"/>
              <w:spacing w:line="199" w:lineRule="exact" w:before="21"/>
              <w:ind w:left="108"/>
              <w:rPr>
                <w:sz w:val="18"/>
              </w:rPr>
            </w:pPr>
            <w:r>
              <w:rPr>
                <w:sz w:val="18"/>
              </w:rPr>
              <w:t>资料来源：</w:t>
            </w:r>
            <w:r>
              <w:rPr>
                <w:rFonts w:ascii="Times New Roman" w:hAnsi="Times New Roman" w:eastAsia="Times New Roman"/>
                <w:sz w:val="18"/>
              </w:rPr>
              <w:t>The beneficial effects of wine polyphenols on Alzheimer’s disease</w:t>
            </w:r>
            <w:r>
              <w:rPr>
                <w:sz w:val="18"/>
              </w:rPr>
              <w:t>，兴业证券经济与金融研究院整理</w:t>
            </w:r>
          </w:p>
        </w:tc>
      </w:tr>
    </w:tbl>
    <w:p>
      <w:pPr>
        <w:pStyle w:val="BodyText"/>
        <w:spacing w:before="5"/>
        <w:rPr>
          <w:sz w:val="32"/>
        </w:rPr>
      </w:pPr>
    </w:p>
    <w:p>
      <w:pPr>
        <w:pStyle w:val="BodyText"/>
        <w:spacing w:line="304" w:lineRule="auto" w:before="1"/>
        <w:ind w:left="3163" w:right="724"/>
        <w:jc w:val="both"/>
      </w:pPr>
      <w:r>
        <w:rPr/>
        <w:t>β</w:t>
      </w:r>
      <w:r>
        <w:rPr>
          <w:spacing w:val="-4"/>
        </w:rPr>
        <w:t>淀粉样蛋白级联假说的争议来源于一项发表在 </w:t>
      </w:r>
      <w:r>
        <w:rPr>
          <w:rFonts w:ascii="Times New Roman" w:hAnsi="Times New Roman" w:eastAsia="Times New Roman"/>
        </w:rPr>
        <w:t>Neurology </w:t>
      </w:r>
      <w:r>
        <w:rPr>
          <w:spacing w:val="-3"/>
        </w:rPr>
        <w:t>的研究，结果表明出现细微认知困难的人群大脑中淀粉样蛋白的沉积速度更快，但斑块浓度无差异； 在淀粉样蛋白大量沉淀之前，细微认知困难人群的神经退行性病变就已经开始。</w:t>
      </w:r>
      <w:r>
        <w:rPr>
          <w:rFonts w:ascii="Times New Roman" w:hAnsi="Times New Roman" w:eastAsia="Times New Roman"/>
          <w:spacing w:val="-3"/>
        </w:rPr>
        <w:t>EClinicalMedicine </w:t>
      </w:r>
      <w:r>
        <w:rPr>
          <w:spacing w:val="-3"/>
        </w:rPr>
        <w:t>上的一篇研究表明认知障碍可能是由于可溶性淀粉样蛋白</w:t>
      </w:r>
      <w:r>
        <w:rPr/>
        <w:t>β肽</w:t>
      </w:r>
      <w:r>
        <w:rPr>
          <w:spacing w:val="-5"/>
        </w:rPr>
        <w:t>的减少而不是淀粉样蛋白斑块积累，认为 </w:t>
      </w:r>
      <w:r>
        <w:rPr>
          <w:rFonts w:ascii="Times New Roman" w:hAnsi="Times New Roman" w:eastAsia="Times New Roman"/>
        </w:rPr>
        <w:t>AD </w:t>
      </w:r>
      <w:r>
        <w:rPr>
          <w:spacing w:val="-3"/>
        </w:rPr>
        <w:t>的未来治疗方法可以着眼于把这些脑可溶蛋白补充到正常水平。</w:t>
      </w:r>
    </w:p>
    <w:p>
      <w:pPr>
        <w:pStyle w:val="BodyText"/>
        <w:rPr>
          <w:sz w:val="23"/>
        </w:rPr>
      </w:pPr>
    </w:p>
    <w:p>
      <w:pPr>
        <w:pStyle w:val="BodyText"/>
        <w:spacing w:line="304" w:lineRule="auto"/>
        <w:ind w:left="3163" w:right="723"/>
        <w:jc w:val="both"/>
      </w:pPr>
      <w:r>
        <w:rPr>
          <w:rFonts w:ascii="Times New Roman" w:hAnsi="Times New Roman" w:eastAsia="Times New Roman"/>
          <w:w w:val="100"/>
        </w:rPr>
        <w:t>2022</w:t>
      </w:r>
      <w:r>
        <w:rPr>
          <w:rFonts w:ascii="Times New Roman" w:hAnsi="Times New Roman" w:eastAsia="Times New Roman"/>
          <w:spacing w:val="-13"/>
        </w:rPr>
        <w:t>  </w:t>
      </w:r>
      <w:r>
        <w:rPr>
          <w:w w:val="100"/>
        </w:rPr>
        <w:t>年</w:t>
      </w:r>
      <w:r>
        <w:rPr/>
        <w:t> </w:t>
      </w:r>
      <w:r>
        <w:rPr>
          <w:rFonts w:ascii="Times New Roman" w:hAnsi="Times New Roman" w:eastAsia="Times New Roman"/>
          <w:spacing w:val="-1"/>
          <w:w w:val="100"/>
        </w:rPr>
        <w:t>Syl</w:t>
      </w:r>
      <w:r>
        <w:rPr>
          <w:rFonts w:ascii="Times New Roman" w:hAnsi="Times New Roman" w:eastAsia="Times New Roman"/>
          <w:w w:val="100"/>
        </w:rPr>
        <w:t>va</w:t>
      </w:r>
      <w:r>
        <w:rPr>
          <w:rFonts w:ascii="Times New Roman" w:hAnsi="Times New Roman" w:eastAsia="Times New Roman"/>
          <w:spacing w:val="-2"/>
          <w:w w:val="100"/>
        </w:rPr>
        <w:t>i</w:t>
      </w:r>
      <w:r>
        <w:rPr>
          <w:rFonts w:ascii="Times New Roman" w:hAnsi="Times New Roman" w:eastAsia="Times New Roman"/>
          <w:w w:val="100"/>
        </w:rPr>
        <w:t>n</w:t>
      </w:r>
      <w:r>
        <w:rPr>
          <w:rFonts w:ascii="Times New Roman" w:hAnsi="Times New Roman" w:eastAsia="Times New Roman"/>
        </w:rPr>
        <w:t> </w:t>
      </w:r>
      <w:r>
        <w:rPr>
          <w:rFonts w:ascii="Times New Roman" w:hAnsi="Times New Roman" w:eastAsia="Times New Roman"/>
          <w:w w:val="100"/>
        </w:rPr>
        <w:t>Les</w:t>
      </w:r>
      <w:r>
        <w:rPr>
          <w:rFonts w:ascii="Times New Roman" w:hAnsi="Times New Roman" w:eastAsia="Times New Roman"/>
          <w:spacing w:val="-3"/>
          <w:w w:val="100"/>
        </w:rPr>
        <w:t>n</w:t>
      </w:r>
      <w:r>
        <w:rPr>
          <w:w w:val="201"/>
        </w:rPr>
        <w:t>é</w:t>
      </w:r>
      <w:r>
        <w:rPr/>
        <w:t> </w:t>
      </w:r>
      <w:r>
        <w:rPr>
          <w:w w:val="100"/>
        </w:rPr>
        <w:t>被</w:t>
      </w:r>
      <w:r>
        <w:rPr/>
        <w:t> </w:t>
      </w:r>
      <w:r>
        <w:rPr>
          <w:rFonts w:ascii="Times New Roman" w:hAnsi="Times New Roman" w:eastAsia="Times New Roman"/>
          <w:spacing w:val="-1"/>
          <w:w w:val="100"/>
        </w:rPr>
        <w:t>Sc</w:t>
      </w:r>
      <w:r>
        <w:rPr>
          <w:rFonts w:ascii="Times New Roman" w:hAnsi="Times New Roman" w:eastAsia="Times New Roman"/>
          <w:spacing w:val="-2"/>
          <w:w w:val="100"/>
        </w:rPr>
        <w:t>i</w:t>
      </w:r>
      <w:r>
        <w:rPr>
          <w:rFonts w:ascii="Times New Roman" w:hAnsi="Times New Roman" w:eastAsia="Times New Roman"/>
          <w:w w:val="100"/>
        </w:rPr>
        <w:t>ence</w:t>
      </w:r>
      <w:r>
        <w:rPr>
          <w:rFonts w:ascii="Times New Roman" w:hAnsi="Times New Roman" w:eastAsia="Times New Roman"/>
        </w:rPr>
        <w:t> </w:t>
      </w:r>
      <w:r>
        <w:rPr>
          <w:spacing w:val="-3"/>
          <w:w w:val="100"/>
        </w:rPr>
        <w:t>认定为学术不端，他认为寡聚体</w:t>
      </w:r>
      <w:r>
        <w:rPr>
          <w:spacing w:val="-3"/>
        </w:rPr>
        <w:t> </w:t>
      </w:r>
      <w:r>
        <w:rPr>
          <w:rFonts w:ascii="Times New Roman" w:hAnsi="Times New Roman" w:eastAsia="Times New Roman"/>
          <w:spacing w:val="1"/>
          <w:w w:val="100"/>
        </w:rPr>
        <w:t>A</w:t>
      </w:r>
      <w:r>
        <w:rPr>
          <w:w w:val="100"/>
        </w:rPr>
        <w:t>β</w:t>
      </w:r>
      <w:r>
        <w:rPr>
          <w:rFonts w:ascii="Times New Roman" w:hAnsi="Times New Roman" w:eastAsia="Times New Roman"/>
          <w:spacing w:val="-3"/>
          <w:w w:val="100"/>
        </w:rPr>
        <w:t>*</w:t>
      </w:r>
      <w:r>
        <w:rPr>
          <w:rFonts w:ascii="Times New Roman" w:hAnsi="Times New Roman" w:eastAsia="Times New Roman"/>
          <w:w w:val="100"/>
        </w:rPr>
        <w:t>5</w:t>
      </w:r>
      <w:r>
        <w:rPr>
          <w:rFonts w:ascii="Times New Roman" w:hAnsi="Times New Roman" w:eastAsia="Times New Roman"/>
          <w:spacing w:val="-3"/>
          <w:w w:val="100"/>
        </w:rPr>
        <w:t>6</w:t>
      </w:r>
      <w:r>
        <w:rPr>
          <w:w w:val="100"/>
        </w:rPr>
        <w:t>（</w:t>
      </w:r>
      <w:r>
        <w:rPr>
          <w:rFonts w:ascii="Times New Roman" w:hAnsi="Times New Roman" w:eastAsia="Times New Roman"/>
          <w:w w:val="100"/>
        </w:rPr>
        <w:t>56 </w:t>
      </w:r>
      <w:r>
        <w:rPr>
          <w:rFonts w:ascii="Times New Roman" w:hAnsi="Times New Roman" w:eastAsia="Times New Roman"/>
          <w:spacing w:val="-7"/>
        </w:rPr>
        <w:t>kDa</w:t>
      </w:r>
      <w:r>
        <w:rPr>
          <w:spacing w:val="-7"/>
        </w:rPr>
        <w:t>）</w:t>
      </w:r>
      <w:r>
        <w:rPr>
          <w:spacing w:val="-9"/>
        </w:rPr>
        <w:t>或为致病因素，但有几个实验室试图找到 </w:t>
      </w:r>
      <w:r>
        <w:rPr>
          <w:rFonts w:ascii="Times New Roman" w:hAnsi="Times New Roman" w:eastAsia="Times New Roman"/>
        </w:rPr>
        <w:t>A</w:t>
      </w:r>
      <w:r>
        <w:rPr/>
        <w:t>β</w:t>
      </w:r>
      <w:r>
        <w:rPr>
          <w:rFonts w:ascii="Times New Roman" w:hAnsi="Times New Roman" w:eastAsia="Times New Roman"/>
        </w:rPr>
        <w:t>*56 </w:t>
      </w:r>
      <w:r>
        <w:rPr>
          <w:spacing w:val="-6"/>
        </w:rPr>
        <w:t>都失败了。事实上这种低聚物不稳定，会自发地转化为其他低聚物类型。即使经过纯化工作，样品中也可</w:t>
      </w:r>
      <w:r>
        <w:rPr>
          <w:spacing w:val="-4"/>
        </w:rPr>
        <w:t>以存在多种类型，因此很难说任何认知影响都是由于 </w:t>
      </w:r>
      <w:r>
        <w:rPr>
          <w:rFonts w:ascii="Times New Roman" w:hAnsi="Times New Roman" w:eastAsia="Times New Roman"/>
        </w:rPr>
        <w:t>A</w:t>
      </w:r>
      <w:r>
        <w:rPr/>
        <w:t>β</w:t>
      </w:r>
      <w:r>
        <w:rPr>
          <w:rFonts w:ascii="Times New Roman" w:hAnsi="Times New Roman" w:eastAsia="Times New Roman"/>
        </w:rPr>
        <w:t>*56 </w:t>
      </w:r>
      <w:r>
        <w:rPr>
          <w:spacing w:val="-3"/>
        </w:rPr>
        <w:t>单独引起的（</w:t>
      </w:r>
      <w:r>
        <w:rPr/>
        <w:t>假设它存在</w:t>
      </w:r>
      <w:r>
        <w:rPr>
          <w:rFonts w:ascii="Times New Roman" w:hAnsi="Times New Roman" w:eastAsia="Times New Roman"/>
          <w:spacing w:val="-4"/>
        </w:rPr>
        <w:t>)</w:t>
      </w:r>
      <w:r>
        <w:rPr>
          <w:spacing w:val="16"/>
        </w:rPr>
        <w:t>。但</w:t>
      </w:r>
      <w:r>
        <w:rPr>
          <w:rFonts w:ascii="Times New Roman" w:hAnsi="Times New Roman" w:eastAsia="Times New Roman"/>
        </w:rPr>
        <w:t>A</w:t>
      </w:r>
      <w:r>
        <w:rPr/>
        <w:t>β</w:t>
      </w:r>
      <w:r>
        <w:rPr>
          <w:spacing w:val="-20"/>
        </w:rPr>
        <w:t>在 </w:t>
      </w:r>
      <w:r>
        <w:rPr>
          <w:rFonts w:ascii="Times New Roman" w:hAnsi="Times New Roman" w:eastAsia="Times New Roman"/>
        </w:rPr>
        <w:t>AD </w:t>
      </w:r>
      <w:r>
        <w:rPr>
          <w:spacing w:val="-4"/>
        </w:rPr>
        <w:t>的发病机制中的作用已经被众多基因、生物标志物和病理研究所证实，所以并不意味着整个 </w:t>
      </w:r>
      <w:r>
        <w:rPr>
          <w:rFonts w:ascii="Times New Roman" w:hAnsi="Times New Roman" w:eastAsia="Times New Roman"/>
        </w:rPr>
        <w:t>A</w:t>
      </w:r>
      <w:r>
        <w:rPr/>
        <w:t>β</w:t>
      </w:r>
      <w:r>
        <w:rPr>
          <w:spacing w:val="-4"/>
        </w:rPr>
        <w:t>致病假说被推翻，而仅意味着 </w:t>
      </w:r>
      <w:r>
        <w:rPr>
          <w:rFonts w:ascii="Times New Roman" w:hAnsi="Times New Roman" w:eastAsia="Times New Roman"/>
        </w:rPr>
        <w:t>A</w:t>
      </w:r>
      <w:r>
        <w:rPr/>
        <w:t>β</w:t>
      </w:r>
      <w:r>
        <w:rPr>
          <w:rFonts w:ascii="Times New Roman" w:hAnsi="Times New Roman" w:eastAsia="Times New Roman"/>
        </w:rPr>
        <w:t>*56 </w:t>
      </w:r>
      <w:r>
        <w:rPr/>
        <w:t>细</w:t>
      </w:r>
      <w:r>
        <w:rPr>
          <w:spacing w:val="-3"/>
        </w:rPr>
        <w:t>分领域的完全崩塌。</w:t>
      </w:r>
    </w:p>
    <w:p>
      <w:pPr>
        <w:pStyle w:val="BodyText"/>
        <w:spacing w:before="2"/>
        <w:rPr>
          <w:sz w:val="14"/>
        </w:rPr>
      </w:pPr>
    </w:p>
    <w:p>
      <w:pPr>
        <w:pStyle w:val="Heading3"/>
        <w:numPr>
          <w:ilvl w:val="2"/>
          <w:numId w:val="3"/>
        </w:numPr>
        <w:tabs>
          <w:tab w:pos="3858" w:val="left" w:leader="none"/>
        </w:tabs>
        <w:spacing w:line="240" w:lineRule="auto" w:before="0" w:after="0"/>
        <w:ind w:left="3857" w:right="0" w:hanging="695"/>
        <w:jc w:val="left"/>
        <w:rPr>
          <w:color w:val="333366"/>
        </w:rPr>
      </w:pPr>
      <w:bookmarkStart w:name="_bookmark7" w:id="11"/>
      <w:bookmarkEnd w:id="11"/>
      <w:r>
        <w:rPr>
          <w:b w:val="0"/>
        </w:rPr>
      </w:r>
      <w:bookmarkStart w:name="_bookmark7" w:id="12"/>
      <w:bookmarkEnd w:id="12"/>
      <w:r>
        <w:rPr>
          <w:color w:val="333366"/>
        </w:rPr>
        <w:t>Tau</w:t>
      </w:r>
      <w:r>
        <w:rPr>
          <w:color w:val="333366"/>
          <w:spacing w:val="-1"/>
        </w:rPr>
        <w:t> 蛋白假说</w:t>
      </w:r>
    </w:p>
    <w:p>
      <w:pPr>
        <w:pStyle w:val="BodyText"/>
        <w:spacing w:before="14"/>
        <w:rPr>
          <w:rFonts w:ascii="Microsoft JhengHei"/>
          <w:b/>
          <w:sz w:val="11"/>
        </w:rPr>
      </w:pPr>
    </w:p>
    <w:p>
      <w:pPr>
        <w:pStyle w:val="BodyText"/>
        <w:spacing w:line="304" w:lineRule="auto"/>
        <w:ind w:left="3163" w:right="726"/>
        <w:jc w:val="both"/>
      </w:pPr>
      <w:r>
        <w:rPr>
          <w:rFonts w:ascii="Times New Roman" w:eastAsia="Times New Roman"/>
          <w:spacing w:val="-5"/>
        </w:rPr>
        <w:t>Tau </w:t>
      </w:r>
      <w:r>
        <w:rPr>
          <w:spacing w:val="-4"/>
        </w:rPr>
        <w:t>蛋白是一种微管相关蛋白。在正常情况下，</w:t>
      </w:r>
      <w:r>
        <w:rPr>
          <w:rFonts w:ascii="Times New Roman" w:eastAsia="Times New Roman"/>
          <w:spacing w:val="-5"/>
        </w:rPr>
        <w:t>Tau </w:t>
      </w:r>
      <w:r>
        <w:rPr>
          <w:spacing w:val="-3"/>
        </w:rPr>
        <w:t>蛋白主要集中于神经元轴突</w:t>
      </w:r>
      <w:r>
        <w:rPr>
          <w:spacing w:val="-7"/>
        </w:rPr>
        <w:t>中。由于正常情况下可溶性的 </w:t>
      </w:r>
      <w:r>
        <w:rPr>
          <w:rFonts w:ascii="Times New Roman" w:eastAsia="Times New Roman"/>
          <w:spacing w:val="-5"/>
        </w:rPr>
        <w:t>Tau </w:t>
      </w:r>
      <w:r>
        <w:rPr>
          <w:spacing w:val="-6"/>
        </w:rPr>
        <w:t>蛋白可与微管蛋白结合促进微管的稳定，而在</w:t>
      </w:r>
      <w:r>
        <w:rPr>
          <w:rFonts w:ascii="Times New Roman" w:eastAsia="Times New Roman"/>
          <w:spacing w:val="-6"/>
        </w:rPr>
        <w:t>AD</w:t>
      </w:r>
      <w:r>
        <w:rPr>
          <w:rFonts w:ascii="Times New Roman" w:eastAsia="Times New Roman"/>
          <w:spacing w:val="14"/>
        </w:rPr>
        <w:t> </w:t>
      </w:r>
      <w:r>
        <w:rPr>
          <w:spacing w:val="-7"/>
        </w:rPr>
        <w:t>患者脑中，高度磷酸化的 </w:t>
      </w:r>
      <w:r>
        <w:rPr>
          <w:rFonts w:ascii="Times New Roman" w:eastAsia="Times New Roman"/>
          <w:spacing w:val="-5"/>
        </w:rPr>
        <w:t>Tau </w:t>
      </w:r>
      <w:r>
        <w:rPr>
          <w:spacing w:val="-5"/>
        </w:rPr>
        <w:t>蛋白会由可溶转变为不可溶同时高度聚集。这不但会使其自身微管结构损失，丧失其正常的功能作用，而且会导致突触蛋白失去功能和神经退行性病变引起神经纤维缠结（</w:t>
      </w:r>
      <w:r>
        <w:rPr>
          <w:rFonts w:ascii="Times New Roman" w:eastAsia="Times New Roman"/>
          <w:spacing w:val="-5"/>
        </w:rPr>
        <w:t>NFTs</w:t>
      </w:r>
      <w:r>
        <w:rPr>
          <w:spacing w:val="-5"/>
        </w:rPr>
        <w:t>），</w:t>
      </w:r>
      <w:r>
        <w:rPr>
          <w:rFonts w:ascii="Times New Roman" w:eastAsia="Times New Roman"/>
          <w:spacing w:val="-5"/>
        </w:rPr>
        <w:t>Tau </w:t>
      </w:r>
      <w:r>
        <w:rPr>
          <w:spacing w:val="-1"/>
        </w:rPr>
        <w:t>蛋白的磷酸化与 </w:t>
      </w:r>
      <w:r>
        <w:rPr>
          <w:rFonts w:ascii="Times New Roman" w:eastAsia="Times New Roman"/>
        </w:rPr>
        <w:t>AD </w:t>
      </w:r>
      <w:r>
        <w:rPr>
          <w:spacing w:val="-3"/>
        </w:rPr>
        <w:t>患者病程中的认知功能缺失密切相关。</w:t>
      </w:r>
    </w:p>
    <w:p>
      <w:pPr>
        <w:spacing w:after="0" w:line="304" w:lineRule="auto"/>
        <w:jc w:val="both"/>
        <w:sectPr>
          <w:pgSz w:w="11910" w:h="16840"/>
          <w:pgMar w:header="868" w:footer="1201" w:top="1400" w:bottom="1400" w:left="240" w:right="400"/>
        </w:sectPr>
      </w:pPr>
    </w:p>
    <w:p>
      <w:pPr>
        <w:pStyle w:val="BodyText"/>
        <w:spacing w:before="4"/>
        <w:rPr>
          <w:sz w:val="13"/>
        </w:rPr>
      </w:pPr>
    </w:p>
    <w:tbl>
      <w:tblPr>
        <w:tblW w:w="0" w:type="auto"/>
        <w:jc w:val="left"/>
        <w:tblInd w:w="6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79"/>
        <w:gridCol w:w="8609"/>
        <w:gridCol w:w="75"/>
      </w:tblGrid>
      <w:tr>
        <w:trPr>
          <w:trHeight w:val="361" w:hRule="atLeast"/>
        </w:trPr>
        <w:tc>
          <w:tcPr>
            <w:tcW w:w="1479" w:type="dxa"/>
            <w:tcBorders>
              <w:top w:val="single" w:sz="6" w:space="0" w:color="333366"/>
            </w:tcBorders>
          </w:tcPr>
          <w:p>
            <w:pPr>
              <w:pStyle w:val="TableParagraph"/>
              <w:rPr>
                <w:rFonts w:ascii="Times New Roman"/>
                <w:sz w:val="18"/>
              </w:rPr>
            </w:pPr>
          </w:p>
        </w:tc>
        <w:tc>
          <w:tcPr>
            <w:tcW w:w="8609" w:type="dxa"/>
            <w:tcBorders>
              <w:top w:val="single" w:sz="6" w:space="0" w:color="333366"/>
              <w:bottom w:val="single" w:sz="4" w:space="0" w:color="000000"/>
            </w:tcBorders>
          </w:tcPr>
          <w:p>
            <w:pPr>
              <w:pStyle w:val="TableParagraph"/>
              <w:spacing w:line="318" w:lineRule="exact"/>
              <w:ind w:left="107"/>
              <w:rPr>
                <w:rFonts w:ascii="Microsoft JhengHei" w:eastAsia="Microsoft JhengHei" w:hint="eastAsia"/>
                <w:b/>
                <w:sz w:val="21"/>
              </w:rPr>
            </w:pPr>
            <w:bookmarkStart w:name="_bookmark8" w:id="13"/>
            <w:bookmarkEnd w:id="13"/>
            <w:r>
              <w:rPr/>
            </w:r>
            <w:r>
              <w:rPr>
                <w:rFonts w:ascii="Microsoft JhengHei" w:eastAsia="Microsoft JhengHei" w:hint="eastAsia"/>
                <w:b/>
                <w:sz w:val="21"/>
              </w:rPr>
              <w:t>图 </w:t>
            </w:r>
            <w:r>
              <w:rPr>
                <w:rFonts w:ascii="Times New Roman" w:eastAsia="Times New Roman"/>
                <w:b/>
                <w:sz w:val="21"/>
              </w:rPr>
              <w:t>3</w:t>
            </w:r>
            <w:r>
              <w:rPr>
                <w:rFonts w:ascii="Microsoft JhengHei" w:eastAsia="Microsoft JhengHei" w:hint="eastAsia"/>
                <w:b/>
                <w:sz w:val="21"/>
              </w:rPr>
              <w:t>、</w:t>
            </w:r>
            <w:r>
              <w:rPr>
                <w:rFonts w:ascii="Times New Roman" w:eastAsia="Times New Roman"/>
                <w:b/>
                <w:sz w:val="21"/>
              </w:rPr>
              <w:t>Tau </w:t>
            </w:r>
            <w:r>
              <w:rPr>
                <w:rFonts w:ascii="Microsoft JhengHei" w:eastAsia="Microsoft JhengHei" w:hint="eastAsia"/>
                <w:b/>
                <w:sz w:val="21"/>
              </w:rPr>
              <w:t>蛋白假说</w:t>
            </w:r>
          </w:p>
        </w:tc>
        <w:tc>
          <w:tcPr>
            <w:tcW w:w="75" w:type="dxa"/>
            <w:tcBorders>
              <w:top w:val="single" w:sz="6" w:space="0" w:color="333366"/>
            </w:tcBorders>
          </w:tcPr>
          <w:p>
            <w:pPr>
              <w:pStyle w:val="TableParagraph"/>
              <w:rPr>
                <w:rFonts w:ascii="Times New Roman"/>
                <w:sz w:val="18"/>
              </w:rPr>
            </w:pPr>
          </w:p>
        </w:tc>
      </w:tr>
      <w:tr>
        <w:trPr>
          <w:trHeight w:val="3732" w:hRule="atLeast"/>
        </w:trPr>
        <w:tc>
          <w:tcPr>
            <w:tcW w:w="1479" w:type="dxa"/>
          </w:tcPr>
          <w:p>
            <w:pPr>
              <w:pStyle w:val="TableParagraph"/>
              <w:rPr>
                <w:rFonts w:ascii="Times New Roman"/>
                <w:sz w:val="18"/>
              </w:rPr>
            </w:pPr>
          </w:p>
        </w:tc>
        <w:tc>
          <w:tcPr>
            <w:tcW w:w="8609" w:type="dxa"/>
            <w:tcBorders>
              <w:top w:val="single" w:sz="4" w:space="0" w:color="000000"/>
              <w:bottom w:val="single" w:sz="4" w:space="0" w:color="000000"/>
            </w:tcBorders>
          </w:tcPr>
          <w:p>
            <w:pPr>
              <w:pStyle w:val="TableParagraph"/>
              <w:spacing w:before="2"/>
              <w:rPr>
                <w:sz w:val="8"/>
              </w:rPr>
            </w:pPr>
          </w:p>
          <w:p>
            <w:pPr>
              <w:pStyle w:val="TableParagraph"/>
              <w:ind w:left="1947"/>
              <w:rPr>
                <w:sz w:val="20"/>
              </w:rPr>
            </w:pPr>
            <w:r>
              <w:rPr>
                <w:sz w:val="20"/>
              </w:rPr>
              <w:drawing>
                <wp:inline distT="0" distB="0" distL="0" distR="0">
                  <wp:extent cx="3116363" cy="2173224"/>
                  <wp:effectExtent l="0" t="0" r="0" b="0"/>
                  <wp:docPr id="9" name="image7.jpeg"/>
                  <wp:cNvGraphicFramePr>
                    <a:graphicFrameLocks noChangeAspect="1"/>
                  </wp:cNvGraphicFramePr>
                  <a:graphic>
                    <a:graphicData uri="http://schemas.openxmlformats.org/drawingml/2006/picture">
                      <pic:pic>
                        <pic:nvPicPr>
                          <pic:cNvPr id="10" name="image7.jpeg"/>
                          <pic:cNvPicPr/>
                        </pic:nvPicPr>
                        <pic:blipFill>
                          <a:blip r:embed="rId20" cstate="print"/>
                          <a:stretch>
                            <a:fillRect/>
                          </a:stretch>
                        </pic:blipFill>
                        <pic:spPr>
                          <a:xfrm>
                            <a:off x="0" y="0"/>
                            <a:ext cx="3116363" cy="2173224"/>
                          </a:xfrm>
                          <a:prstGeom prst="rect">
                            <a:avLst/>
                          </a:prstGeom>
                        </pic:spPr>
                      </pic:pic>
                    </a:graphicData>
                  </a:graphic>
                </wp:inline>
              </w:drawing>
            </w:r>
            <w:r>
              <w:rPr>
                <w:sz w:val="20"/>
              </w:rPr>
            </w:r>
          </w:p>
        </w:tc>
        <w:tc>
          <w:tcPr>
            <w:tcW w:w="75" w:type="dxa"/>
          </w:tcPr>
          <w:p>
            <w:pPr>
              <w:pStyle w:val="TableParagraph"/>
              <w:rPr>
                <w:rFonts w:ascii="Times New Roman"/>
                <w:sz w:val="18"/>
              </w:rPr>
            </w:pPr>
          </w:p>
        </w:tc>
      </w:tr>
      <w:tr>
        <w:trPr>
          <w:trHeight w:val="240" w:hRule="atLeast"/>
        </w:trPr>
        <w:tc>
          <w:tcPr>
            <w:tcW w:w="1479" w:type="dxa"/>
          </w:tcPr>
          <w:p>
            <w:pPr>
              <w:pStyle w:val="TableParagraph"/>
              <w:rPr>
                <w:rFonts w:ascii="Times New Roman"/>
                <w:sz w:val="16"/>
              </w:rPr>
            </w:pPr>
          </w:p>
        </w:tc>
        <w:tc>
          <w:tcPr>
            <w:tcW w:w="8609" w:type="dxa"/>
            <w:tcBorders>
              <w:top w:val="single" w:sz="4" w:space="0" w:color="000000"/>
            </w:tcBorders>
          </w:tcPr>
          <w:p>
            <w:pPr>
              <w:pStyle w:val="TableParagraph"/>
              <w:spacing w:line="199" w:lineRule="exact" w:before="21"/>
              <w:ind w:left="107"/>
              <w:rPr>
                <w:sz w:val="18"/>
              </w:rPr>
            </w:pPr>
            <w:r>
              <w:rPr>
                <w:sz w:val="18"/>
              </w:rPr>
              <w:t>资料来源：</w:t>
            </w:r>
            <w:r>
              <w:rPr>
                <w:rFonts w:ascii="Times New Roman" w:hAnsi="Times New Roman" w:eastAsia="Times New Roman"/>
                <w:sz w:val="18"/>
              </w:rPr>
              <w:t>the breakdown of clumped tau proteins to cure Alzheimer’s disease</w:t>
            </w:r>
            <w:r>
              <w:rPr>
                <w:sz w:val="18"/>
              </w:rPr>
              <w:t>，兴业证券经济与金融研究院整理</w:t>
            </w:r>
          </w:p>
        </w:tc>
        <w:tc>
          <w:tcPr>
            <w:tcW w:w="75" w:type="dxa"/>
          </w:tcPr>
          <w:p>
            <w:pPr>
              <w:pStyle w:val="TableParagraph"/>
              <w:rPr>
                <w:rFonts w:ascii="Times New Roman"/>
                <w:sz w:val="16"/>
              </w:rPr>
            </w:pPr>
          </w:p>
        </w:tc>
      </w:tr>
    </w:tbl>
    <w:p>
      <w:pPr>
        <w:pStyle w:val="BodyText"/>
        <w:spacing w:before="4"/>
        <w:rPr>
          <w:sz w:val="26"/>
        </w:rPr>
      </w:pPr>
    </w:p>
    <w:p>
      <w:pPr>
        <w:pStyle w:val="BodyText"/>
        <w:spacing w:line="304" w:lineRule="auto" w:before="78"/>
        <w:ind w:left="3163" w:right="723"/>
        <w:jc w:val="both"/>
      </w:pPr>
      <w:r>
        <w:rPr>
          <w:rFonts w:ascii="Times New Roman" w:eastAsia="Times New Roman"/>
        </w:rPr>
        <w:t>P-tau181 </w:t>
      </w:r>
      <w:r>
        <w:rPr>
          <w:spacing w:val="5"/>
        </w:rPr>
        <w:t>已经被认为是</w:t>
      </w:r>
      <w:r>
        <w:rPr>
          <w:rFonts w:ascii="Times New Roman" w:eastAsia="Times New Roman"/>
        </w:rPr>
        <w:t>NFT </w:t>
      </w:r>
      <w:r>
        <w:rPr>
          <w:spacing w:val="-10"/>
        </w:rPr>
        <w:t>的标志物，用于支持临床 </w:t>
      </w:r>
      <w:r>
        <w:rPr>
          <w:rFonts w:ascii="Times New Roman" w:eastAsia="Times New Roman"/>
        </w:rPr>
        <w:t>AD </w:t>
      </w:r>
      <w:r>
        <w:rPr>
          <w:spacing w:val="-3"/>
        </w:rPr>
        <w:t>的诊断和轻度认知障碍</w:t>
      </w:r>
      <w:r>
        <w:rPr>
          <w:spacing w:val="-16"/>
        </w:rPr>
        <w:t>的预测，包括 </w:t>
      </w:r>
      <w:r>
        <w:rPr>
          <w:rFonts w:ascii="Times New Roman" w:eastAsia="Times New Roman"/>
        </w:rPr>
        <w:t>P-tau181</w:t>
      </w:r>
      <w:r>
        <w:rPr>
          <w:spacing w:val="-36"/>
        </w:rPr>
        <w:t>、</w:t>
      </w:r>
      <w:r>
        <w:rPr>
          <w:rFonts w:ascii="Times New Roman" w:eastAsia="Times New Roman"/>
        </w:rPr>
        <w:t>P-tau217 </w:t>
      </w:r>
      <w:r>
        <w:rPr>
          <w:spacing w:val="-25"/>
        </w:rPr>
        <w:t>和 </w:t>
      </w:r>
      <w:r>
        <w:rPr>
          <w:rFonts w:ascii="Times New Roman" w:eastAsia="Times New Roman"/>
        </w:rPr>
        <w:t>P-tau231 </w:t>
      </w:r>
      <w:r>
        <w:rPr>
          <w:spacing w:val="-8"/>
        </w:rPr>
        <w:t>在内的很多磷酸化的 </w:t>
      </w:r>
      <w:r>
        <w:rPr>
          <w:rFonts w:ascii="Times New Roman" w:eastAsia="Times New Roman"/>
        </w:rPr>
        <w:t>P-tau </w:t>
      </w:r>
      <w:r>
        <w:rPr>
          <w:spacing w:val="-3"/>
        </w:rPr>
        <w:t>都显示它</w:t>
      </w:r>
      <w:r>
        <w:rPr>
          <w:spacing w:val="-11"/>
        </w:rPr>
        <w:t>们有具有成为 </w:t>
      </w:r>
      <w:r>
        <w:rPr>
          <w:rFonts w:ascii="Times New Roman" w:eastAsia="Times New Roman"/>
        </w:rPr>
        <w:t>AD </w:t>
      </w:r>
      <w:r>
        <w:rPr>
          <w:spacing w:val="-3"/>
        </w:rPr>
        <w:t>诊断标志物的潜能。</w:t>
      </w:r>
    </w:p>
    <w:p>
      <w:pPr>
        <w:pStyle w:val="Heading3"/>
        <w:numPr>
          <w:ilvl w:val="2"/>
          <w:numId w:val="3"/>
        </w:numPr>
        <w:tabs>
          <w:tab w:pos="3858" w:val="left" w:leader="none"/>
        </w:tabs>
        <w:spacing w:line="240" w:lineRule="auto" w:before="188" w:after="0"/>
        <w:ind w:left="3857" w:right="0" w:hanging="695"/>
        <w:jc w:val="left"/>
        <w:rPr>
          <w:color w:val="333366"/>
        </w:rPr>
      </w:pPr>
      <w:bookmarkStart w:name="_bookmark9" w:id="14"/>
      <w:bookmarkEnd w:id="14"/>
      <w:r>
        <w:rPr>
          <w:b w:val="0"/>
        </w:rPr>
      </w:r>
      <w:bookmarkStart w:name="_bookmark9" w:id="15"/>
      <w:bookmarkEnd w:id="15"/>
      <w:r>
        <w:rPr>
          <w:color w:val="333366"/>
        </w:rPr>
        <w:t>其他假说</w:t>
      </w:r>
    </w:p>
    <w:p>
      <w:pPr>
        <w:pStyle w:val="BodyText"/>
        <w:spacing w:before="13"/>
        <w:rPr>
          <w:rFonts w:ascii="Microsoft JhengHei"/>
          <w:b/>
          <w:sz w:val="11"/>
        </w:rPr>
      </w:pPr>
    </w:p>
    <w:p>
      <w:pPr>
        <w:pStyle w:val="BodyText"/>
        <w:spacing w:line="304" w:lineRule="auto" w:before="1"/>
        <w:ind w:left="3163" w:right="726"/>
        <w:jc w:val="both"/>
      </w:pPr>
      <w:r>
        <w:rPr>
          <w:spacing w:val="-13"/>
        </w:rPr>
        <w:t>其他机制还包括基因突变假说、胆碱能损伤假说、氧化应激假说、神经炎症假说、</w:t>
      </w:r>
      <w:r>
        <w:rPr>
          <w:spacing w:val="-9"/>
        </w:rPr>
        <w:t>雌激素缺乏假说、传染病假说、肠道微生物群破坏假说和自噬缺陷假说等，诸如</w:t>
      </w:r>
      <w:r>
        <w:rPr>
          <w:spacing w:val="-13"/>
        </w:rPr>
        <w:t>此类的机制也为 </w:t>
      </w:r>
      <w:r>
        <w:rPr>
          <w:rFonts w:ascii="Times New Roman" w:eastAsia="Times New Roman"/>
        </w:rPr>
        <w:t>AD </w:t>
      </w:r>
      <w:r>
        <w:rPr>
          <w:spacing w:val="-3"/>
        </w:rPr>
        <w:t>的干预提供了新颖的治疗方案。</w:t>
      </w:r>
    </w:p>
    <w:p>
      <w:pPr>
        <w:pStyle w:val="BodyText"/>
        <w:spacing w:before="11"/>
        <w:rPr>
          <w:sz w:val="24"/>
        </w:rPr>
      </w:pPr>
    </w:p>
    <w:tbl>
      <w:tblPr>
        <w:tblW w:w="0" w:type="auto"/>
        <w:jc w:val="left"/>
        <w:tblInd w:w="13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194"/>
        <w:gridCol w:w="7626"/>
      </w:tblGrid>
      <w:tr>
        <w:trPr>
          <w:trHeight w:val="315" w:hRule="atLeast"/>
        </w:trPr>
        <w:tc>
          <w:tcPr>
            <w:tcW w:w="2194" w:type="dxa"/>
            <w:tcBorders>
              <w:bottom w:val="single" w:sz="4" w:space="0" w:color="000000"/>
            </w:tcBorders>
          </w:tcPr>
          <w:p>
            <w:pPr>
              <w:pStyle w:val="TableParagraph"/>
              <w:spacing w:line="295" w:lineRule="exact"/>
              <w:ind w:left="113"/>
              <w:rPr>
                <w:rFonts w:ascii="Microsoft JhengHei" w:eastAsia="Microsoft JhengHei" w:hint="eastAsia"/>
                <w:b/>
                <w:sz w:val="21"/>
              </w:rPr>
            </w:pPr>
            <w:bookmarkStart w:name="_bookmark10" w:id="16"/>
            <w:bookmarkEnd w:id="16"/>
            <w:r>
              <w:rPr/>
            </w:r>
            <w:r>
              <w:rPr>
                <w:rFonts w:ascii="Microsoft JhengHei" w:eastAsia="Microsoft JhengHei" w:hint="eastAsia"/>
                <w:b/>
                <w:sz w:val="21"/>
              </w:rPr>
              <w:t>表 </w:t>
            </w:r>
            <w:r>
              <w:rPr>
                <w:rFonts w:ascii="Times New Roman" w:eastAsia="Times New Roman"/>
                <w:b/>
                <w:sz w:val="21"/>
              </w:rPr>
              <w:t>3</w:t>
            </w:r>
            <w:r>
              <w:rPr>
                <w:rFonts w:ascii="Microsoft JhengHei" w:eastAsia="Microsoft JhengHei" w:hint="eastAsia"/>
                <w:b/>
                <w:sz w:val="21"/>
              </w:rPr>
              <w:t>、其他假说</w:t>
            </w:r>
          </w:p>
        </w:tc>
        <w:tc>
          <w:tcPr>
            <w:tcW w:w="7626" w:type="dxa"/>
            <w:tcBorders>
              <w:bottom w:val="single" w:sz="4" w:space="0" w:color="000000"/>
            </w:tcBorders>
          </w:tcPr>
          <w:p>
            <w:pPr>
              <w:pStyle w:val="TableParagraph"/>
              <w:rPr>
                <w:rFonts w:ascii="Times New Roman"/>
                <w:sz w:val="18"/>
              </w:rPr>
            </w:pPr>
          </w:p>
        </w:tc>
      </w:tr>
      <w:tr>
        <w:trPr>
          <w:trHeight w:val="510" w:hRule="atLeast"/>
        </w:trPr>
        <w:tc>
          <w:tcPr>
            <w:tcW w:w="2194" w:type="dxa"/>
            <w:tcBorders>
              <w:top w:val="single" w:sz="4" w:space="0" w:color="000000"/>
              <w:bottom w:val="single" w:sz="4" w:space="0" w:color="000000"/>
            </w:tcBorders>
            <w:shd w:val="clear" w:color="auto" w:fill="DEEBF6"/>
          </w:tcPr>
          <w:p>
            <w:pPr>
              <w:pStyle w:val="TableParagraph"/>
              <w:spacing w:before="53"/>
              <w:ind w:left="1019" w:right="775"/>
              <w:jc w:val="center"/>
              <w:rPr>
                <w:rFonts w:ascii="Microsoft JhengHei" w:eastAsia="Microsoft JhengHei" w:hint="eastAsia"/>
                <w:b/>
                <w:sz w:val="18"/>
              </w:rPr>
            </w:pPr>
            <w:r>
              <w:rPr>
                <w:rFonts w:ascii="Microsoft JhengHei" w:eastAsia="Microsoft JhengHei" w:hint="eastAsia"/>
                <w:b/>
                <w:sz w:val="18"/>
              </w:rPr>
              <w:t>假说</w:t>
            </w:r>
          </w:p>
        </w:tc>
        <w:tc>
          <w:tcPr>
            <w:tcW w:w="7626" w:type="dxa"/>
            <w:tcBorders>
              <w:top w:val="single" w:sz="4" w:space="0" w:color="000000"/>
              <w:bottom w:val="single" w:sz="4" w:space="0" w:color="000000"/>
            </w:tcBorders>
            <w:shd w:val="clear" w:color="auto" w:fill="DEEBF6"/>
          </w:tcPr>
          <w:p>
            <w:pPr>
              <w:pStyle w:val="TableParagraph"/>
              <w:spacing w:before="53"/>
              <w:ind w:left="3732" w:right="3494"/>
              <w:jc w:val="center"/>
              <w:rPr>
                <w:rFonts w:ascii="Microsoft JhengHei" w:eastAsia="Microsoft JhengHei" w:hint="eastAsia"/>
                <w:b/>
                <w:sz w:val="18"/>
              </w:rPr>
            </w:pPr>
            <w:r>
              <w:rPr>
                <w:rFonts w:ascii="Microsoft JhengHei" w:eastAsia="Microsoft JhengHei" w:hint="eastAsia"/>
                <w:b/>
                <w:sz w:val="18"/>
              </w:rPr>
              <w:t>内容</w:t>
            </w:r>
          </w:p>
        </w:tc>
      </w:tr>
      <w:tr>
        <w:trPr>
          <w:trHeight w:val="623" w:hRule="atLeast"/>
        </w:trPr>
        <w:tc>
          <w:tcPr>
            <w:tcW w:w="2194" w:type="dxa"/>
            <w:tcBorders>
              <w:top w:val="single" w:sz="4" w:space="0" w:color="000000"/>
              <w:bottom w:val="single" w:sz="4" w:space="0" w:color="000000"/>
            </w:tcBorders>
          </w:tcPr>
          <w:p>
            <w:pPr>
              <w:pStyle w:val="TableParagraph"/>
              <w:spacing w:before="1"/>
              <w:rPr>
                <w:sz w:val="13"/>
              </w:rPr>
            </w:pPr>
          </w:p>
          <w:p>
            <w:pPr>
              <w:pStyle w:val="TableParagraph"/>
              <w:ind w:left="677"/>
              <w:rPr>
                <w:sz w:val="18"/>
              </w:rPr>
            </w:pPr>
            <w:r>
              <w:rPr>
                <w:sz w:val="18"/>
              </w:rPr>
              <w:t>基因突变假说</w:t>
            </w:r>
          </w:p>
        </w:tc>
        <w:tc>
          <w:tcPr>
            <w:tcW w:w="7626" w:type="dxa"/>
            <w:tcBorders>
              <w:top w:val="single" w:sz="4" w:space="0" w:color="000000"/>
              <w:bottom w:val="single" w:sz="4" w:space="0" w:color="000000"/>
            </w:tcBorders>
          </w:tcPr>
          <w:p>
            <w:pPr>
              <w:pStyle w:val="TableParagraph"/>
              <w:spacing w:before="21"/>
              <w:ind w:left="346"/>
              <w:rPr>
                <w:sz w:val="18"/>
              </w:rPr>
            </w:pPr>
            <w:r>
              <w:rPr>
                <w:spacing w:val="-6"/>
                <w:sz w:val="18"/>
              </w:rPr>
              <w:t>淀粉样蛋白前体 </w:t>
            </w:r>
            <w:r>
              <w:rPr>
                <w:rFonts w:ascii="Times New Roman" w:eastAsia="Times New Roman"/>
                <w:sz w:val="18"/>
              </w:rPr>
              <w:t>APP</w:t>
            </w:r>
            <w:r>
              <w:rPr>
                <w:spacing w:val="-12"/>
                <w:sz w:val="18"/>
              </w:rPr>
              <w:t>、早老素 </w:t>
            </w:r>
            <w:r>
              <w:rPr>
                <w:rFonts w:ascii="Times New Roman" w:eastAsia="Times New Roman"/>
                <w:sz w:val="18"/>
              </w:rPr>
              <w:t>1 </w:t>
            </w:r>
            <w:r>
              <w:rPr>
                <w:spacing w:val="-10"/>
                <w:sz w:val="18"/>
              </w:rPr>
              <w:t>和早老素 </w:t>
            </w:r>
            <w:r>
              <w:rPr>
                <w:rFonts w:ascii="Times New Roman" w:eastAsia="Times New Roman"/>
                <w:sz w:val="18"/>
              </w:rPr>
              <w:t>2 </w:t>
            </w:r>
            <w:r>
              <w:rPr>
                <w:spacing w:val="-7"/>
                <w:sz w:val="18"/>
              </w:rPr>
              <w:t>基因与家族性 </w:t>
            </w:r>
            <w:r>
              <w:rPr>
                <w:rFonts w:ascii="Times New Roman" w:eastAsia="Times New Roman"/>
                <w:sz w:val="18"/>
              </w:rPr>
              <w:t>AD </w:t>
            </w:r>
            <w:r>
              <w:rPr>
                <w:spacing w:val="-1"/>
                <w:sz w:val="18"/>
              </w:rPr>
              <w:t>相关。此外，</w:t>
            </w:r>
            <w:r>
              <w:rPr>
                <w:rFonts w:ascii="Times New Roman" w:eastAsia="Times New Roman"/>
                <w:sz w:val="18"/>
              </w:rPr>
              <w:t>APOE </w:t>
            </w:r>
            <w:r>
              <w:rPr>
                <w:spacing w:val="-1"/>
                <w:sz w:val="18"/>
              </w:rPr>
              <w:t>基因与散</w:t>
            </w:r>
          </w:p>
          <w:p>
            <w:pPr>
              <w:pStyle w:val="TableParagraph"/>
              <w:spacing w:before="62"/>
              <w:ind w:left="346"/>
              <w:rPr>
                <w:sz w:val="18"/>
              </w:rPr>
            </w:pPr>
            <w:r>
              <w:rPr>
                <w:sz w:val="18"/>
              </w:rPr>
              <w:t>发性 </w:t>
            </w:r>
            <w:r>
              <w:rPr>
                <w:rFonts w:ascii="Times New Roman" w:eastAsia="Times New Roman"/>
                <w:sz w:val="18"/>
              </w:rPr>
              <w:t>AD </w:t>
            </w:r>
            <w:r>
              <w:rPr>
                <w:sz w:val="18"/>
              </w:rPr>
              <w:t>关系密切。</w:t>
            </w:r>
          </w:p>
        </w:tc>
      </w:tr>
      <w:tr>
        <w:trPr>
          <w:trHeight w:val="1169" w:hRule="atLeast"/>
        </w:trPr>
        <w:tc>
          <w:tcPr>
            <w:tcW w:w="2194" w:type="dxa"/>
            <w:tcBorders>
              <w:top w:val="single" w:sz="4" w:space="0" w:color="000000"/>
              <w:bottom w:val="single" w:sz="4" w:space="0" w:color="000000"/>
            </w:tcBorders>
          </w:tcPr>
          <w:p>
            <w:pPr>
              <w:pStyle w:val="TableParagraph"/>
              <w:rPr>
                <w:sz w:val="18"/>
              </w:rPr>
            </w:pPr>
          </w:p>
          <w:p>
            <w:pPr>
              <w:pStyle w:val="TableParagraph"/>
              <w:spacing w:before="5"/>
              <w:rPr>
                <w:sz w:val="16"/>
              </w:rPr>
            </w:pPr>
          </w:p>
          <w:p>
            <w:pPr>
              <w:pStyle w:val="TableParagraph"/>
              <w:ind w:left="588"/>
              <w:rPr>
                <w:sz w:val="18"/>
              </w:rPr>
            </w:pPr>
            <w:r>
              <w:rPr>
                <w:sz w:val="18"/>
              </w:rPr>
              <w:t>胆碱能损伤假说</w:t>
            </w:r>
          </w:p>
        </w:tc>
        <w:tc>
          <w:tcPr>
            <w:tcW w:w="7626" w:type="dxa"/>
            <w:tcBorders>
              <w:top w:val="single" w:sz="4" w:space="0" w:color="000000"/>
              <w:bottom w:val="single" w:sz="4" w:space="0" w:color="000000"/>
            </w:tcBorders>
          </w:tcPr>
          <w:p>
            <w:pPr>
              <w:pStyle w:val="TableParagraph"/>
              <w:spacing w:line="304" w:lineRule="auto" w:before="2"/>
              <w:ind w:left="346" w:right="106"/>
              <w:jc w:val="both"/>
              <w:rPr>
                <w:sz w:val="18"/>
              </w:rPr>
            </w:pPr>
            <w:r>
              <w:rPr>
                <w:spacing w:val="-16"/>
                <w:sz w:val="18"/>
              </w:rPr>
              <w:t>认为 </w:t>
            </w:r>
            <w:r>
              <w:rPr>
                <w:rFonts w:ascii="Times New Roman" w:eastAsia="Times New Roman"/>
                <w:sz w:val="18"/>
              </w:rPr>
              <w:t>AD </w:t>
            </w:r>
            <w:r>
              <w:rPr>
                <w:spacing w:val="-7"/>
                <w:sz w:val="18"/>
              </w:rPr>
              <w:t>的产生是由于 </w:t>
            </w:r>
            <w:r>
              <w:rPr>
                <w:rFonts w:ascii="Times New Roman" w:eastAsia="Times New Roman"/>
                <w:sz w:val="18"/>
              </w:rPr>
              <w:t>AD </w:t>
            </w:r>
            <w:r>
              <w:rPr>
                <w:spacing w:val="-3"/>
                <w:sz w:val="18"/>
              </w:rPr>
              <w:t>患者脑内的神经递质存在缺陷，导致胆碱能神经元受到损伤。该</w:t>
            </w:r>
            <w:r>
              <w:rPr>
                <w:spacing w:val="-2"/>
                <w:sz w:val="18"/>
              </w:rPr>
              <w:t>假说认为乙酰胆碱酯酶和乙酰胆碱转移酶的活性下降是乙酰胆碱浓度下降、胆碱能活性下降</w:t>
            </w:r>
            <w:r>
              <w:rPr>
                <w:spacing w:val="-4"/>
                <w:sz w:val="18"/>
              </w:rPr>
              <w:t>的主要原因。但由于这些与胆碱能假说相关的抗 </w:t>
            </w:r>
            <w:r>
              <w:rPr>
                <w:rFonts w:ascii="Times New Roman" w:eastAsia="Times New Roman"/>
                <w:sz w:val="18"/>
              </w:rPr>
              <w:t>AD </w:t>
            </w:r>
            <w:r>
              <w:rPr>
                <w:spacing w:val="-2"/>
                <w:sz w:val="18"/>
              </w:rPr>
              <w:t>药物的疗效并不显著，所以该假说仍存</w:t>
            </w:r>
          </w:p>
          <w:p>
            <w:pPr>
              <w:pStyle w:val="TableParagraph"/>
              <w:spacing w:line="229" w:lineRule="exact"/>
              <w:ind w:left="346"/>
              <w:rPr>
                <w:sz w:val="18"/>
              </w:rPr>
            </w:pPr>
            <w:r>
              <w:rPr>
                <w:sz w:val="18"/>
              </w:rPr>
              <w:t>在较大争议。</w:t>
            </w:r>
          </w:p>
        </w:tc>
      </w:tr>
      <w:tr>
        <w:trPr>
          <w:trHeight w:val="1458" w:hRule="atLeast"/>
        </w:trPr>
        <w:tc>
          <w:tcPr>
            <w:tcW w:w="2194" w:type="dxa"/>
            <w:tcBorders>
              <w:top w:val="single" w:sz="4" w:space="0" w:color="000000"/>
              <w:bottom w:val="single" w:sz="4" w:space="0" w:color="000000"/>
            </w:tcBorders>
          </w:tcPr>
          <w:p>
            <w:pPr>
              <w:pStyle w:val="TableParagraph"/>
              <w:rPr>
                <w:sz w:val="18"/>
              </w:rPr>
            </w:pPr>
          </w:p>
          <w:p>
            <w:pPr>
              <w:pStyle w:val="TableParagraph"/>
              <w:rPr>
                <w:sz w:val="18"/>
              </w:rPr>
            </w:pPr>
          </w:p>
          <w:p>
            <w:pPr>
              <w:pStyle w:val="TableParagraph"/>
              <w:spacing w:before="124"/>
              <w:ind w:left="677"/>
              <w:rPr>
                <w:sz w:val="18"/>
              </w:rPr>
            </w:pPr>
            <w:r>
              <w:rPr>
                <w:sz w:val="18"/>
              </w:rPr>
              <w:t>氧化应激假说</w:t>
            </w:r>
          </w:p>
        </w:tc>
        <w:tc>
          <w:tcPr>
            <w:tcW w:w="7626" w:type="dxa"/>
            <w:tcBorders>
              <w:top w:val="single" w:sz="4" w:space="0" w:color="000000"/>
              <w:bottom w:val="single" w:sz="4" w:space="0" w:color="000000"/>
            </w:tcBorders>
          </w:tcPr>
          <w:p>
            <w:pPr>
              <w:pStyle w:val="TableParagraph"/>
              <w:spacing w:line="302" w:lineRule="auto" w:before="2"/>
              <w:ind w:left="346" w:right="105"/>
              <w:jc w:val="both"/>
              <w:rPr>
                <w:sz w:val="18"/>
              </w:rPr>
            </w:pPr>
            <w:r>
              <w:rPr>
                <w:spacing w:val="-3"/>
                <w:sz w:val="18"/>
              </w:rPr>
              <w:t>线粒体功能障碍和氧化应激长期以来一直与 </w:t>
            </w:r>
            <w:r>
              <w:rPr>
                <w:rFonts w:ascii="Times New Roman" w:hAnsi="Times New Roman" w:eastAsia="Times New Roman"/>
                <w:sz w:val="18"/>
              </w:rPr>
              <w:t>AD </w:t>
            </w:r>
            <w:r>
              <w:rPr>
                <w:spacing w:val="-4"/>
                <w:sz w:val="18"/>
              </w:rPr>
              <w:t>早期的发病机制有关。细胞色素 </w:t>
            </w:r>
            <w:r>
              <w:rPr>
                <w:rFonts w:ascii="Times New Roman" w:hAnsi="Times New Roman" w:eastAsia="Times New Roman"/>
                <w:sz w:val="18"/>
              </w:rPr>
              <w:t>c </w:t>
            </w:r>
            <w:r>
              <w:rPr>
                <w:spacing w:val="-4"/>
                <w:sz w:val="18"/>
              </w:rPr>
              <w:t>氧化酶水平降低可导致线粒体功能障碍。此外，氧化应激引起的糖原合酶激酶的过度激发可以改变线</w:t>
            </w:r>
            <w:r>
              <w:rPr>
                <w:spacing w:val="-2"/>
                <w:sz w:val="18"/>
              </w:rPr>
              <w:t>粒体的通透性，这可能导致活性氧</w:t>
            </w:r>
            <w:r>
              <w:rPr>
                <w:sz w:val="18"/>
              </w:rPr>
              <w:t>（</w:t>
            </w:r>
            <w:r>
              <w:rPr>
                <w:rFonts w:ascii="Times New Roman" w:hAnsi="Times New Roman" w:eastAsia="Times New Roman"/>
                <w:sz w:val="18"/>
              </w:rPr>
              <w:t>ROS</w:t>
            </w:r>
            <w:r>
              <w:rPr>
                <w:sz w:val="18"/>
              </w:rPr>
              <w:t>）</w:t>
            </w:r>
            <w:r>
              <w:rPr>
                <w:spacing w:val="-2"/>
                <w:sz w:val="18"/>
              </w:rPr>
              <w:t>的过度生产。金属离子特别是锌和铜可以结合到</w:t>
            </w:r>
            <w:r>
              <w:rPr>
                <w:rFonts w:ascii="Times New Roman" w:hAnsi="Times New Roman" w:eastAsia="Times New Roman"/>
                <w:sz w:val="18"/>
              </w:rPr>
              <w:t>A</w:t>
            </w:r>
            <w:r>
              <w:rPr>
                <w:sz w:val="18"/>
              </w:rPr>
              <w:t>β</w:t>
            </w:r>
            <w:r>
              <w:rPr>
                <w:spacing w:val="-8"/>
                <w:sz w:val="18"/>
              </w:rPr>
              <w:t>斑块并产生 </w:t>
            </w:r>
            <w:r>
              <w:rPr>
                <w:rFonts w:ascii="Times New Roman" w:hAnsi="Times New Roman" w:eastAsia="Times New Roman"/>
                <w:sz w:val="18"/>
              </w:rPr>
              <w:t>ROS</w:t>
            </w:r>
            <w:r>
              <w:rPr>
                <w:spacing w:val="-13"/>
                <w:sz w:val="18"/>
              </w:rPr>
              <w:t>。这样产生的 </w:t>
            </w:r>
            <w:r>
              <w:rPr>
                <w:rFonts w:ascii="Times New Roman" w:hAnsi="Times New Roman" w:eastAsia="Times New Roman"/>
                <w:sz w:val="18"/>
              </w:rPr>
              <w:t>ROS </w:t>
            </w:r>
            <w:r>
              <w:rPr>
                <w:spacing w:val="-15"/>
                <w:sz w:val="18"/>
              </w:rPr>
              <w:t>带来 </w:t>
            </w:r>
            <w:r>
              <w:rPr>
                <w:rFonts w:ascii="Times New Roman" w:hAnsi="Times New Roman" w:eastAsia="Times New Roman"/>
                <w:sz w:val="18"/>
              </w:rPr>
              <w:t>A</w:t>
            </w:r>
            <w:r>
              <w:rPr>
                <w:sz w:val="18"/>
              </w:rPr>
              <w:t>β</w:t>
            </w:r>
            <w:r>
              <w:rPr>
                <w:spacing w:val="-7"/>
                <w:sz w:val="18"/>
              </w:rPr>
              <w:t>肽本身的氧化变化，使其难以去除，并且还</w:t>
            </w:r>
          </w:p>
          <w:p>
            <w:pPr>
              <w:pStyle w:val="TableParagraph"/>
              <w:spacing w:before="4"/>
              <w:ind w:left="346"/>
              <w:rPr>
                <w:sz w:val="18"/>
              </w:rPr>
            </w:pPr>
            <w:r>
              <w:rPr>
                <w:sz w:val="18"/>
              </w:rPr>
              <w:t>导致细胞膜的脂质和蛋白质氧化，使其具有渗透性，因此易于变性。</w:t>
            </w:r>
          </w:p>
        </w:tc>
      </w:tr>
      <w:tr>
        <w:trPr>
          <w:trHeight w:val="1459" w:hRule="atLeast"/>
        </w:trPr>
        <w:tc>
          <w:tcPr>
            <w:tcW w:w="2194" w:type="dxa"/>
            <w:tcBorders>
              <w:top w:val="single" w:sz="4" w:space="0" w:color="000000"/>
              <w:bottom w:val="single" w:sz="4" w:space="0" w:color="000000"/>
            </w:tcBorders>
          </w:tcPr>
          <w:p>
            <w:pPr>
              <w:pStyle w:val="TableParagraph"/>
              <w:rPr>
                <w:sz w:val="18"/>
              </w:rPr>
            </w:pPr>
          </w:p>
          <w:p>
            <w:pPr>
              <w:pStyle w:val="TableParagraph"/>
              <w:rPr>
                <w:sz w:val="18"/>
              </w:rPr>
            </w:pPr>
          </w:p>
          <w:p>
            <w:pPr>
              <w:pStyle w:val="TableParagraph"/>
              <w:spacing w:before="124"/>
              <w:ind w:left="677"/>
              <w:rPr>
                <w:sz w:val="18"/>
              </w:rPr>
            </w:pPr>
            <w:r>
              <w:rPr>
                <w:sz w:val="18"/>
              </w:rPr>
              <w:t>神经炎症假说</w:t>
            </w:r>
          </w:p>
        </w:tc>
        <w:tc>
          <w:tcPr>
            <w:tcW w:w="7626" w:type="dxa"/>
            <w:tcBorders>
              <w:top w:val="single" w:sz="4" w:space="0" w:color="000000"/>
              <w:bottom w:val="single" w:sz="4" w:space="0" w:color="000000"/>
            </w:tcBorders>
          </w:tcPr>
          <w:p>
            <w:pPr>
              <w:pStyle w:val="TableParagraph"/>
              <w:spacing w:line="304" w:lineRule="auto" w:before="2"/>
              <w:ind w:left="346" w:right="103"/>
              <w:jc w:val="both"/>
              <w:rPr>
                <w:sz w:val="18"/>
              </w:rPr>
            </w:pPr>
            <w:r>
              <w:rPr>
                <w:spacing w:val="-15"/>
                <w:sz w:val="18"/>
              </w:rPr>
              <w:t>认为 </w:t>
            </w:r>
            <w:r>
              <w:rPr>
                <w:rFonts w:ascii="Times New Roman" w:hAnsi="Times New Roman" w:eastAsia="Times New Roman"/>
                <w:sz w:val="18"/>
              </w:rPr>
              <w:t>AD </w:t>
            </w:r>
            <w:r>
              <w:rPr>
                <w:spacing w:val="-5"/>
                <w:sz w:val="18"/>
              </w:rPr>
              <w:t>的开始主要是小胶质细胞对“损伤信号”或 </w:t>
            </w:r>
            <w:r>
              <w:rPr>
                <w:rFonts w:ascii="Times New Roman" w:hAnsi="Times New Roman" w:eastAsia="Times New Roman"/>
                <w:spacing w:val="-6"/>
                <w:sz w:val="18"/>
              </w:rPr>
              <w:t>Tau </w:t>
            </w:r>
            <w:r>
              <w:rPr>
                <w:spacing w:val="-3"/>
                <w:sz w:val="18"/>
              </w:rPr>
              <w:t>寡聚物反应的结果。这些引起神经</w:t>
            </w:r>
            <w:r>
              <w:rPr>
                <w:spacing w:val="-8"/>
                <w:sz w:val="18"/>
              </w:rPr>
              <w:t>炎症反应，随着核因子 </w:t>
            </w:r>
            <w:r>
              <w:rPr>
                <w:rFonts w:ascii="Times New Roman" w:hAnsi="Times New Roman" w:eastAsia="Times New Roman"/>
                <w:sz w:val="18"/>
              </w:rPr>
              <w:t>Kappa </w:t>
            </w:r>
            <w:r>
              <w:rPr>
                <w:rFonts w:ascii="Times New Roman" w:hAnsi="Times New Roman" w:eastAsia="Times New Roman"/>
                <w:spacing w:val="-3"/>
                <w:sz w:val="18"/>
              </w:rPr>
              <w:t>β</w:t>
            </w:r>
            <w:r>
              <w:rPr>
                <w:spacing w:val="-3"/>
                <w:sz w:val="18"/>
              </w:rPr>
              <w:t>（</w:t>
            </w:r>
            <w:r>
              <w:rPr>
                <w:rFonts w:ascii="Times New Roman" w:hAnsi="Times New Roman" w:eastAsia="Times New Roman"/>
                <w:spacing w:val="-3"/>
                <w:sz w:val="18"/>
              </w:rPr>
              <w:t>NFkB</w:t>
            </w:r>
            <w:r>
              <w:rPr>
                <w:spacing w:val="-3"/>
                <w:sz w:val="18"/>
              </w:rPr>
              <w:t>）的释放，促炎细胞因子的过度产生以及随之而来的</w:t>
            </w:r>
            <w:r>
              <w:rPr>
                <w:spacing w:val="-8"/>
                <w:sz w:val="18"/>
              </w:rPr>
              <w:t>神经元受体的激活，诱导异常的级联信号传导。从神经退化神经元释放的 </w:t>
            </w:r>
            <w:r>
              <w:rPr>
                <w:rFonts w:ascii="Times New Roman" w:hAnsi="Times New Roman" w:eastAsia="Times New Roman"/>
                <w:spacing w:val="-5"/>
                <w:sz w:val="18"/>
              </w:rPr>
              <w:t>Tau </w:t>
            </w:r>
            <w:r>
              <w:rPr>
                <w:spacing w:val="-4"/>
                <w:sz w:val="18"/>
              </w:rPr>
              <w:t>寡聚物和聚合物可以重新激活小胶质细胞，从而促进与导致神经元变性的改变分子信号的连续级联相关的</w:t>
            </w:r>
          </w:p>
          <w:p>
            <w:pPr>
              <w:pStyle w:val="TableParagraph"/>
              <w:spacing w:line="225" w:lineRule="exact"/>
              <w:ind w:left="346"/>
              <w:rPr>
                <w:sz w:val="18"/>
              </w:rPr>
            </w:pPr>
            <w:r>
              <w:rPr>
                <w:sz w:val="18"/>
              </w:rPr>
              <w:t>正反馈机制。</w:t>
            </w:r>
          </w:p>
        </w:tc>
      </w:tr>
    </w:tbl>
    <w:p>
      <w:pPr>
        <w:spacing w:after="0" w:line="225" w:lineRule="exact"/>
        <w:rPr>
          <w:sz w:val="18"/>
        </w:rPr>
        <w:sectPr>
          <w:pgSz w:w="11910" w:h="16840"/>
          <w:pgMar w:header="868" w:footer="1201" w:top="1400" w:bottom="1400" w:left="240" w:right="400"/>
        </w:sectPr>
      </w:pPr>
    </w:p>
    <w:p>
      <w:pPr>
        <w:pStyle w:val="BodyText"/>
        <w:spacing w:before="4"/>
        <w:rPr>
          <w:sz w:val="13"/>
        </w:rPr>
      </w:pPr>
    </w:p>
    <w:tbl>
      <w:tblPr>
        <w:tblW w:w="0" w:type="auto"/>
        <w:jc w:val="left"/>
        <w:tblInd w:w="6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046"/>
        <w:gridCol w:w="7492"/>
      </w:tblGrid>
      <w:tr>
        <w:trPr>
          <w:trHeight w:val="1165" w:hRule="atLeast"/>
        </w:trPr>
        <w:tc>
          <w:tcPr>
            <w:tcW w:w="3046" w:type="dxa"/>
            <w:tcBorders>
              <w:top w:val="single" w:sz="12" w:space="0" w:color="333366"/>
              <w:bottom w:val="single" w:sz="4" w:space="0" w:color="000000"/>
            </w:tcBorders>
          </w:tcPr>
          <w:p>
            <w:pPr>
              <w:pStyle w:val="TableParagraph"/>
              <w:rPr>
                <w:sz w:val="18"/>
              </w:rPr>
            </w:pPr>
          </w:p>
          <w:p>
            <w:pPr>
              <w:pStyle w:val="TableParagraph"/>
              <w:spacing w:before="2"/>
              <w:rPr>
                <w:sz w:val="16"/>
              </w:rPr>
            </w:pPr>
          </w:p>
          <w:p>
            <w:pPr>
              <w:pStyle w:val="TableParagraph"/>
              <w:spacing w:before="1"/>
              <w:ind w:left="1014" w:right="188"/>
              <w:jc w:val="center"/>
              <w:rPr>
                <w:sz w:val="18"/>
              </w:rPr>
            </w:pPr>
            <w:r>
              <w:rPr>
                <w:sz w:val="18"/>
              </w:rPr>
              <w:t>雌激素缺乏假说</w:t>
            </w:r>
          </w:p>
        </w:tc>
        <w:tc>
          <w:tcPr>
            <w:tcW w:w="7492" w:type="dxa"/>
            <w:tcBorders>
              <w:top w:val="single" w:sz="12" w:space="0" w:color="333366"/>
              <w:bottom w:val="single" w:sz="4" w:space="0" w:color="000000"/>
            </w:tcBorders>
          </w:tcPr>
          <w:p>
            <w:pPr>
              <w:pStyle w:val="TableParagraph"/>
              <w:spacing w:line="302" w:lineRule="auto" w:before="1"/>
              <w:ind w:left="211" w:right="105"/>
              <w:jc w:val="both"/>
              <w:rPr>
                <w:sz w:val="18"/>
              </w:rPr>
            </w:pPr>
            <w:r>
              <w:rPr>
                <w:spacing w:val="-5"/>
                <w:sz w:val="18"/>
              </w:rPr>
              <w:t>据研究显示，雌激素可以直接促进脑内损伤神经细胞的修复，并且可以通过促进星形胶质细</w:t>
            </w:r>
            <w:r>
              <w:rPr>
                <w:sz w:val="18"/>
              </w:rPr>
              <w:t>胞发育进而支持神经元功能。另外，雌激素也有促进乙酰胆碱、多巴胺、</w:t>
            </w:r>
            <w:r>
              <w:rPr>
                <w:rFonts w:ascii="Times New Roman" w:eastAsia="Times New Roman"/>
                <w:sz w:val="18"/>
              </w:rPr>
              <w:t>5-</w:t>
            </w:r>
            <w:r>
              <w:rPr>
                <w:spacing w:val="-3"/>
                <w:sz w:val="18"/>
              </w:rPr>
              <w:t>羟色胺等神经递</w:t>
            </w:r>
            <w:r>
              <w:rPr>
                <w:spacing w:val="-8"/>
                <w:sz w:val="18"/>
              </w:rPr>
              <w:t>质合成的作用。同时，雌激素还可以通过改善脑部供血、直接营养神经、抑制 </w:t>
            </w:r>
            <w:r>
              <w:rPr>
                <w:rFonts w:ascii="Times New Roman" w:eastAsia="Times New Roman"/>
                <w:sz w:val="18"/>
              </w:rPr>
              <w:t>APOE </w:t>
            </w:r>
            <w:r>
              <w:rPr>
                <w:spacing w:val="-2"/>
                <w:sz w:val="18"/>
              </w:rPr>
              <w:t>基因而</w:t>
            </w:r>
          </w:p>
          <w:p>
            <w:pPr>
              <w:pStyle w:val="TableParagraph"/>
              <w:spacing w:before="2"/>
              <w:ind w:left="211"/>
              <w:rPr>
                <w:sz w:val="18"/>
              </w:rPr>
            </w:pPr>
            <w:r>
              <w:rPr>
                <w:sz w:val="18"/>
              </w:rPr>
              <w:t>促使淀粉样蛋白清除等途径发挥作用。</w:t>
            </w:r>
          </w:p>
        </w:tc>
      </w:tr>
      <w:tr>
        <w:trPr>
          <w:trHeight w:val="623" w:hRule="atLeast"/>
        </w:trPr>
        <w:tc>
          <w:tcPr>
            <w:tcW w:w="3046" w:type="dxa"/>
            <w:tcBorders>
              <w:top w:val="single" w:sz="4" w:space="0" w:color="000000"/>
              <w:bottom w:val="single" w:sz="4" w:space="0" w:color="000000"/>
            </w:tcBorders>
          </w:tcPr>
          <w:p>
            <w:pPr>
              <w:pStyle w:val="TableParagraph"/>
              <w:spacing w:before="1"/>
              <w:rPr>
                <w:sz w:val="13"/>
              </w:rPr>
            </w:pPr>
          </w:p>
          <w:p>
            <w:pPr>
              <w:pStyle w:val="TableParagraph"/>
              <w:ind w:left="1014" w:right="188"/>
              <w:jc w:val="center"/>
              <w:rPr>
                <w:sz w:val="18"/>
              </w:rPr>
            </w:pPr>
            <w:r>
              <w:rPr>
                <w:sz w:val="18"/>
              </w:rPr>
              <w:t>传染病假说</w:t>
            </w:r>
          </w:p>
        </w:tc>
        <w:tc>
          <w:tcPr>
            <w:tcW w:w="7492" w:type="dxa"/>
            <w:tcBorders>
              <w:top w:val="single" w:sz="4" w:space="0" w:color="000000"/>
              <w:bottom w:val="single" w:sz="4" w:space="0" w:color="000000"/>
            </w:tcBorders>
          </w:tcPr>
          <w:p>
            <w:pPr>
              <w:pStyle w:val="TableParagraph"/>
              <w:spacing w:before="21"/>
              <w:ind w:left="211"/>
              <w:rPr>
                <w:sz w:val="18"/>
              </w:rPr>
            </w:pPr>
            <w:r>
              <w:rPr>
                <w:spacing w:val="-3"/>
                <w:sz w:val="18"/>
              </w:rPr>
              <w:t>被螺旋体和其他病原体如衣原体和 </w:t>
            </w:r>
            <w:r>
              <w:rPr>
                <w:rFonts w:ascii="Times New Roman" w:hAnsi="Times New Roman" w:eastAsia="Times New Roman"/>
                <w:spacing w:val="-4"/>
                <w:sz w:val="18"/>
              </w:rPr>
              <w:t>HSV-1 </w:t>
            </w:r>
            <w:r>
              <w:rPr>
                <w:spacing w:val="-5"/>
                <w:sz w:val="18"/>
              </w:rPr>
              <w:t>感染的神经元有更多的 </w:t>
            </w:r>
            <w:r>
              <w:rPr>
                <w:rFonts w:ascii="Times New Roman" w:hAnsi="Times New Roman" w:eastAsia="Times New Roman"/>
                <w:sz w:val="18"/>
              </w:rPr>
              <w:t>A</w:t>
            </w:r>
            <w:r>
              <w:rPr>
                <w:sz w:val="18"/>
              </w:rPr>
              <w:t>β</w:t>
            </w:r>
            <w:r>
              <w:rPr>
                <w:spacing w:val="-10"/>
                <w:sz w:val="18"/>
              </w:rPr>
              <w:t>沉积和 </w:t>
            </w:r>
            <w:r>
              <w:rPr>
                <w:rFonts w:ascii="Times New Roman" w:hAnsi="Times New Roman" w:eastAsia="Times New Roman"/>
                <w:spacing w:val="-4"/>
                <w:sz w:val="18"/>
              </w:rPr>
              <w:t>NFTs</w:t>
            </w:r>
            <w:r>
              <w:rPr>
                <w:sz w:val="18"/>
              </w:rPr>
              <w:t>。因此，</w:t>
            </w:r>
          </w:p>
          <w:p>
            <w:pPr>
              <w:pStyle w:val="TableParagraph"/>
              <w:spacing w:before="62"/>
              <w:ind w:left="211"/>
              <w:rPr>
                <w:sz w:val="18"/>
              </w:rPr>
            </w:pPr>
            <w:r>
              <w:rPr>
                <w:sz w:val="18"/>
              </w:rPr>
              <w:t>持续未经治疗的感染可能是 </w:t>
            </w:r>
            <w:r>
              <w:rPr>
                <w:rFonts w:ascii="Times New Roman" w:eastAsia="Times New Roman"/>
                <w:sz w:val="18"/>
              </w:rPr>
              <w:t>AD </w:t>
            </w:r>
            <w:r>
              <w:rPr>
                <w:sz w:val="18"/>
              </w:rPr>
              <w:t>的原因之一。</w:t>
            </w:r>
          </w:p>
        </w:tc>
      </w:tr>
      <w:tr>
        <w:trPr>
          <w:trHeight w:val="1168" w:hRule="atLeast"/>
        </w:trPr>
        <w:tc>
          <w:tcPr>
            <w:tcW w:w="3046" w:type="dxa"/>
            <w:tcBorders>
              <w:top w:val="single" w:sz="4" w:space="0" w:color="000000"/>
              <w:bottom w:val="single" w:sz="4" w:space="0" w:color="000000"/>
            </w:tcBorders>
          </w:tcPr>
          <w:p>
            <w:pPr>
              <w:pStyle w:val="TableParagraph"/>
              <w:rPr>
                <w:sz w:val="18"/>
              </w:rPr>
            </w:pPr>
          </w:p>
          <w:p>
            <w:pPr>
              <w:pStyle w:val="TableParagraph"/>
              <w:spacing w:before="5"/>
              <w:rPr>
                <w:sz w:val="16"/>
              </w:rPr>
            </w:pPr>
          </w:p>
          <w:p>
            <w:pPr>
              <w:pStyle w:val="TableParagraph"/>
              <w:ind w:left="1014" w:right="191"/>
              <w:jc w:val="center"/>
              <w:rPr>
                <w:sz w:val="18"/>
              </w:rPr>
            </w:pPr>
            <w:r>
              <w:rPr>
                <w:sz w:val="18"/>
              </w:rPr>
              <w:t>肠道微生物群破坏假说</w:t>
            </w:r>
          </w:p>
        </w:tc>
        <w:tc>
          <w:tcPr>
            <w:tcW w:w="7492" w:type="dxa"/>
            <w:tcBorders>
              <w:top w:val="single" w:sz="4" w:space="0" w:color="000000"/>
              <w:bottom w:val="single" w:sz="4" w:space="0" w:color="000000"/>
            </w:tcBorders>
          </w:tcPr>
          <w:p>
            <w:pPr>
              <w:pStyle w:val="TableParagraph"/>
              <w:spacing w:line="302" w:lineRule="auto" w:before="2"/>
              <w:ind w:left="211" w:right="101"/>
              <w:jc w:val="both"/>
              <w:rPr>
                <w:sz w:val="18"/>
              </w:rPr>
            </w:pPr>
            <w:r>
              <w:rPr>
                <w:sz w:val="18"/>
              </w:rPr>
              <w:t>脑肠通过脑肠代谢轴进行双向交流。肠道菌群紊乱导致次生细胞毒性胆汁酸</w:t>
            </w:r>
            <w:r>
              <w:rPr>
                <w:rFonts w:ascii="Times New Roman" w:eastAsia="Times New Roman"/>
                <w:sz w:val="18"/>
              </w:rPr>
              <w:t>(</w:t>
            </w:r>
            <w:r>
              <w:rPr>
                <w:sz w:val="18"/>
              </w:rPr>
              <w:t>主要是脱氧胆酸</w:t>
            </w:r>
            <w:r>
              <w:rPr>
                <w:rFonts w:ascii="Times New Roman" w:eastAsia="Times New Roman"/>
                <w:sz w:val="18"/>
              </w:rPr>
              <w:t>)</w:t>
            </w:r>
            <w:r>
              <w:rPr>
                <w:spacing w:val="-8"/>
                <w:sz w:val="18"/>
              </w:rPr>
              <w:t>的产生增加，它可以穿过血脑屏障并沉积在大脑中，导致细胞凋亡、活性氧的产生、炎症</w:t>
            </w:r>
            <w:r>
              <w:rPr>
                <w:spacing w:val="-4"/>
                <w:sz w:val="18"/>
              </w:rPr>
              <w:t>和神经退行性变。另外，肠道菌群失调会导致全身炎症、神经炎症和胰岛素抵抗，这些都可</w:t>
            </w:r>
          </w:p>
          <w:p>
            <w:pPr>
              <w:pStyle w:val="TableParagraph"/>
              <w:spacing w:before="4"/>
              <w:ind w:left="211"/>
              <w:jc w:val="both"/>
              <w:rPr>
                <w:sz w:val="18"/>
              </w:rPr>
            </w:pPr>
            <w:r>
              <w:rPr>
                <w:sz w:val="18"/>
              </w:rPr>
              <w:t>能与 </w:t>
            </w:r>
            <w:r>
              <w:rPr>
                <w:rFonts w:ascii="Times New Roman" w:eastAsia="Times New Roman"/>
                <w:sz w:val="18"/>
              </w:rPr>
              <w:t>AD </w:t>
            </w:r>
            <w:r>
              <w:rPr>
                <w:sz w:val="18"/>
              </w:rPr>
              <w:t>的发病机制有关。</w:t>
            </w:r>
          </w:p>
        </w:tc>
      </w:tr>
      <w:tr>
        <w:trPr>
          <w:trHeight w:val="873" w:hRule="atLeast"/>
        </w:trPr>
        <w:tc>
          <w:tcPr>
            <w:tcW w:w="3046" w:type="dxa"/>
            <w:tcBorders>
              <w:top w:val="single" w:sz="4" w:space="0" w:color="000000"/>
              <w:bottom w:val="single" w:sz="4" w:space="0" w:color="000000"/>
            </w:tcBorders>
          </w:tcPr>
          <w:p>
            <w:pPr>
              <w:pStyle w:val="TableParagraph"/>
              <w:spacing w:before="11"/>
              <w:rPr>
                <w:sz w:val="22"/>
              </w:rPr>
            </w:pPr>
          </w:p>
          <w:p>
            <w:pPr>
              <w:pStyle w:val="TableParagraph"/>
              <w:ind w:left="1014" w:right="191"/>
              <w:jc w:val="center"/>
              <w:rPr>
                <w:sz w:val="18"/>
              </w:rPr>
            </w:pPr>
            <w:r>
              <w:rPr>
                <w:sz w:val="18"/>
              </w:rPr>
              <w:t>自噬缺陷假说</w:t>
            </w:r>
          </w:p>
        </w:tc>
        <w:tc>
          <w:tcPr>
            <w:tcW w:w="7492" w:type="dxa"/>
            <w:tcBorders>
              <w:top w:val="single" w:sz="4" w:space="0" w:color="000000"/>
              <w:bottom w:val="single" w:sz="4" w:space="0" w:color="000000"/>
            </w:tcBorders>
          </w:tcPr>
          <w:p>
            <w:pPr>
              <w:pStyle w:val="TableParagraph"/>
              <w:spacing w:line="302" w:lineRule="auto" w:before="2"/>
              <w:ind w:left="211" w:right="14"/>
              <w:rPr>
                <w:sz w:val="18"/>
              </w:rPr>
            </w:pPr>
            <w:r>
              <w:rPr>
                <w:sz w:val="18"/>
              </w:rPr>
              <w:t>“自噬液泡”被称为细胞的内务系统或废物管理系统，包括吞噬老化的蛋白质或细胞成分。</w:t>
            </w:r>
            <w:r>
              <w:rPr>
                <w:spacing w:val="-12"/>
                <w:sz w:val="18"/>
              </w:rPr>
              <w:t>早老素 </w:t>
            </w:r>
            <w:r>
              <w:rPr>
                <w:rFonts w:ascii="Times New Roman" w:hAnsi="Times New Roman" w:eastAsia="Times New Roman"/>
                <w:sz w:val="18"/>
              </w:rPr>
              <w:t>1 </w:t>
            </w:r>
            <w:r>
              <w:rPr>
                <w:spacing w:val="-10"/>
                <w:sz w:val="18"/>
              </w:rPr>
              <w:t>蛋白、氧化应激、</w:t>
            </w:r>
            <w:r>
              <w:rPr>
                <w:rFonts w:ascii="Times New Roman" w:hAnsi="Times New Roman" w:eastAsia="Times New Roman"/>
                <w:spacing w:val="-5"/>
                <w:sz w:val="18"/>
              </w:rPr>
              <w:t>Tau </w:t>
            </w:r>
            <w:r>
              <w:rPr>
                <w:spacing w:val="-5"/>
                <w:sz w:val="18"/>
              </w:rPr>
              <w:t>神经纤维缠结等多种 </w:t>
            </w:r>
            <w:r>
              <w:rPr>
                <w:rFonts w:ascii="Times New Roman" w:hAnsi="Times New Roman" w:eastAsia="Times New Roman"/>
                <w:sz w:val="18"/>
              </w:rPr>
              <w:t>AD </w:t>
            </w:r>
            <w:r>
              <w:rPr>
                <w:spacing w:val="-1"/>
                <w:sz w:val="18"/>
              </w:rPr>
              <w:t>生长因子可引起自噬液泡功能障碍，</w:t>
            </w:r>
          </w:p>
          <w:p>
            <w:pPr>
              <w:pStyle w:val="TableParagraph"/>
              <w:spacing w:before="3"/>
              <w:ind w:left="211"/>
              <w:rPr>
                <w:sz w:val="18"/>
              </w:rPr>
            </w:pPr>
            <w:r>
              <w:rPr>
                <w:sz w:val="18"/>
              </w:rPr>
              <w:t>从而参与 </w:t>
            </w:r>
            <w:r>
              <w:rPr>
                <w:rFonts w:ascii="Times New Roman" w:eastAsia="Times New Roman"/>
                <w:sz w:val="18"/>
              </w:rPr>
              <w:t>AD </w:t>
            </w:r>
            <w:r>
              <w:rPr>
                <w:sz w:val="18"/>
              </w:rPr>
              <w:t>的发病机制。</w:t>
            </w:r>
          </w:p>
        </w:tc>
      </w:tr>
      <w:tr>
        <w:trPr>
          <w:trHeight w:val="223" w:hRule="atLeast"/>
        </w:trPr>
        <w:tc>
          <w:tcPr>
            <w:tcW w:w="10538" w:type="dxa"/>
            <w:gridSpan w:val="2"/>
          </w:tcPr>
          <w:p>
            <w:pPr>
              <w:pStyle w:val="TableParagraph"/>
              <w:spacing w:line="199" w:lineRule="exact" w:before="4"/>
              <w:ind w:left="830"/>
              <w:rPr>
                <w:sz w:val="18"/>
              </w:rPr>
            </w:pPr>
            <w:r>
              <w:rPr>
                <w:sz w:val="18"/>
              </w:rPr>
              <w:t>资料来源：老年人认知障碍的预防与康复，</w:t>
            </w:r>
            <w:r>
              <w:rPr>
                <w:rFonts w:ascii="Times New Roman" w:eastAsia="Times New Roman"/>
                <w:sz w:val="18"/>
              </w:rPr>
              <w:t>Curr Neuropharmacol, 2020, 18(11):1106-1125</w:t>
            </w:r>
            <w:r>
              <w:rPr>
                <w:sz w:val="18"/>
              </w:rPr>
              <w:t>，兴业证券经济与金融研究院整理</w:t>
            </w:r>
          </w:p>
        </w:tc>
      </w:tr>
    </w:tbl>
    <w:p>
      <w:pPr>
        <w:pStyle w:val="BodyText"/>
        <w:spacing w:before="8"/>
        <w:rPr>
          <w:sz w:val="20"/>
        </w:rPr>
      </w:pPr>
    </w:p>
    <w:p>
      <w:pPr>
        <w:pStyle w:val="Heading2"/>
        <w:numPr>
          <w:ilvl w:val="1"/>
          <w:numId w:val="3"/>
        </w:numPr>
        <w:tabs>
          <w:tab w:pos="3714" w:val="left" w:leader="none"/>
        </w:tabs>
        <w:spacing w:line="429" w:lineRule="exact" w:before="0" w:after="0"/>
        <w:ind w:left="3713" w:right="0" w:hanging="551"/>
        <w:jc w:val="left"/>
      </w:pPr>
      <w:bookmarkStart w:name="_bookmark11" w:id="17"/>
      <w:bookmarkEnd w:id="17"/>
      <w:r>
        <w:rPr>
          <w:b w:val="0"/>
        </w:rPr>
      </w:r>
      <w:bookmarkStart w:name="_bookmark11" w:id="18"/>
      <w:bookmarkEnd w:id="18"/>
      <w:r>
        <w:rPr>
          <w:color w:val="333366"/>
        </w:rPr>
        <w:t>流行病学</w:t>
      </w:r>
    </w:p>
    <w:p>
      <w:pPr>
        <w:pStyle w:val="Heading3"/>
        <w:numPr>
          <w:ilvl w:val="2"/>
          <w:numId w:val="3"/>
        </w:numPr>
        <w:tabs>
          <w:tab w:pos="3858" w:val="left" w:leader="none"/>
        </w:tabs>
        <w:spacing w:line="240" w:lineRule="auto" w:before="143" w:after="0"/>
        <w:ind w:left="3857" w:right="0" w:hanging="695"/>
        <w:jc w:val="left"/>
        <w:rPr>
          <w:color w:val="333366"/>
        </w:rPr>
      </w:pPr>
      <w:bookmarkStart w:name="_bookmark12" w:id="19"/>
      <w:bookmarkEnd w:id="19"/>
      <w:r>
        <w:rPr>
          <w:b w:val="0"/>
        </w:rPr>
      </w:r>
      <w:bookmarkStart w:name="_bookmark12" w:id="20"/>
      <w:bookmarkEnd w:id="20"/>
      <w:r>
        <w:rPr>
          <w:color w:val="333366"/>
        </w:rPr>
        <w:t>痴呆患者数量预测</w:t>
      </w:r>
    </w:p>
    <w:p>
      <w:pPr>
        <w:pStyle w:val="BodyText"/>
        <w:spacing w:before="11"/>
        <w:rPr>
          <w:rFonts w:ascii="Microsoft JhengHei"/>
          <w:b/>
          <w:sz w:val="11"/>
        </w:rPr>
      </w:pPr>
    </w:p>
    <w:p>
      <w:pPr>
        <w:pStyle w:val="BodyText"/>
        <w:ind w:left="3163"/>
        <w:jc w:val="both"/>
      </w:pPr>
      <w:r>
        <w:rPr>
          <w:rFonts w:ascii="Times New Roman" w:eastAsia="Times New Roman"/>
        </w:rPr>
        <w:t>2019 </w:t>
      </w:r>
      <w:r>
        <w:rPr/>
        <w:t>年全球痴呆患者数量达到 </w:t>
      </w:r>
      <w:r>
        <w:rPr>
          <w:rFonts w:ascii="Times New Roman" w:eastAsia="Times New Roman"/>
        </w:rPr>
        <w:t>5500 </w:t>
      </w:r>
      <w:r>
        <w:rPr/>
        <w:t>万人。假设在未来几十年特定年龄的患病率</w:t>
      </w:r>
    </w:p>
    <w:p>
      <w:pPr>
        <w:pStyle w:val="BodyText"/>
        <w:spacing w:line="304" w:lineRule="auto" w:before="72"/>
        <w:ind w:left="3163" w:right="728"/>
        <w:jc w:val="both"/>
      </w:pPr>
      <w:r>
        <w:rPr>
          <w:spacing w:val="-5"/>
        </w:rPr>
        <w:t>没有变化，并应用联合国人口预测，预计到 </w:t>
      </w:r>
      <w:r>
        <w:rPr>
          <w:rFonts w:ascii="Times New Roman" w:eastAsia="Times New Roman"/>
        </w:rPr>
        <w:t>2030 </w:t>
      </w:r>
      <w:r>
        <w:rPr>
          <w:spacing w:val="-10"/>
        </w:rPr>
        <w:t>年将有大约 </w:t>
      </w:r>
      <w:r>
        <w:rPr>
          <w:rFonts w:ascii="Times New Roman" w:eastAsia="Times New Roman"/>
        </w:rPr>
        <w:t>7800 </w:t>
      </w:r>
      <w:r>
        <w:rPr>
          <w:spacing w:val="-3"/>
        </w:rPr>
        <w:t>万人患有痴呆症，</w:t>
      </w:r>
      <w:r>
        <w:rPr>
          <w:rFonts w:ascii="Times New Roman" w:eastAsia="Times New Roman"/>
          <w:spacing w:val="-3"/>
        </w:rPr>
        <w:t>CAGR</w:t>
      </w:r>
      <w:r>
        <w:rPr>
          <w:spacing w:val="-3"/>
        </w:rPr>
        <w:t>（</w:t>
      </w:r>
      <w:r>
        <w:rPr>
          <w:rFonts w:ascii="Times New Roman" w:eastAsia="Times New Roman"/>
          <w:spacing w:val="-3"/>
        </w:rPr>
        <w:t>2019 </w:t>
      </w:r>
      <w:r>
        <w:rPr>
          <w:spacing w:val="-15"/>
        </w:rPr>
        <w:t>至 </w:t>
      </w:r>
      <w:r>
        <w:rPr>
          <w:rFonts w:ascii="Times New Roman" w:eastAsia="Times New Roman"/>
        </w:rPr>
        <w:t>2030</w:t>
      </w:r>
      <w:r>
        <w:rPr/>
        <w:t>）</w:t>
      </w:r>
      <w:r>
        <w:rPr>
          <w:spacing w:val="-15"/>
        </w:rPr>
        <w:t>为 </w:t>
      </w:r>
      <w:r>
        <w:rPr>
          <w:rFonts w:ascii="Times New Roman" w:eastAsia="Times New Roman"/>
        </w:rPr>
        <w:t>3.2%</w:t>
      </w:r>
      <w:r>
        <w:rPr>
          <w:spacing w:val="-10"/>
        </w:rPr>
        <w:t>；到 </w:t>
      </w:r>
      <w:r>
        <w:rPr>
          <w:rFonts w:ascii="Times New Roman" w:eastAsia="Times New Roman"/>
        </w:rPr>
        <w:t>2050 </w:t>
      </w:r>
      <w:r>
        <w:rPr>
          <w:spacing w:val="-6"/>
        </w:rPr>
        <w:t>年该数值将攀升至 </w:t>
      </w:r>
      <w:r>
        <w:rPr>
          <w:rFonts w:ascii="Times New Roman" w:eastAsia="Times New Roman"/>
        </w:rPr>
        <w:t>1.39 </w:t>
      </w:r>
      <w:r>
        <w:rPr>
          <w:spacing w:val="-3"/>
        </w:rPr>
        <w:t>亿人次， </w:t>
      </w:r>
      <w:r>
        <w:rPr>
          <w:rFonts w:ascii="Times New Roman" w:eastAsia="Times New Roman"/>
          <w:spacing w:val="-3"/>
        </w:rPr>
        <w:t>CAGR</w:t>
      </w:r>
      <w:r>
        <w:rPr>
          <w:spacing w:val="-3"/>
        </w:rPr>
        <w:t>（</w:t>
      </w:r>
      <w:r>
        <w:rPr>
          <w:rFonts w:ascii="Times New Roman" w:eastAsia="Times New Roman"/>
          <w:spacing w:val="-3"/>
        </w:rPr>
        <w:t>2030-2050</w:t>
      </w:r>
      <w:r>
        <w:rPr>
          <w:spacing w:val="-3"/>
        </w:rPr>
        <w:t>）</w:t>
      </w:r>
      <w:r>
        <w:rPr>
          <w:spacing w:val="-30"/>
        </w:rPr>
        <w:t>为 </w:t>
      </w:r>
      <w:r>
        <w:rPr>
          <w:rFonts w:ascii="Times New Roman" w:eastAsia="Times New Roman"/>
        </w:rPr>
        <w:t>2.9%</w:t>
      </w:r>
      <w:r>
        <w:rPr/>
        <w:t>。</w:t>
      </w:r>
    </w:p>
    <w:p>
      <w:pPr>
        <w:pStyle w:val="BodyText"/>
        <w:spacing w:before="12"/>
        <w:rPr>
          <w:sz w:val="24"/>
        </w:rPr>
      </w:pPr>
    </w:p>
    <w:tbl>
      <w:tblPr>
        <w:tblW w:w="0" w:type="auto"/>
        <w:jc w:val="left"/>
        <w:tblInd w:w="32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372"/>
      </w:tblGrid>
      <w:tr>
        <w:trPr>
          <w:trHeight w:val="336" w:hRule="atLeast"/>
        </w:trPr>
        <w:tc>
          <w:tcPr>
            <w:tcW w:w="7372" w:type="dxa"/>
            <w:tcBorders>
              <w:bottom w:val="single" w:sz="4" w:space="0" w:color="000000"/>
            </w:tcBorders>
          </w:tcPr>
          <w:p>
            <w:pPr>
              <w:pStyle w:val="TableParagraph"/>
              <w:spacing w:line="295" w:lineRule="exact"/>
              <w:ind w:left="108"/>
              <w:rPr>
                <w:rFonts w:ascii="Microsoft JhengHei" w:eastAsia="Microsoft JhengHei" w:hint="eastAsia"/>
                <w:b/>
                <w:sz w:val="21"/>
              </w:rPr>
            </w:pPr>
            <w:bookmarkStart w:name="_bookmark13" w:id="21"/>
            <w:bookmarkEnd w:id="21"/>
            <w:r>
              <w:rPr/>
            </w:r>
            <w:r>
              <w:rPr>
                <w:rFonts w:ascii="Microsoft JhengHei" w:eastAsia="Microsoft JhengHei" w:hint="eastAsia"/>
                <w:b/>
                <w:sz w:val="21"/>
              </w:rPr>
              <w:t>图 </w:t>
            </w:r>
            <w:r>
              <w:rPr>
                <w:rFonts w:ascii="Times New Roman" w:eastAsia="Times New Roman"/>
                <w:b/>
                <w:sz w:val="21"/>
              </w:rPr>
              <w:t>4</w:t>
            </w:r>
            <w:r>
              <w:rPr>
                <w:rFonts w:ascii="Microsoft JhengHei" w:eastAsia="Microsoft JhengHei" w:hint="eastAsia"/>
                <w:b/>
                <w:sz w:val="21"/>
              </w:rPr>
              <w:t>、</w:t>
            </w:r>
            <w:r>
              <w:rPr>
                <w:rFonts w:ascii="Times New Roman" w:eastAsia="Times New Roman"/>
                <w:b/>
                <w:sz w:val="21"/>
              </w:rPr>
              <w:t>2019 </w:t>
            </w:r>
            <w:r>
              <w:rPr>
                <w:rFonts w:ascii="Microsoft JhengHei" w:eastAsia="Microsoft JhengHei" w:hint="eastAsia"/>
                <w:b/>
                <w:sz w:val="21"/>
              </w:rPr>
              <w:t>至 </w:t>
            </w:r>
            <w:r>
              <w:rPr>
                <w:rFonts w:ascii="Times New Roman" w:eastAsia="Times New Roman"/>
                <w:b/>
                <w:sz w:val="21"/>
              </w:rPr>
              <w:t>2050 </w:t>
            </w:r>
            <w:r>
              <w:rPr>
                <w:rFonts w:ascii="Microsoft JhengHei" w:eastAsia="Microsoft JhengHei" w:hint="eastAsia"/>
                <w:b/>
                <w:sz w:val="21"/>
              </w:rPr>
              <w:t>年全球痴呆患者数量预测（例）</w:t>
            </w:r>
          </w:p>
        </w:tc>
      </w:tr>
      <w:tr>
        <w:trPr>
          <w:trHeight w:val="2258" w:hRule="atLeast"/>
        </w:trPr>
        <w:tc>
          <w:tcPr>
            <w:tcW w:w="7372" w:type="dxa"/>
            <w:tcBorders>
              <w:top w:val="single" w:sz="4" w:space="0" w:color="000000"/>
              <w:bottom w:val="single" w:sz="4" w:space="0" w:color="000000"/>
            </w:tcBorders>
          </w:tcPr>
          <w:p>
            <w:pPr>
              <w:pStyle w:val="TableParagraph"/>
              <w:spacing w:before="1"/>
              <w:rPr>
                <w:sz w:val="2"/>
              </w:rPr>
            </w:pPr>
          </w:p>
          <w:p>
            <w:pPr>
              <w:pStyle w:val="TableParagraph"/>
              <w:ind w:left="1173"/>
              <w:rPr>
                <w:sz w:val="20"/>
              </w:rPr>
            </w:pPr>
            <w:r>
              <w:rPr>
                <w:sz w:val="20"/>
              </w:rPr>
              <w:drawing>
                <wp:inline distT="0" distB="0" distL="0" distR="0">
                  <wp:extent cx="3134726" cy="1348168"/>
                  <wp:effectExtent l="0" t="0" r="0" b="0"/>
                  <wp:docPr id="11" name="image8.jpeg"/>
                  <wp:cNvGraphicFramePr>
                    <a:graphicFrameLocks noChangeAspect="1"/>
                  </wp:cNvGraphicFramePr>
                  <a:graphic>
                    <a:graphicData uri="http://schemas.openxmlformats.org/drawingml/2006/picture">
                      <pic:pic>
                        <pic:nvPicPr>
                          <pic:cNvPr id="12" name="image8.jpeg"/>
                          <pic:cNvPicPr/>
                        </pic:nvPicPr>
                        <pic:blipFill>
                          <a:blip r:embed="rId21" cstate="print"/>
                          <a:stretch>
                            <a:fillRect/>
                          </a:stretch>
                        </pic:blipFill>
                        <pic:spPr>
                          <a:xfrm>
                            <a:off x="0" y="0"/>
                            <a:ext cx="3134726" cy="1348168"/>
                          </a:xfrm>
                          <a:prstGeom prst="rect">
                            <a:avLst/>
                          </a:prstGeom>
                        </pic:spPr>
                      </pic:pic>
                    </a:graphicData>
                  </a:graphic>
                </wp:inline>
              </w:drawing>
            </w:r>
            <w:r>
              <w:rPr>
                <w:sz w:val="20"/>
              </w:rPr>
            </w:r>
          </w:p>
        </w:tc>
      </w:tr>
      <w:tr>
        <w:trPr>
          <w:trHeight w:val="520" w:hRule="atLeast"/>
        </w:trPr>
        <w:tc>
          <w:tcPr>
            <w:tcW w:w="7372" w:type="dxa"/>
            <w:tcBorders>
              <w:top w:val="single" w:sz="4" w:space="0" w:color="000000"/>
            </w:tcBorders>
          </w:tcPr>
          <w:p>
            <w:pPr>
              <w:pStyle w:val="TableParagraph"/>
              <w:spacing w:before="21"/>
              <w:ind w:left="108"/>
              <w:rPr>
                <w:sz w:val="18"/>
              </w:rPr>
            </w:pPr>
            <w:r>
              <w:rPr>
                <w:sz w:val="18"/>
              </w:rPr>
              <w:t>资料来源：</w:t>
            </w:r>
            <w:r>
              <w:rPr>
                <w:rFonts w:ascii="Times New Roman" w:eastAsia="Times New Roman"/>
                <w:sz w:val="18"/>
              </w:rPr>
              <w:t>Global status report on the public health response to dementia (WHO)</w:t>
            </w:r>
            <w:r>
              <w:rPr>
                <w:sz w:val="18"/>
              </w:rPr>
              <w:t>，兴业证券经济</w:t>
            </w:r>
          </w:p>
          <w:p>
            <w:pPr>
              <w:pStyle w:val="TableParagraph"/>
              <w:spacing w:line="185" w:lineRule="exact" w:before="63"/>
              <w:ind w:left="108"/>
              <w:rPr>
                <w:sz w:val="18"/>
              </w:rPr>
            </w:pPr>
            <w:r>
              <w:rPr>
                <w:sz w:val="18"/>
              </w:rPr>
              <w:t>与金融研究院整理</w:t>
            </w:r>
          </w:p>
        </w:tc>
      </w:tr>
    </w:tbl>
    <w:p>
      <w:pPr>
        <w:pStyle w:val="BodyText"/>
        <w:spacing w:before="2"/>
        <w:rPr>
          <w:sz w:val="24"/>
        </w:rPr>
      </w:pPr>
    </w:p>
    <w:p>
      <w:pPr>
        <w:pStyle w:val="BodyText"/>
        <w:spacing w:before="79"/>
        <w:ind w:left="3163"/>
        <w:rPr>
          <w:rFonts w:ascii="Times New Roman" w:eastAsia="Times New Roman"/>
        </w:rPr>
      </w:pPr>
      <w:r>
        <w:rPr/>
        <w:t>根据 </w:t>
      </w:r>
      <w:r>
        <w:rPr>
          <w:rFonts w:ascii="Times New Roman" w:eastAsia="Times New Roman"/>
        </w:rPr>
        <w:t>2020 </w:t>
      </w:r>
      <w:r>
        <w:rPr/>
        <w:t>年第七次全国人口普查，国内 </w:t>
      </w:r>
      <w:r>
        <w:rPr>
          <w:rFonts w:ascii="Times New Roman" w:eastAsia="Times New Roman"/>
        </w:rPr>
        <w:t>60 </w:t>
      </w:r>
      <w:r>
        <w:rPr/>
        <w:t>岁及以上人口和 </w:t>
      </w:r>
      <w:r>
        <w:rPr>
          <w:rFonts w:ascii="Times New Roman" w:eastAsia="Times New Roman"/>
        </w:rPr>
        <w:t>65 </w:t>
      </w:r>
      <w:r>
        <w:rPr/>
        <w:t>岁以上人口共 </w:t>
      </w:r>
      <w:r>
        <w:rPr>
          <w:rFonts w:ascii="Times New Roman" w:eastAsia="Times New Roman"/>
        </w:rPr>
        <w:t>264</w:t>
      </w:r>
    </w:p>
    <w:p>
      <w:pPr>
        <w:pStyle w:val="BodyText"/>
        <w:spacing w:line="304" w:lineRule="auto" w:before="72"/>
        <w:ind w:left="3163" w:right="623"/>
      </w:pPr>
      <w:r>
        <w:rPr>
          <w:rFonts w:ascii="Times New Roman" w:eastAsia="Times New Roman"/>
        </w:rPr>
        <w:t>018 766 </w:t>
      </w:r>
      <w:r>
        <w:rPr>
          <w:spacing w:val="-18"/>
        </w:rPr>
        <w:t>人及 </w:t>
      </w:r>
      <w:r>
        <w:rPr>
          <w:rFonts w:ascii="Times New Roman" w:eastAsia="Times New Roman"/>
        </w:rPr>
        <w:t>190 635 280 </w:t>
      </w:r>
      <w:r>
        <w:rPr>
          <w:spacing w:val="-9"/>
        </w:rPr>
        <w:t>人，分别占人口的 </w:t>
      </w:r>
      <w:r>
        <w:rPr>
          <w:rFonts w:ascii="Times New Roman" w:eastAsia="Times New Roman"/>
        </w:rPr>
        <w:t>18.70%</w:t>
      </w:r>
      <w:r>
        <w:rPr>
          <w:spacing w:val="-24"/>
        </w:rPr>
        <w:t>和 </w:t>
      </w:r>
      <w:r>
        <w:rPr>
          <w:rFonts w:ascii="Times New Roman" w:eastAsia="Times New Roman"/>
        </w:rPr>
        <w:t>13.50%</w:t>
      </w:r>
      <w:r>
        <w:rPr>
          <w:spacing w:val="-18"/>
        </w:rPr>
        <w:t>。与 </w:t>
      </w:r>
      <w:r>
        <w:rPr>
          <w:rFonts w:ascii="Times New Roman" w:eastAsia="Times New Roman"/>
        </w:rPr>
        <w:t>2010 </w:t>
      </w:r>
      <w:r>
        <w:rPr>
          <w:spacing w:val="-2"/>
        </w:rPr>
        <w:t>年相比， </w:t>
      </w:r>
      <w:r>
        <w:rPr>
          <w:spacing w:val="-3"/>
        </w:rPr>
        <w:t>中国老龄化人口增长更快，与老龄化相关的疾病的发病率和死亡率明显更高。</w:t>
      </w:r>
    </w:p>
    <w:p>
      <w:pPr>
        <w:pStyle w:val="BodyText"/>
        <w:spacing w:before="3"/>
        <w:rPr>
          <w:sz w:val="23"/>
        </w:rPr>
      </w:pPr>
    </w:p>
    <w:p>
      <w:pPr>
        <w:pStyle w:val="BodyText"/>
        <w:spacing w:line="304" w:lineRule="auto"/>
        <w:ind w:left="3163" w:right="723"/>
      </w:pPr>
      <w:r>
        <w:rPr>
          <w:spacing w:val="-3"/>
        </w:rPr>
        <w:t>与此同时，阿尔茨海默病发病率持续上升，其社会和经济负担正在放大，给中国</w:t>
      </w:r>
      <w:r>
        <w:rPr>
          <w:spacing w:val="-5"/>
        </w:rPr>
        <w:t>城乡居民带来重大的医疗和社会问题。根据一项 </w:t>
      </w:r>
      <w:r>
        <w:rPr>
          <w:rFonts w:ascii="Times New Roman" w:eastAsia="Times New Roman"/>
        </w:rPr>
        <w:t>2015</w:t>
      </w:r>
      <w:r>
        <w:rPr>
          <w:rFonts w:ascii="Times New Roman" w:eastAsia="Times New Roman"/>
          <w:spacing w:val="14"/>
        </w:rPr>
        <w:t> </w:t>
      </w:r>
      <w:r>
        <w:rPr>
          <w:spacing w:val="-20"/>
        </w:rPr>
        <w:t>至 </w:t>
      </w:r>
      <w:r>
        <w:rPr>
          <w:rFonts w:ascii="Times New Roman" w:eastAsia="Times New Roman"/>
        </w:rPr>
        <w:t>2018</w:t>
      </w:r>
      <w:r>
        <w:rPr>
          <w:rFonts w:ascii="Times New Roman" w:eastAsia="Times New Roman"/>
          <w:spacing w:val="10"/>
        </w:rPr>
        <w:t> </w:t>
      </w:r>
      <w:r>
        <w:rPr>
          <w:spacing w:val="-3"/>
        </w:rPr>
        <w:t>年的全国横断面研</w:t>
      </w:r>
    </w:p>
    <w:p>
      <w:pPr>
        <w:pStyle w:val="BodyText"/>
        <w:spacing w:line="267" w:lineRule="exact"/>
        <w:ind w:left="3163"/>
      </w:pPr>
      <w:r>
        <w:rPr>
          <w:spacing w:val="-9"/>
        </w:rPr>
        <w:t>究，中国有 </w:t>
      </w:r>
      <w:r>
        <w:rPr>
          <w:rFonts w:ascii="Times New Roman" w:eastAsia="Times New Roman"/>
        </w:rPr>
        <w:t>1507</w:t>
      </w:r>
      <w:r>
        <w:rPr>
          <w:rFonts w:ascii="Times New Roman" w:eastAsia="Times New Roman"/>
          <w:spacing w:val="5"/>
        </w:rPr>
        <w:t> </w:t>
      </w:r>
      <w:r>
        <w:rPr>
          <w:spacing w:val="-23"/>
        </w:rPr>
        <w:t>万 </w:t>
      </w:r>
      <w:r>
        <w:rPr>
          <w:rFonts w:ascii="Times New Roman" w:eastAsia="Times New Roman"/>
        </w:rPr>
        <w:t>60</w:t>
      </w:r>
      <w:r>
        <w:rPr>
          <w:rFonts w:ascii="Times New Roman" w:eastAsia="Times New Roman"/>
          <w:spacing w:val="6"/>
        </w:rPr>
        <w:t> </w:t>
      </w:r>
      <w:r>
        <w:rPr>
          <w:spacing w:val="-7"/>
        </w:rPr>
        <w:t>岁以上的患者患有痴呆，其中 </w:t>
      </w:r>
      <w:r>
        <w:rPr>
          <w:rFonts w:ascii="Times New Roman" w:eastAsia="Times New Roman"/>
        </w:rPr>
        <w:t>AD</w:t>
      </w:r>
      <w:r>
        <w:rPr>
          <w:rFonts w:ascii="Times New Roman" w:eastAsia="Times New Roman"/>
          <w:spacing w:val="7"/>
        </w:rPr>
        <w:t> </w:t>
      </w:r>
      <w:r>
        <w:rPr>
          <w:spacing w:val="-16"/>
        </w:rPr>
        <w:t>患者 </w:t>
      </w:r>
      <w:r>
        <w:rPr>
          <w:rFonts w:ascii="Times New Roman" w:eastAsia="Times New Roman"/>
        </w:rPr>
        <w:t>983</w:t>
      </w:r>
      <w:r>
        <w:rPr>
          <w:rFonts w:ascii="Times New Roman" w:eastAsia="Times New Roman"/>
          <w:spacing w:val="9"/>
        </w:rPr>
        <w:t> </w:t>
      </w:r>
      <w:r>
        <w:rPr>
          <w:spacing w:val="-3"/>
        </w:rPr>
        <w:t>万人，血管痴</w:t>
      </w:r>
    </w:p>
    <w:p>
      <w:pPr>
        <w:pStyle w:val="BodyText"/>
        <w:spacing w:before="72"/>
        <w:ind w:left="3163"/>
      </w:pPr>
      <w:r>
        <w:rPr>
          <w:spacing w:val="-22"/>
        </w:rPr>
        <w:t>呆 </w:t>
      </w:r>
      <w:r>
        <w:rPr>
          <w:rFonts w:ascii="Times New Roman" w:eastAsia="Times New Roman"/>
        </w:rPr>
        <w:t>392</w:t>
      </w:r>
      <w:r>
        <w:rPr>
          <w:rFonts w:ascii="Times New Roman" w:eastAsia="Times New Roman"/>
          <w:spacing w:val="5"/>
        </w:rPr>
        <w:t> </w:t>
      </w:r>
      <w:r>
        <w:rPr>
          <w:spacing w:val="-8"/>
        </w:rPr>
        <w:t>万人，其他形式痴呆患者 </w:t>
      </w:r>
      <w:r>
        <w:rPr>
          <w:rFonts w:ascii="Times New Roman" w:eastAsia="Times New Roman"/>
        </w:rPr>
        <w:t>132</w:t>
      </w:r>
      <w:r>
        <w:rPr>
          <w:rFonts w:ascii="Times New Roman" w:eastAsia="Times New Roman"/>
          <w:spacing w:val="5"/>
        </w:rPr>
        <w:t> </w:t>
      </w:r>
      <w:r>
        <w:rPr>
          <w:spacing w:val="-5"/>
        </w:rPr>
        <w:t>万人。此外，</w:t>
      </w:r>
      <w:r>
        <w:rPr>
          <w:rFonts w:ascii="Times New Roman" w:eastAsia="Times New Roman"/>
          <w:spacing w:val="-6"/>
        </w:rPr>
        <w:t>60</w:t>
      </w:r>
      <w:r>
        <w:rPr>
          <w:rFonts w:ascii="Times New Roman" w:eastAsia="Times New Roman"/>
          <w:spacing w:val="8"/>
        </w:rPr>
        <w:t> </w:t>
      </w:r>
      <w:r>
        <w:rPr>
          <w:spacing w:val="-3"/>
        </w:rPr>
        <w:t>岁以上人群中轻度认知障碍</w:t>
      </w:r>
    </w:p>
    <w:p>
      <w:pPr>
        <w:pStyle w:val="BodyText"/>
        <w:spacing w:before="72"/>
        <w:ind w:left="3163"/>
        <w:rPr>
          <w:rFonts w:ascii="Times New Roman" w:eastAsia="Times New Roman"/>
        </w:rPr>
      </w:pPr>
      <w:r>
        <w:rPr>
          <w:spacing w:val="-14"/>
        </w:rPr>
        <w:t>（</w:t>
      </w:r>
      <w:r>
        <w:rPr>
          <w:rFonts w:ascii="Times New Roman" w:eastAsia="Times New Roman"/>
          <w:spacing w:val="-14"/>
        </w:rPr>
        <w:t>MCI</w:t>
      </w:r>
      <w:r>
        <w:rPr>
          <w:spacing w:val="-14"/>
        </w:rPr>
        <w:t>）</w:t>
      </w:r>
      <w:r>
        <w:rPr>
          <w:spacing w:val="-9"/>
        </w:rPr>
        <w:t>的患病率为 </w:t>
      </w:r>
      <w:r>
        <w:rPr>
          <w:rFonts w:ascii="Times New Roman" w:eastAsia="Times New Roman"/>
          <w:spacing w:val="-12"/>
        </w:rPr>
        <w:t>15.5%</w:t>
      </w:r>
      <w:r>
        <w:rPr>
          <w:spacing w:val="-8"/>
        </w:rPr>
        <w:t>，患病人数达到 </w:t>
      </w:r>
      <w:r>
        <w:rPr>
          <w:rFonts w:ascii="Times New Roman" w:eastAsia="Times New Roman"/>
        </w:rPr>
        <w:t>3877</w:t>
      </w:r>
      <w:r>
        <w:rPr>
          <w:rFonts w:ascii="Times New Roman" w:eastAsia="Times New Roman"/>
          <w:spacing w:val="13"/>
        </w:rPr>
        <w:t> </w:t>
      </w:r>
      <w:r>
        <w:rPr>
          <w:spacing w:val="-11"/>
        </w:rPr>
        <w:t>万人。一项全国性研究显示，</w:t>
      </w:r>
      <w:r>
        <w:rPr>
          <w:rFonts w:ascii="Times New Roman" w:eastAsia="Times New Roman"/>
          <w:spacing w:val="-13"/>
        </w:rPr>
        <w:t>2015</w:t>
      </w:r>
    </w:p>
    <w:p>
      <w:pPr>
        <w:spacing w:after="0"/>
        <w:rPr>
          <w:rFonts w:ascii="Times New Roman" w:eastAsia="Times New Roman"/>
        </w:rPr>
        <w:sectPr>
          <w:pgSz w:w="11910" w:h="16840"/>
          <w:pgMar w:header="868" w:footer="1201" w:top="1400" w:bottom="1400" w:left="240" w:right="400"/>
        </w:sectPr>
      </w:pPr>
    </w:p>
    <w:p>
      <w:pPr>
        <w:pStyle w:val="BodyText"/>
        <w:spacing w:before="9"/>
        <w:rPr>
          <w:rFonts w:ascii="Times New Roman"/>
          <w:sz w:val="14"/>
        </w:rPr>
      </w:pPr>
    </w:p>
    <w:p>
      <w:pPr>
        <w:pStyle w:val="BodyText"/>
        <w:spacing w:line="20" w:lineRule="exact"/>
        <w:ind w:left="614"/>
        <w:rPr>
          <w:rFonts w:ascii="Times New Roman"/>
          <w:sz w:val="2"/>
        </w:rPr>
      </w:pPr>
      <w:r>
        <w:rPr>
          <w:rFonts w:ascii="Times New Roman"/>
          <w:sz w:val="2"/>
        </w:rPr>
        <w:pict>
          <v:group style="width:508.1pt;height:.75pt;mso-position-horizontal-relative:char;mso-position-vertical-relative:line" coordorigin="0,0" coordsize="10162,15">
            <v:rect style="position:absolute;left:0;top:0;width:10162;height:15" filled="true" fillcolor="#333366" stroked="false">
              <v:fill type="solid"/>
            </v:rect>
          </v:group>
        </w:pict>
      </w:r>
      <w:r>
        <w:rPr>
          <w:rFonts w:ascii="Times New Roman"/>
          <w:sz w:val="2"/>
        </w:rPr>
      </w:r>
    </w:p>
    <w:p>
      <w:pPr>
        <w:pStyle w:val="BodyText"/>
        <w:spacing w:line="304" w:lineRule="auto"/>
        <w:ind w:left="3163" w:right="724"/>
        <w:jc w:val="both"/>
      </w:pPr>
      <w:r>
        <w:rPr>
          <w:spacing w:val="-14"/>
        </w:rPr>
        <w:t>年中国 </w:t>
      </w:r>
      <w:r>
        <w:rPr>
          <w:rFonts w:ascii="Times New Roman" w:eastAsia="Times New Roman"/>
        </w:rPr>
        <w:t>AD </w:t>
      </w:r>
      <w:r>
        <w:rPr>
          <w:spacing w:val="-8"/>
        </w:rPr>
        <w:t>患者年度治疗费用为 </w:t>
      </w:r>
      <w:r>
        <w:rPr>
          <w:rFonts w:ascii="Times New Roman" w:eastAsia="Times New Roman"/>
        </w:rPr>
        <w:t>1677.4 </w:t>
      </w:r>
      <w:r>
        <w:rPr>
          <w:spacing w:val="-18"/>
        </w:rPr>
        <w:t>亿美元，预计到 </w:t>
      </w:r>
      <w:r>
        <w:rPr>
          <w:rFonts w:ascii="Times New Roman" w:eastAsia="Times New Roman"/>
        </w:rPr>
        <w:t>2050 </w:t>
      </w:r>
      <w:r>
        <w:rPr>
          <w:spacing w:val="-11"/>
        </w:rPr>
        <w:t>年将增加至 </w:t>
      </w:r>
      <w:r>
        <w:rPr>
          <w:rFonts w:ascii="Times New Roman" w:eastAsia="Times New Roman"/>
        </w:rPr>
        <w:t>1.8 </w:t>
      </w:r>
      <w:r>
        <w:rPr/>
        <w:t>万亿</w:t>
      </w:r>
      <w:r>
        <w:rPr>
          <w:spacing w:val="-5"/>
        </w:rPr>
        <w:t>美元。然而国内的 </w:t>
      </w:r>
      <w:r>
        <w:rPr>
          <w:rFonts w:ascii="Times New Roman" w:eastAsia="Times New Roman"/>
        </w:rPr>
        <w:t>AD </w:t>
      </w:r>
      <w:r>
        <w:rPr>
          <w:spacing w:val="-3"/>
        </w:rPr>
        <w:t>诊断和治疗率仍然很低，医学专家少，公众意识较低。因</w:t>
      </w:r>
      <w:r>
        <w:rPr>
          <w:spacing w:val="-7"/>
        </w:rPr>
        <w:t>此，在政府的领导下，加强 </w:t>
      </w:r>
      <w:r>
        <w:rPr>
          <w:rFonts w:ascii="Times New Roman" w:eastAsia="Times New Roman"/>
        </w:rPr>
        <w:t>AD </w:t>
      </w:r>
      <w:r>
        <w:rPr>
          <w:spacing w:val="-3"/>
        </w:rPr>
        <w:t>的预防和治疗迫在眉睫。</w:t>
      </w:r>
    </w:p>
    <w:p>
      <w:pPr>
        <w:pStyle w:val="BodyText"/>
        <w:spacing w:before="9"/>
        <w:rPr>
          <w:sz w:val="24"/>
        </w:rPr>
      </w:pPr>
    </w:p>
    <w:tbl>
      <w:tblPr>
        <w:tblW w:w="0" w:type="auto"/>
        <w:jc w:val="left"/>
        <w:tblInd w:w="32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372"/>
      </w:tblGrid>
      <w:tr>
        <w:trPr>
          <w:trHeight w:val="336" w:hRule="atLeast"/>
        </w:trPr>
        <w:tc>
          <w:tcPr>
            <w:tcW w:w="7372" w:type="dxa"/>
            <w:tcBorders>
              <w:bottom w:val="single" w:sz="4" w:space="0" w:color="000000"/>
            </w:tcBorders>
          </w:tcPr>
          <w:p>
            <w:pPr>
              <w:pStyle w:val="TableParagraph"/>
              <w:spacing w:line="295" w:lineRule="exact"/>
              <w:ind w:left="108"/>
              <w:rPr>
                <w:rFonts w:ascii="Microsoft JhengHei" w:eastAsia="Microsoft JhengHei" w:hint="eastAsia"/>
                <w:b/>
                <w:sz w:val="21"/>
              </w:rPr>
            </w:pPr>
            <w:bookmarkStart w:name="_bookmark14" w:id="22"/>
            <w:bookmarkEnd w:id="22"/>
            <w:r>
              <w:rPr/>
            </w:r>
            <w:r>
              <w:rPr>
                <w:rFonts w:ascii="Microsoft JhengHei" w:eastAsia="Microsoft JhengHei" w:hint="eastAsia"/>
                <w:b/>
                <w:sz w:val="21"/>
              </w:rPr>
              <w:t>图 </w:t>
            </w:r>
            <w:r>
              <w:rPr>
                <w:rFonts w:ascii="Times New Roman" w:eastAsia="Times New Roman"/>
                <w:b/>
                <w:sz w:val="21"/>
              </w:rPr>
              <w:t>5</w:t>
            </w:r>
            <w:r>
              <w:rPr>
                <w:rFonts w:ascii="Microsoft JhengHei" w:eastAsia="Microsoft JhengHei" w:hint="eastAsia"/>
                <w:b/>
                <w:sz w:val="21"/>
              </w:rPr>
              <w:t>、中国 </w:t>
            </w:r>
            <w:r>
              <w:rPr>
                <w:rFonts w:ascii="Times New Roman" w:eastAsia="Times New Roman"/>
                <w:b/>
                <w:sz w:val="21"/>
              </w:rPr>
              <w:t>60 </w:t>
            </w:r>
            <w:r>
              <w:rPr>
                <w:rFonts w:ascii="Microsoft JhengHei" w:eastAsia="Microsoft JhengHei" w:hint="eastAsia"/>
                <w:b/>
                <w:sz w:val="21"/>
              </w:rPr>
              <w:t>岁以上各分型痴呆患者数量（百万例）</w:t>
            </w:r>
            <w:r>
              <w:rPr>
                <w:rFonts w:ascii="Times New Roman" w:eastAsia="Times New Roman"/>
                <w:b/>
                <w:sz w:val="21"/>
              </w:rPr>
              <w:t>, 2015-2018 </w:t>
            </w:r>
            <w:r>
              <w:rPr>
                <w:rFonts w:ascii="Microsoft JhengHei" w:eastAsia="Microsoft JhengHei" w:hint="eastAsia"/>
                <w:b/>
                <w:sz w:val="21"/>
              </w:rPr>
              <w:t>年横断面研究</w:t>
            </w:r>
          </w:p>
        </w:tc>
      </w:tr>
      <w:tr>
        <w:trPr>
          <w:trHeight w:val="4922" w:hRule="atLeast"/>
        </w:trPr>
        <w:tc>
          <w:tcPr>
            <w:tcW w:w="7372" w:type="dxa"/>
            <w:tcBorders>
              <w:top w:val="single" w:sz="4" w:space="0" w:color="000000"/>
              <w:bottom w:val="single" w:sz="4" w:space="0" w:color="000000"/>
            </w:tcBorders>
          </w:tcPr>
          <w:p>
            <w:pPr>
              <w:pStyle w:val="TableParagraph"/>
              <w:spacing w:before="5"/>
              <w:rPr>
                <w:sz w:val="14"/>
              </w:rPr>
            </w:pPr>
          </w:p>
          <w:p>
            <w:pPr>
              <w:pStyle w:val="TableParagraph"/>
              <w:ind w:left="2057"/>
              <w:rPr>
                <w:sz w:val="20"/>
              </w:rPr>
            </w:pPr>
            <w:r>
              <w:rPr>
                <w:sz w:val="20"/>
              </w:rPr>
              <w:drawing>
                <wp:inline distT="0" distB="0" distL="0" distR="0">
                  <wp:extent cx="2060628" cy="1568196"/>
                  <wp:effectExtent l="0" t="0" r="0" b="0"/>
                  <wp:docPr id="13" name="image9.jpeg"/>
                  <wp:cNvGraphicFramePr>
                    <a:graphicFrameLocks noChangeAspect="1"/>
                  </wp:cNvGraphicFramePr>
                  <a:graphic>
                    <a:graphicData uri="http://schemas.openxmlformats.org/drawingml/2006/picture">
                      <pic:pic>
                        <pic:nvPicPr>
                          <pic:cNvPr id="14" name="image9.jpeg"/>
                          <pic:cNvPicPr/>
                        </pic:nvPicPr>
                        <pic:blipFill>
                          <a:blip r:embed="rId22" cstate="print"/>
                          <a:stretch>
                            <a:fillRect/>
                          </a:stretch>
                        </pic:blipFill>
                        <pic:spPr>
                          <a:xfrm>
                            <a:off x="0" y="0"/>
                            <a:ext cx="2060628" cy="1568196"/>
                          </a:xfrm>
                          <a:prstGeom prst="rect">
                            <a:avLst/>
                          </a:prstGeom>
                        </pic:spPr>
                      </pic:pic>
                    </a:graphicData>
                  </a:graphic>
                </wp:inline>
              </w:drawing>
            </w:r>
            <w:r>
              <w:rPr>
                <w:sz w:val="20"/>
              </w:rPr>
            </w:r>
          </w:p>
          <w:p>
            <w:pPr>
              <w:pStyle w:val="TableParagraph"/>
              <w:spacing w:before="10"/>
              <w:rPr>
                <w:sz w:val="7"/>
              </w:rPr>
            </w:pPr>
          </w:p>
          <w:p>
            <w:pPr>
              <w:pStyle w:val="TableParagraph"/>
              <w:ind w:left="1284"/>
              <w:rPr>
                <w:sz w:val="20"/>
              </w:rPr>
            </w:pPr>
            <w:r>
              <w:rPr>
                <w:sz w:val="20"/>
              </w:rPr>
              <w:drawing>
                <wp:inline distT="0" distB="0" distL="0" distR="0">
                  <wp:extent cx="3057641" cy="1309687"/>
                  <wp:effectExtent l="0" t="0" r="0" b="0"/>
                  <wp:docPr id="15" name="image10.jpeg"/>
                  <wp:cNvGraphicFramePr>
                    <a:graphicFrameLocks noChangeAspect="1"/>
                  </wp:cNvGraphicFramePr>
                  <a:graphic>
                    <a:graphicData uri="http://schemas.openxmlformats.org/drawingml/2006/picture">
                      <pic:pic>
                        <pic:nvPicPr>
                          <pic:cNvPr id="16" name="image10.jpeg"/>
                          <pic:cNvPicPr/>
                        </pic:nvPicPr>
                        <pic:blipFill>
                          <a:blip r:embed="rId23" cstate="print"/>
                          <a:stretch>
                            <a:fillRect/>
                          </a:stretch>
                        </pic:blipFill>
                        <pic:spPr>
                          <a:xfrm>
                            <a:off x="0" y="0"/>
                            <a:ext cx="3057641" cy="1309687"/>
                          </a:xfrm>
                          <a:prstGeom prst="rect">
                            <a:avLst/>
                          </a:prstGeom>
                        </pic:spPr>
                      </pic:pic>
                    </a:graphicData>
                  </a:graphic>
                </wp:inline>
              </w:drawing>
            </w:r>
            <w:r>
              <w:rPr>
                <w:sz w:val="20"/>
              </w:rPr>
            </w:r>
          </w:p>
        </w:tc>
      </w:tr>
      <w:tr>
        <w:trPr>
          <w:trHeight w:val="240" w:hRule="atLeast"/>
        </w:trPr>
        <w:tc>
          <w:tcPr>
            <w:tcW w:w="7372" w:type="dxa"/>
            <w:tcBorders>
              <w:top w:val="single" w:sz="4" w:space="0" w:color="000000"/>
            </w:tcBorders>
          </w:tcPr>
          <w:p>
            <w:pPr>
              <w:pStyle w:val="TableParagraph"/>
              <w:spacing w:line="199" w:lineRule="exact" w:before="21"/>
              <w:ind w:left="108"/>
              <w:rPr>
                <w:sz w:val="18"/>
              </w:rPr>
            </w:pPr>
            <w:r>
              <w:rPr>
                <w:sz w:val="18"/>
              </w:rPr>
              <w:t>资料来源：</w:t>
            </w:r>
            <w:r>
              <w:rPr>
                <w:rFonts w:ascii="Times New Roman" w:eastAsia="Times New Roman"/>
                <w:sz w:val="18"/>
              </w:rPr>
              <w:t>Lancet Public Health, 2020, 5(12):e661-e671</w:t>
            </w:r>
            <w:r>
              <w:rPr>
                <w:sz w:val="18"/>
              </w:rPr>
              <w:t>，兴业证券经济与金融研究院整理</w:t>
            </w:r>
          </w:p>
        </w:tc>
      </w:tr>
    </w:tbl>
    <w:p>
      <w:pPr>
        <w:pStyle w:val="BodyText"/>
        <w:spacing w:before="4"/>
        <w:rPr>
          <w:sz w:val="23"/>
        </w:rPr>
      </w:pPr>
    </w:p>
    <w:p>
      <w:pPr>
        <w:pStyle w:val="BodyText"/>
        <w:spacing w:line="304" w:lineRule="auto" w:before="78"/>
        <w:ind w:left="3163" w:right="726"/>
      </w:pPr>
      <w:r>
        <w:rPr>
          <w:spacing w:val="-2"/>
        </w:rPr>
        <w:t>王英全等人将近年</w:t>
      </w:r>
      <w:r>
        <w:rPr>
          <w:rFonts w:ascii="Times New Roman" w:eastAsia="Times New Roman"/>
        </w:rPr>
        <w:t>(2015-2018)</w:t>
      </w:r>
      <w:r>
        <w:rPr>
          <w:spacing w:val="-3"/>
        </w:rPr>
        <w:t>全国不同年龄组阿尔茨海默病合并患病率与未来人</w:t>
      </w:r>
      <w:r>
        <w:rPr>
          <w:spacing w:val="-7"/>
        </w:rPr>
        <w:t>口相结合，预测我国 </w:t>
      </w:r>
      <w:r>
        <w:rPr>
          <w:rFonts w:ascii="Times New Roman" w:eastAsia="Times New Roman"/>
        </w:rPr>
        <w:t>2050</w:t>
      </w:r>
      <w:r>
        <w:rPr>
          <w:rFonts w:ascii="Times New Roman" w:eastAsia="Times New Roman"/>
          <w:spacing w:val="10"/>
        </w:rPr>
        <w:t> </w:t>
      </w:r>
      <w:r>
        <w:rPr>
          <w:spacing w:val="-6"/>
        </w:rPr>
        <w:t>年老年人阿尔茨海默病患病情况，预计到 </w:t>
      </w:r>
      <w:r>
        <w:rPr>
          <w:rFonts w:ascii="Times New Roman" w:eastAsia="Times New Roman"/>
        </w:rPr>
        <w:t>2050</w:t>
      </w:r>
      <w:r>
        <w:rPr>
          <w:rFonts w:ascii="Times New Roman" w:eastAsia="Times New Roman"/>
          <w:spacing w:val="13"/>
        </w:rPr>
        <w:t> </w:t>
      </w:r>
      <w:r>
        <w:rPr>
          <w:spacing w:val="-3"/>
        </w:rPr>
        <w:t>年国内</w:t>
      </w:r>
    </w:p>
    <w:p>
      <w:pPr>
        <w:pStyle w:val="BodyText"/>
        <w:spacing w:line="265" w:lineRule="exact"/>
        <w:ind w:left="3163"/>
      </w:pPr>
      <w:r>
        <w:rPr>
          <w:rFonts w:ascii="Times New Roman" w:eastAsia="Times New Roman"/>
        </w:rPr>
        <w:t>60</w:t>
      </w:r>
      <w:r>
        <w:rPr>
          <w:rFonts w:ascii="Times New Roman" w:eastAsia="Times New Roman"/>
          <w:spacing w:val="24"/>
        </w:rPr>
        <w:t> </w:t>
      </w:r>
      <w:r>
        <w:rPr>
          <w:spacing w:val="-10"/>
        </w:rPr>
        <w:t>岁以上 </w:t>
      </w:r>
      <w:r>
        <w:rPr>
          <w:rFonts w:ascii="Times New Roman" w:eastAsia="Times New Roman"/>
        </w:rPr>
        <w:t>AD</w:t>
      </w:r>
      <w:r>
        <w:rPr>
          <w:rFonts w:ascii="Times New Roman" w:eastAsia="Times New Roman"/>
          <w:spacing w:val="26"/>
        </w:rPr>
        <w:t> </w:t>
      </w:r>
      <w:r>
        <w:rPr>
          <w:spacing w:val="-7"/>
        </w:rPr>
        <w:t>患者数量将达到 </w:t>
      </w:r>
      <w:r>
        <w:rPr>
          <w:rFonts w:ascii="Times New Roman" w:eastAsia="Times New Roman"/>
        </w:rPr>
        <w:t>3003</w:t>
      </w:r>
      <w:r>
        <w:rPr>
          <w:rFonts w:ascii="Times New Roman" w:eastAsia="Times New Roman"/>
          <w:spacing w:val="21"/>
        </w:rPr>
        <w:t> </w:t>
      </w:r>
      <w:r>
        <w:rPr>
          <w:spacing w:val="-3"/>
        </w:rPr>
        <w:t>万人。结合该计算结果的增速情况，本文预</w:t>
      </w:r>
    </w:p>
    <w:p>
      <w:pPr>
        <w:pStyle w:val="BodyText"/>
        <w:spacing w:line="304" w:lineRule="auto" w:before="72"/>
        <w:ind w:left="3163" w:right="725"/>
      </w:pPr>
      <w:r>
        <w:rPr>
          <w:spacing w:val="-9"/>
        </w:rPr>
        <w:t>测了国内 </w:t>
      </w:r>
      <w:r>
        <w:rPr>
          <w:rFonts w:ascii="Times New Roman" w:eastAsia="Times New Roman"/>
        </w:rPr>
        <w:t>60 </w:t>
      </w:r>
      <w:r>
        <w:rPr>
          <w:spacing w:val="-11"/>
        </w:rPr>
        <w:t>岁以上 </w:t>
      </w:r>
      <w:r>
        <w:rPr>
          <w:rFonts w:ascii="Times New Roman" w:eastAsia="Times New Roman"/>
        </w:rPr>
        <w:t>MCI </w:t>
      </w:r>
      <w:r>
        <w:rPr>
          <w:spacing w:val="-7"/>
        </w:rPr>
        <w:t>的患者数量，预计到 </w:t>
      </w:r>
      <w:r>
        <w:rPr>
          <w:rFonts w:ascii="Times New Roman" w:eastAsia="Times New Roman"/>
        </w:rPr>
        <w:t>2050 </w:t>
      </w:r>
      <w:r>
        <w:rPr>
          <w:spacing w:val="-9"/>
        </w:rPr>
        <w:t>年将达到 </w:t>
      </w:r>
      <w:r>
        <w:rPr>
          <w:rFonts w:ascii="Times New Roman" w:eastAsia="Times New Roman"/>
        </w:rPr>
        <w:t>8029 </w:t>
      </w:r>
      <w:r>
        <w:rPr>
          <w:spacing w:val="-2"/>
        </w:rPr>
        <w:t>万人，</w:t>
      </w:r>
      <w:r>
        <w:rPr>
          <w:rFonts w:ascii="Times New Roman" w:eastAsia="Times New Roman"/>
        </w:rPr>
        <w:t>CAGR </w:t>
      </w:r>
      <w:r>
        <w:rPr>
          <w:spacing w:val="-26"/>
        </w:rPr>
        <w:t>为 </w:t>
      </w:r>
      <w:r>
        <w:rPr>
          <w:rFonts w:ascii="Times New Roman" w:eastAsia="Times New Roman"/>
        </w:rPr>
        <w:t>2.5%</w:t>
      </w:r>
      <w:r>
        <w:rPr/>
        <w:t>。</w:t>
      </w:r>
    </w:p>
    <w:p>
      <w:pPr>
        <w:pStyle w:val="BodyText"/>
        <w:rPr>
          <w:sz w:val="25"/>
        </w:rPr>
      </w:pPr>
    </w:p>
    <w:tbl>
      <w:tblPr>
        <w:tblW w:w="0" w:type="auto"/>
        <w:jc w:val="left"/>
        <w:tblInd w:w="6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216"/>
        <w:gridCol w:w="4990"/>
      </w:tblGrid>
      <w:tr>
        <w:trPr>
          <w:trHeight w:val="336" w:hRule="atLeast"/>
        </w:trPr>
        <w:tc>
          <w:tcPr>
            <w:tcW w:w="5216" w:type="dxa"/>
            <w:tcBorders>
              <w:bottom w:val="single" w:sz="4" w:space="0" w:color="000000"/>
            </w:tcBorders>
          </w:tcPr>
          <w:p>
            <w:pPr>
              <w:pStyle w:val="TableParagraph"/>
              <w:spacing w:line="295" w:lineRule="exact"/>
              <w:ind w:left="107"/>
              <w:rPr>
                <w:rFonts w:ascii="Microsoft JhengHei" w:eastAsia="Microsoft JhengHei" w:hint="eastAsia"/>
                <w:b/>
                <w:sz w:val="21"/>
              </w:rPr>
            </w:pPr>
            <w:bookmarkStart w:name="_bookmark15" w:id="23"/>
            <w:bookmarkEnd w:id="23"/>
            <w:r>
              <w:rPr/>
            </w:r>
            <w:r>
              <w:rPr>
                <w:rFonts w:ascii="Microsoft JhengHei" w:eastAsia="Microsoft JhengHei" w:hint="eastAsia"/>
                <w:b/>
                <w:sz w:val="21"/>
              </w:rPr>
              <w:t>图 </w:t>
            </w:r>
            <w:r>
              <w:rPr>
                <w:rFonts w:ascii="Times New Roman" w:eastAsia="Times New Roman"/>
                <w:b/>
                <w:sz w:val="21"/>
              </w:rPr>
              <w:t>6</w:t>
            </w:r>
            <w:r>
              <w:rPr>
                <w:rFonts w:ascii="Microsoft JhengHei" w:eastAsia="Microsoft JhengHei" w:hint="eastAsia"/>
                <w:b/>
                <w:sz w:val="21"/>
              </w:rPr>
              <w:t>、国内 </w:t>
            </w:r>
            <w:r>
              <w:rPr>
                <w:rFonts w:ascii="Times New Roman" w:eastAsia="Times New Roman"/>
                <w:b/>
                <w:sz w:val="21"/>
              </w:rPr>
              <w:t>60 </w:t>
            </w:r>
            <w:r>
              <w:rPr>
                <w:rFonts w:ascii="Microsoft JhengHei" w:eastAsia="Microsoft JhengHei" w:hint="eastAsia"/>
                <w:b/>
                <w:sz w:val="21"/>
              </w:rPr>
              <w:t>岁以上 </w:t>
            </w:r>
            <w:r>
              <w:rPr>
                <w:rFonts w:ascii="Times New Roman" w:eastAsia="Times New Roman"/>
                <w:b/>
                <w:sz w:val="21"/>
              </w:rPr>
              <w:t>AD </w:t>
            </w:r>
            <w:r>
              <w:rPr>
                <w:rFonts w:ascii="Microsoft JhengHei" w:eastAsia="Microsoft JhengHei" w:hint="eastAsia"/>
                <w:b/>
                <w:sz w:val="21"/>
              </w:rPr>
              <w:t>患者数量预测（万例）</w:t>
            </w:r>
          </w:p>
        </w:tc>
        <w:tc>
          <w:tcPr>
            <w:tcW w:w="4990" w:type="dxa"/>
            <w:tcBorders>
              <w:bottom w:val="single" w:sz="4" w:space="0" w:color="000000"/>
            </w:tcBorders>
          </w:tcPr>
          <w:p>
            <w:pPr>
              <w:pStyle w:val="TableParagraph"/>
              <w:spacing w:line="295" w:lineRule="exact"/>
              <w:ind w:left="319"/>
              <w:rPr>
                <w:rFonts w:ascii="Microsoft JhengHei" w:eastAsia="Microsoft JhengHei" w:hint="eastAsia"/>
                <w:b/>
                <w:sz w:val="21"/>
              </w:rPr>
            </w:pPr>
            <w:bookmarkStart w:name="_bookmark16" w:id="24"/>
            <w:bookmarkEnd w:id="24"/>
            <w:r>
              <w:rPr/>
            </w:r>
            <w:r>
              <w:rPr>
                <w:rFonts w:ascii="Microsoft JhengHei" w:eastAsia="Microsoft JhengHei" w:hint="eastAsia"/>
                <w:b/>
                <w:sz w:val="21"/>
              </w:rPr>
              <w:t>图 </w:t>
            </w:r>
            <w:r>
              <w:rPr>
                <w:rFonts w:ascii="Times New Roman" w:eastAsia="Times New Roman"/>
                <w:b/>
                <w:sz w:val="21"/>
              </w:rPr>
              <w:t>7</w:t>
            </w:r>
            <w:r>
              <w:rPr>
                <w:rFonts w:ascii="Microsoft JhengHei" w:eastAsia="Microsoft JhengHei" w:hint="eastAsia"/>
                <w:b/>
                <w:sz w:val="21"/>
              </w:rPr>
              <w:t>、国内 </w:t>
            </w:r>
            <w:r>
              <w:rPr>
                <w:rFonts w:ascii="Times New Roman" w:eastAsia="Times New Roman"/>
                <w:b/>
                <w:sz w:val="21"/>
              </w:rPr>
              <w:t>60 </w:t>
            </w:r>
            <w:r>
              <w:rPr>
                <w:rFonts w:ascii="Microsoft JhengHei" w:eastAsia="Microsoft JhengHei" w:hint="eastAsia"/>
                <w:b/>
                <w:sz w:val="21"/>
              </w:rPr>
              <w:t>岁以上 </w:t>
            </w:r>
            <w:r>
              <w:rPr>
                <w:rFonts w:ascii="Times New Roman" w:eastAsia="Times New Roman"/>
                <w:b/>
                <w:sz w:val="21"/>
              </w:rPr>
              <w:t>MCI </w:t>
            </w:r>
            <w:r>
              <w:rPr>
                <w:rFonts w:ascii="Microsoft JhengHei" w:eastAsia="Microsoft JhengHei" w:hint="eastAsia"/>
                <w:b/>
                <w:sz w:val="21"/>
              </w:rPr>
              <w:t>患者数量预测（万例）</w:t>
            </w:r>
          </w:p>
        </w:tc>
      </w:tr>
      <w:tr>
        <w:trPr>
          <w:trHeight w:val="3336" w:hRule="atLeast"/>
        </w:trPr>
        <w:tc>
          <w:tcPr>
            <w:tcW w:w="5216" w:type="dxa"/>
            <w:tcBorders>
              <w:top w:val="single" w:sz="4" w:space="0" w:color="000000"/>
              <w:bottom w:val="single" w:sz="4" w:space="0" w:color="000000"/>
            </w:tcBorders>
          </w:tcPr>
          <w:p>
            <w:pPr>
              <w:pStyle w:val="TableParagraph"/>
              <w:spacing w:before="2" w:after="1"/>
              <w:rPr>
                <w:sz w:val="12"/>
              </w:rPr>
            </w:pPr>
          </w:p>
          <w:p>
            <w:pPr>
              <w:pStyle w:val="TableParagraph"/>
              <w:ind w:left="172"/>
              <w:rPr>
                <w:sz w:val="20"/>
              </w:rPr>
            </w:pPr>
            <w:r>
              <w:rPr>
                <w:sz w:val="20"/>
              </w:rPr>
              <w:drawing>
                <wp:inline distT="0" distB="0" distL="0" distR="0">
                  <wp:extent cx="2380599" cy="1879091"/>
                  <wp:effectExtent l="0" t="0" r="0" b="0"/>
                  <wp:docPr id="17" name="image11.jpeg"/>
                  <wp:cNvGraphicFramePr>
                    <a:graphicFrameLocks noChangeAspect="1"/>
                  </wp:cNvGraphicFramePr>
                  <a:graphic>
                    <a:graphicData uri="http://schemas.openxmlformats.org/drawingml/2006/picture">
                      <pic:pic>
                        <pic:nvPicPr>
                          <pic:cNvPr id="18" name="image11.jpeg"/>
                          <pic:cNvPicPr/>
                        </pic:nvPicPr>
                        <pic:blipFill>
                          <a:blip r:embed="rId24" cstate="print"/>
                          <a:stretch>
                            <a:fillRect/>
                          </a:stretch>
                        </pic:blipFill>
                        <pic:spPr>
                          <a:xfrm>
                            <a:off x="0" y="0"/>
                            <a:ext cx="2380599" cy="1879091"/>
                          </a:xfrm>
                          <a:prstGeom prst="rect">
                            <a:avLst/>
                          </a:prstGeom>
                        </pic:spPr>
                      </pic:pic>
                    </a:graphicData>
                  </a:graphic>
                </wp:inline>
              </w:drawing>
            </w:r>
            <w:r>
              <w:rPr>
                <w:sz w:val="20"/>
              </w:rPr>
            </w:r>
          </w:p>
        </w:tc>
        <w:tc>
          <w:tcPr>
            <w:tcW w:w="4990" w:type="dxa"/>
            <w:tcBorders>
              <w:top w:val="single" w:sz="4" w:space="0" w:color="000000"/>
              <w:bottom w:val="single" w:sz="4" w:space="0" w:color="000000"/>
            </w:tcBorders>
          </w:tcPr>
          <w:p>
            <w:pPr>
              <w:pStyle w:val="TableParagraph"/>
              <w:spacing w:before="5"/>
              <w:rPr>
                <w:sz w:val="13"/>
              </w:rPr>
            </w:pPr>
          </w:p>
          <w:p>
            <w:pPr>
              <w:pStyle w:val="TableParagraph"/>
              <w:ind w:left="625"/>
              <w:rPr>
                <w:sz w:val="20"/>
              </w:rPr>
            </w:pPr>
            <w:r>
              <w:rPr>
                <w:sz w:val="20"/>
              </w:rPr>
              <w:drawing>
                <wp:inline distT="0" distB="0" distL="0" distR="0">
                  <wp:extent cx="2388108" cy="1874519"/>
                  <wp:effectExtent l="0" t="0" r="0" b="0"/>
                  <wp:docPr id="19" name="image12.jpeg"/>
                  <wp:cNvGraphicFramePr>
                    <a:graphicFrameLocks noChangeAspect="1"/>
                  </wp:cNvGraphicFramePr>
                  <a:graphic>
                    <a:graphicData uri="http://schemas.openxmlformats.org/drawingml/2006/picture">
                      <pic:pic>
                        <pic:nvPicPr>
                          <pic:cNvPr id="20" name="image12.jpeg"/>
                          <pic:cNvPicPr/>
                        </pic:nvPicPr>
                        <pic:blipFill>
                          <a:blip r:embed="rId25" cstate="print"/>
                          <a:stretch>
                            <a:fillRect/>
                          </a:stretch>
                        </pic:blipFill>
                        <pic:spPr>
                          <a:xfrm>
                            <a:off x="0" y="0"/>
                            <a:ext cx="2388108" cy="1874519"/>
                          </a:xfrm>
                          <a:prstGeom prst="rect">
                            <a:avLst/>
                          </a:prstGeom>
                        </pic:spPr>
                      </pic:pic>
                    </a:graphicData>
                  </a:graphic>
                </wp:inline>
              </w:drawing>
            </w:r>
            <w:r>
              <w:rPr>
                <w:sz w:val="20"/>
              </w:rPr>
            </w:r>
          </w:p>
        </w:tc>
      </w:tr>
      <w:tr>
        <w:trPr>
          <w:trHeight w:val="533" w:hRule="atLeast"/>
        </w:trPr>
        <w:tc>
          <w:tcPr>
            <w:tcW w:w="5216" w:type="dxa"/>
            <w:tcBorders>
              <w:top w:val="single" w:sz="4" w:space="0" w:color="000000"/>
            </w:tcBorders>
          </w:tcPr>
          <w:p>
            <w:pPr>
              <w:pStyle w:val="TableParagraph"/>
              <w:spacing w:before="21"/>
              <w:ind w:left="107"/>
              <w:rPr>
                <w:sz w:val="18"/>
              </w:rPr>
            </w:pPr>
            <w:r>
              <w:rPr>
                <w:sz w:val="18"/>
              </w:rPr>
              <w:t>资料来源：</w:t>
            </w:r>
            <w:r>
              <w:rPr>
                <w:rFonts w:ascii="Times New Roman" w:eastAsia="Times New Roman"/>
                <w:sz w:val="18"/>
              </w:rPr>
              <w:t>2020-2050 </w:t>
            </w:r>
            <w:r>
              <w:rPr>
                <w:sz w:val="18"/>
              </w:rPr>
              <w:t>年中国阿尔茨海默病患病情况预测研究，</w:t>
            </w:r>
          </w:p>
          <w:p>
            <w:pPr>
              <w:pStyle w:val="TableParagraph"/>
              <w:spacing w:line="199" w:lineRule="exact" w:before="63"/>
              <w:ind w:left="107"/>
              <w:rPr>
                <w:sz w:val="18"/>
              </w:rPr>
            </w:pPr>
            <w:r>
              <w:rPr>
                <w:sz w:val="18"/>
              </w:rPr>
              <w:t>头豹研究院，兴业证券经济与金融研究院整理</w:t>
            </w:r>
          </w:p>
        </w:tc>
        <w:tc>
          <w:tcPr>
            <w:tcW w:w="4990" w:type="dxa"/>
            <w:tcBorders>
              <w:top w:val="single" w:sz="4" w:space="0" w:color="000000"/>
            </w:tcBorders>
          </w:tcPr>
          <w:p>
            <w:pPr>
              <w:pStyle w:val="TableParagraph"/>
              <w:spacing w:before="21"/>
              <w:ind w:left="108"/>
              <w:rPr>
                <w:sz w:val="18"/>
              </w:rPr>
            </w:pPr>
            <w:r>
              <w:rPr>
                <w:spacing w:val="-2"/>
                <w:sz w:val="18"/>
              </w:rPr>
              <w:t>资料来源：兴业证券经济与金融研究院整理。注：以 </w:t>
            </w:r>
            <w:r>
              <w:rPr>
                <w:rFonts w:ascii="Times New Roman" w:eastAsia="Times New Roman"/>
                <w:sz w:val="18"/>
              </w:rPr>
              <w:t>3877</w:t>
            </w:r>
            <w:r>
              <w:rPr>
                <w:rFonts w:ascii="Times New Roman" w:eastAsia="Times New Roman"/>
                <w:spacing w:val="4"/>
                <w:sz w:val="18"/>
              </w:rPr>
              <w:t> </w:t>
            </w:r>
            <w:r>
              <w:rPr>
                <w:sz w:val="18"/>
              </w:rPr>
              <w:t>万</w:t>
            </w:r>
          </w:p>
          <w:p>
            <w:pPr>
              <w:pStyle w:val="TableParagraph"/>
              <w:spacing w:line="199" w:lineRule="exact" w:before="63"/>
              <w:ind w:left="108"/>
              <w:rPr>
                <w:sz w:val="18"/>
              </w:rPr>
            </w:pPr>
            <w:r>
              <w:rPr>
                <w:spacing w:val="-15"/>
                <w:sz w:val="18"/>
              </w:rPr>
              <w:t>人为 </w:t>
            </w:r>
            <w:r>
              <w:rPr>
                <w:rFonts w:ascii="Times New Roman" w:eastAsia="Times New Roman"/>
                <w:sz w:val="18"/>
              </w:rPr>
              <w:t>2020</w:t>
            </w:r>
            <w:r>
              <w:rPr>
                <w:rFonts w:ascii="Times New Roman" w:eastAsia="Times New Roman"/>
                <w:spacing w:val="2"/>
                <w:sz w:val="18"/>
              </w:rPr>
              <w:t> </w:t>
            </w:r>
            <w:r>
              <w:rPr>
                <w:spacing w:val="-1"/>
                <w:sz w:val="18"/>
              </w:rPr>
              <w:t>年的起始值，</w:t>
            </w:r>
            <w:r>
              <w:rPr>
                <w:rFonts w:ascii="Times New Roman" w:eastAsia="Times New Roman"/>
                <w:spacing w:val="-4"/>
                <w:sz w:val="18"/>
              </w:rPr>
              <w:t>2030</w:t>
            </w:r>
            <w:r>
              <w:rPr>
                <w:spacing w:val="-17"/>
                <w:sz w:val="18"/>
              </w:rPr>
              <w:t>、</w:t>
            </w:r>
            <w:r>
              <w:rPr>
                <w:rFonts w:ascii="Times New Roman" w:eastAsia="Times New Roman"/>
                <w:sz w:val="18"/>
              </w:rPr>
              <w:t>2040</w:t>
            </w:r>
            <w:r>
              <w:rPr>
                <w:spacing w:val="-15"/>
                <w:sz w:val="18"/>
              </w:rPr>
              <w:t>、</w:t>
            </w:r>
            <w:r>
              <w:rPr>
                <w:rFonts w:ascii="Times New Roman" w:eastAsia="Times New Roman"/>
                <w:sz w:val="18"/>
              </w:rPr>
              <w:t>2050</w:t>
            </w:r>
            <w:r>
              <w:rPr>
                <w:rFonts w:ascii="Times New Roman" w:eastAsia="Times New Roman"/>
                <w:spacing w:val="2"/>
                <w:sz w:val="18"/>
              </w:rPr>
              <w:t> </w:t>
            </w:r>
            <w:r>
              <w:rPr>
                <w:sz w:val="18"/>
              </w:rPr>
              <w:t>年的增速参考左图</w:t>
            </w:r>
          </w:p>
        </w:tc>
      </w:tr>
    </w:tbl>
    <w:p>
      <w:pPr>
        <w:spacing w:after="0" w:line="199" w:lineRule="exact"/>
        <w:rPr>
          <w:sz w:val="18"/>
        </w:rPr>
        <w:sectPr>
          <w:pgSz w:w="11910" w:h="16840"/>
          <w:pgMar w:header="868" w:footer="1201" w:top="1400" w:bottom="1400" w:left="240" w:right="400"/>
        </w:sectPr>
      </w:pPr>
    </w:p>
    <w:p>
      <w:pPr>
        <w:pStyle w:val="BodyText"/>
        <w:spacing w:before="4"/>
        <w:rPr>
          <w:sz w:val="13"/>
        </w:rPr>
      </w:pPr>
    </w:p>
    <w:p>
      <w:pPr>
        <w:pStyle w:val="BodyText"/>
        <w:spacing w:line="20" w:lineRule="exact"/>
        <w:ind w:left="614"/>
        <w:rPr>
          <w:sz w:val="2"/>
        </w:rPr>
      </w:pPr>
      <w:r>
        <w:rPr>
          <w:sz w:val="2"/>
        </w:rPr>
        <w:pict>
          <v:group style="width:508.1pt;height:.75pt;mso-position-horizontal-relative:char;mso-position-vertical-relative:line" coordorigin="0,0" coordsize="10162,15">
            <v:rect style="position:absolute;left:0;top:0;width:10162;height:15" filled="true" fillcolor="#333366" stroked="false">
              <v:fill type="solid"/>
            </v:rect>
          </v:group>
        </w:pict>
      </w:r>
      <w:r>
        <w:rPr>
          <w:sz w:val="2"/>
        </w:rPr>
      </w:r>
    </w:p>
    <w:p>
      <w:pPr>
        <w:pStyle w:val="Heading3"/>
        <w:numPr>
          <w:ilvl w:val="2"/>
          <w:numId w:val="3"/>
        </w:numPr>
        <w:tabs>
          <w:tab w:pos="3858" w:val="left" w:leader="none"/>
        </w:tabs>
        <w:spacing w:line="315" w:lineRule="exact" w:before="0" w:after="0"/>
        <w:ind w:left="3857" w:right="0" w:hanging="695"/>
        <w:jc w:val="left"/>
        <w:rPr>
          <w:color w:val="333366"/>
        </w:rPr>
      </w:pPr>
      <w:bookmarkStart w:name="_bookmark17" w:id="25"/>
      <w:bookmarkEnd w:id="25"/>
      <w:r>
        <w:rPr>
          <w:b w:val="0"/>
        </w:rPr>
      </w:r>
      <w:bookmarkStart w:name="_bookmark17" w:id="26"/>
      <w:bookmarkEnd w:id="26"/>
      <w:r>
        <w:rPr>
          <w:color w:val="333366"/>
          <w:spacing w:val="-2"/>
        </w:rPr>
        <w:t>与痴呆相关的 </w:t>
      </w:r>
      <w:r>
        <w:rPr>
          <w:color w:val="333366"/>
        </w:rPr>
        <w:t>12</w:t>
      </w:r>
      <w:r>
        <w:rPr>
          <w:color w:val="333366"/>
          <w:spacing w:val="-4"/>
        </w:rPr>
        <w:t> 个风险因素</w:t>
      </w:r>
    </w:p>
    <w:p>
      <w:pPr>
        <w:pStyle w:val="BodyText"/>
        <w:spacing w:before="13"/>
        <w:rPr>
          <w:rFonts w:ascii="Microsoft JhengHei"/>
          <w:b/>
          <w:sz w:val="11"/>
        </w:rPr>
      </w:pPr>
    </w:p>
    <w:p>
      <w:pPr>
        <w:pStyle w:val="ListParagraph"/>
        <w:numPr>
          <w:ilvl w:val="0"/>
          <w:numId w:val="4"/>
        </w:numPr>
        <w:tabs>
          <w:tab w:pos="3585" w:val="left" w:leader="none"/>
        </w:tabs>
        <w:spacing w:line="304" w:lineRule="auto" w:before="0" w:after="0"/>
        <w:ind w:left="3464" w:right="726" w:hanging="301"/>
        <w:jc w:val="both"/>
        <w:rPr>
          <w:sz w:val="21"/>
        </w:rPr>
      </w:pPr>
      <w:r>
        <w:rPr>
          <w:spacing w:val="-3"/>
          <w:sz w:val="21"/>
        </w:rPr>
        <w:t>其中三个是不可改变的，包括年龄增长，女性性别和父母家族史。衰老伴随</w:t>
      </w:r>
      <w:r>
        <w:rPr>
          <w:spacing w:val="-10"/>
          <w:sz w:val="21"/>
        </w:rPr>
        <w:t>着大脑的变化，包括全身萎缩，尤其是海马体，淀粉样蛋白</w:t>
      </w:r>
      <w:r>
        <w:rPr>
          <w:spacing w:val="-3"/>
          <w:sz w:val="21"/>
        </w:rPr>
        <w:t>β的产生和降解不</w:t>
      </w:r>
      <w:r>
        <w:rPr>
          <w:spacing w:val="-10"/>
          <w:sz w:val="21"/>
        </w:rPr>
        <w:t>平衡，炎症的激活以及与记忆相关的区域中神经元的虚弱。女性患病率增加可</w:t>
      </w:r>
      <w:r>
        <w:rPr>
          <w:spacing w:val="-9"/>
          <w:sz w:val="21"/>
        </w:rPr>
        <w:t>能是由于绝经后雌激素和相关激素的减少，以及大脑结构的差异。父母痴呆史</w:t>
      </w:r>
      <w:r>
        <w:rPr>
          <w:spacing w:val="-5"/>
          <w:sz w:val="21"/>
        </w:rPr>
        <w:t>可能会增加该疾病的遗传易感性。</w:t>
      </w:r>
    </w:p>
    <w:p>
      <w:pPr>
        <w:pStyle w:val="ListParagraph"/>
        <w:numPr>
          <w:ilvl w:val="0"/>
          <w:numId w:val="4"/>
        </w:numPr>
        <w:tabs>
          <w:tab w:pos="3585" w:val="left" w:leader="none"/>
        </w:tabs>
        <w:spacing w:line="304" w:lineRule="auto" w:before="0" w:after="0"/>
        <w:ind w:left="3464" w:right="622" w:hanging="301"/>
        <w:jc w:val="left"/>
        <w:rPr>
          <w:sz w:val="21"/>
        </w:rPr>
      </w:pPr>
      <w:r>
        <w:rPr>
          <w:spacing w:val="-3"/>
          <w:sz w:val="21"/>
        </w:rPr>
        <w:t>九个风险因素可以改变，包括生活在农村环境、受教育年限较少和独居。农</w:t>
      </w:r>
      <w:r>
        <w:rPr>
          <w:spacing w:val="-7"/>
          <w:sz w:val="21"/>
        </w:rPr>
        <w:t>村地区的教育时间比城市地区短，这可能解释了痴呆患病率的差异，支持了更</w:t>
      </w:r>
      <w:r>
        <w:rPr>
          <w:spacing w:val="-9"/>
          <w:sz w:val="21"/>
        </w:rPr>
        <w:t>长的教育可能会增加大脑认知储备的观点；较差的医疗支持、不健康的饮食和</w:t>
      </w:r>
      <w:r>
        <w:rPr>
          <w:spacing w:val="-10"/>
          <w:sz w:val="21"/>
        </w:rPr>
        <w:t>农村地区较高的合并症率也可能是造成差异的原因；婚姻状况也与痴呆有关。</w:t>
      </w:r>
      <w:r>
        <w:rPr>
          <w:spacing w:val="-6"/>
          <w:sz w:val="21"/>
        </w:rPr>
        <w:t>终止婚姻或失去配偶可能会导致孤独和沟通或互助减少，这是损害老年人认知</w:t>
      </w:r>
      <w:r>
        <w:rPr>
          <w:spacing w:val="-11"/>
          <w:sz w:val="21"/>
        </w:rPr>
        <w:t>的因素；吸烟、高血压、高脂血症、心脑血管疾病等危险因素和合并症与痴呆密切相关；脑卒中可直接诱发血管痴呆，也可引发阿尔茨海默病致病机制，促</w:t>
      </w:r>
      <w:r>
        <w:rPr>
          <w:spacing w:val="-6"/>
          <w:sz w:val="21"/>
        </w:rPr>
        <w:t>进疾病发作。控制这些可改变的风险因素将允许更好地控制痴呆。</w:t>
      </w:r>
    </w:p>
    <w:p>
      <w:pPr>
        <w:pStyle w:val="Heading3"/>
        <w:numPr>
          <w:ilvl w:val="2"/>
          <w:numId w:val="3"/>
        </w:numPr>
        <w:tabs>
          <w:tab w:pos="3858" w:val="left" w:leader="none"/>
        </w:tabs>
        <w:spacing w:line="240" w:lineRule="auto" w:before="174" w:after="0"/>
        <w:ind w:left="3857" w:right="0" w:hanging="695"/>
        <w:jc w:val="left"/>
        <w:rPr>
          <w:color w:val="333366"/>
        </w:rPr>
      </w:pPr>
      <w:bookmarkStart w:name="_bookmark18" w:id="27"/>
      <w:bookmarkEnd w:id="27"/>
      <w:r>
        <w:rPr>
          <w:b w:val="0"/>
        </w:rPr>
      </w:r>
      <w:bookmarkStart w:name="_bookmark18" w:id="28"/>
      <w:bookmarkEnd w:id="28"/>
      <w:r>
        <w:rPr>
          <w:color w:val="333366"/>
        </w:rPr>
        <w:t>中国痴呆患者特征</w:t>
      </w:r>
    </w:p>
    <w:p>
      <w:pPr>
        <w:pStyle w:val="ListParagraph"/>
        <w:numPr>
          <w:ilvl w:val="0"/>
          <w:numId w:val="5"/>
        </w:numPr>
        <w:tabs>
          <w:tab w:pos="3482" w:val="left" w:leader="none"/>
        </w:tabs>
        <w:spacing w:line="340" w:lineRule="exact" w:before="154" w:after="0"/>
        <w:ind w:left="3163" w:right="620" w:firstLine="0"/>
        <w:jc w:val="left"/>
        <w:rPr>
          <w:sz w:val="21"/>
        </w:rPr>
      </w:pPr>
      <w:r>
        <w:rPr>
          <w:rFonts w:ascii="Microsoft JhengHei" w:eastAsia="Microsoft JhengHei" w:hint="eastAsia"/>
          <w:b/>
          <w:spacing w:val="-2"/>
          <w:sz w:val="21"/>
        </w:rPr>
        <w:t>中国痴呆患者中女性患病率是男性的 </w:t>
      </w:r>
      <w:r>
        <w:rPr>
          <w:rFonts w:ascii="Times New Roman" w:eastAsia="Times New Roman"/>
          <w:b/>
          <w:sz w:val="21"/>
        </w:rPr>
        <w:t>1.8</w:t>
      </w:r>
      <w:r>
        <w:rPr>
          <w:rFonts w:ascii="Times New Roman" w:eastAsia="Times New Roman"/>
          <w:b/>
          <w:spacing w:val="10"/>
          <w:sz w:val="21"/>
        </w:rPr>
        <w:t> </w:t>
      </w:r>
      <w:r>
        <w:rPr>
          <w:rFonts w:ascii="Microsoft JhengHei" w:eastAsia="Microsoft JhengHei" w:hint="eastAsia"/>
          <w:b/>
          <w:sz w:val="21"/>
        </w:rPr>
        <w:t>倍。</w:t>
      </w:r>
      <w:r>
        <w:rPr>
          <w:spacing w:val="-7"/>
          <w:sz w:val="21"/>
        </w:rPr>
        <w:t>《中国阿尔茨海默病报告 </w:t>
      </w:r>
      <w:r>
        <w:rPr>
          <w:rFonts w:ascii="Times New Roman" w:eastAsia="Times New Roman"/>
          <w:sz w:val="21"/>
        </w:rPr>
        <w:t>2022</w:t>
      </w:r>
      <w:r>
        <w:rPr>
          <w:sz w:val="21"/>
        </w:rPr>
        <w:t>》</w:t>
      </w:r>
      <w:r>
        <w:rPr>
          <w:spacing w:val="-11"/>
          <w:sz w:val="21"/>
        </w:rPr>
        <w:t>显示，中国男性患病率为 </w:t>
      </w:r>
      <w:r>
        <w:rPr>
          <w:rFonts w:ascii="Times New Roman" w:eastAsia="Times New Roman"/>
          <w:sz w:val="21"/>
        </w:rPr>
        <w:t>669.3/10 </w:t>
      </w:r>
      <w:r>
        <w:rPr>
          <w:spacing w:val="-14"/>
          <w:sz w:val="21"/>
        </w:rPr>
        <w:t>万，而女性为 </w:t>
      </w:r>
      <w:r>
        <w:rPr>
          <w:rFonts w:ascii="Times New Roman" w:eastAsia="Times New Roman"/>
          <w:sz w:val="21"/>
        </w:rPr>
        <w:t>1188.9/10</w:t>
      </w:r>
      <w:r>
        <w:rPr>
          <w:rFonts w:ascii="Times New Roman" w:eastAsia="Times New Roman"/>
          <w:spacing w:val="3"/>
          <w:sz w:val="21"/>
        </w:rPr>
        <w:t> </w:t>
      </w:r>
      <w:r>
        <w:rPr>
          <w:spacing w:val="-7"/>
          <w:sz w:val="21"/>
        </w:rPr>
        <w:t>万，这与女性的激素水</w:t>
      </w:r>
      <w:r>
        <w:rPr>
          <w:spacing w:val="-8"/>
          <w:sz w:val="21"/>
        </w:rPr>
        <w:t>平变化和基因差异相关。高龄后，性别</w:t>
      </w:r>
      <w:r>
        <w:rPr>
          <w:sz w:val="21"/>
        </w:rPr>
        <w:t>（</w:t>
      </w:r>
      <w:r>
        <w:rPr>
          <w:spacing w:val="-2"/>
          <w:sz w:val="21"/>
        </w:rPr>
        <w:t>女性</w:t>
      </w:r>
      <w:r>
        <w:rPr>
          <w:spacing w:val="-15"/>
          <w:sz w:val="21"/>
        </w:rPr>
        <w:t>）</w:t>
      </w:r>
      <w:r>
        <w:rPr>
          <w:spacing w:val="-5"/>
          <w:sz w:val="21"/>
        </w:rPr>
        <w:t>是迟发性阿尔茨海默病（</w:t>
      </w:r>
      <w:r>
        <w:rPr>
          <w:rFonts w:ascii="Times New Roman" w:eastAsia="Times New Roman"/>
          <w:spacing w:val="-5"/>
          <w:sz w:val="21"/>
        </w:rPr>
        <w:t>AD</w:t>
      </w:r>
      <w:r>
        <w:rPr>
          <w:spacing w:val="-5"/>
          <w:sz w:val="21"/>
        </w:rPr>
        <w:t>）</w:t>
      </w:r>
      <w:r>
        <w:rPr>
          <w:spacing w:val="-12"/>
          <w:sz w:val="21"/>
        </w:rPr>
        <w:t>的</w:t>
      </w:r>
    </w:p>
    <w:p>
      <w:pPr>
        <w:pStyle w:val="BodyText"/>
        <w:spacing w:line="304" w:lineRule="auto" w:before="65"/>
        <w:ind w:left="3163" w:right="620"/>
      </w:pPr>
      <w:r>
        <w:rPr>
          <w:spacing w:val="-17"/>
        </w:rPr>
        <w:t>主要危险因素。虽然 </w:t>
      </w:r>
      <w:r>
        <w:rPr>
          <w:rFonts w:ascii="Times New Roman" w:hAnsi="Times New Roman" w:eastAsia="Times New Roman"/>
        </w:rPr>
        <w:t>AD</w:t>
      </w:r>
      <w:r>
        <w:rPr>
          <w:rFonts w:ascii="Times New Roman" w:hAnsi="Times New Roman" w:eastAsia="Times New Roman"/>
          <w:spacing w:val="4"/>
        </w:rPr>
        <w:t> </w:t>
      </w:r>
      <w:r>
        <w:rPr>
          <w:spacing w:val="-14"/>
        </w:rPr>
        <w:t>并非女性所独有，但女性约占 </w:t>
      </w:r>
      <w:r>
        <w:rPr>
          <w:rFonts w:ascii="Times New Roman" w:hAnsi="Times New Roman" w:eastAsia="Times New Roman"/>
        </w:rPr>
        <w:t>AD</w:t>
      </w:r>
      <w:r>
        <w:rPr>
          <w:rFonts w:ascii="Times New Roman" w:hAnsi="Times New Roman" w:eastAsia="Times New Roman"/>
          <w:spacing w:val="4"/>
        </w:rPr>
        <w:t> </w:t>
      </w:r>
      <w:r>
        <w:rPr>
          <w:spacing w:val="-3"/>
        </w:rPr>
        <w:t>痴呆患者的三分之二， </w:t>
      </w:r>
      <w:r>
        <w:rPr>
          <w:spacing w:val="1"/>
        </w:rPr>
        <w:t>绝经后妇女占比超</w:t>
      </w:r>
      <w:r>
        <w:rPr>
          <w:rFonts w:ascii="Times New Roman" w:hAnsi="Times New Roman" w:eastAsia="Times New Roman"/>
        </w:rPr>
        <w:t>60%</w:t>
      </w:r>
      <w:r>
        <w:rPr>
          <w:spacing w:val="-14"/>
        </w:rPr>
        <w:t>。有研究通过对</w:t>
      </w:r>
      <w:r>
        <w:rPr>
          <w:rFonts w:ascii="Times New Roman" w:hAnsi="Times New Roman" w:eastAsia="Times New Roman"/>
        </w:rPr>
        <w:t>40-65</w:t>
      </w:r>
      <w:r>
        <w:rPr>
          <w:rFonts w:ascii="Times New Roman" w:hAnsi="Times New Roman" w:eastAsia="Times New Roman"/>
          <w:spacing w:val="-18"/>
        </w:rPr>
        <w:t> </w:t>
      </w:r>
      <w:r>
        <w:rPr>
          <w:spacing w:val="-3"/>
        </w:rPr>
        <w:t>岁男性和女性患者进行对比后发现， </w:t>
      </w:r>
      <w:r>
        <w:rPr>
          <w:spacing w:val="-5"/>
        </w:rPr>
        <w:t>女性组表现出更高的 </w:t>
      </w:r>
      <w:r>
        <w:rPr>
          <w:rFonts w:ascii="Times New Roman" w:hAnsi="Times New Roman" w:eastAsia="Times New Roman"/>
        </w:rPr>
        <w:t>PiB</w:t>
      </w:r>
      <w:r>
        <w:rPr>
          <w:rFonts w:ascii="Times New Roman" w:hAnsi="Times New Roman" w:eastAsia="Times New Roman"/>
          <w:spacing w:val="6"/>
        </w:rPr>
        <w:t> </w:t>
      </w:r>
      <w:r>
        <w:rPr/>
        <w:t>β</w:t>
      </w:r>
      <w:r>
        <w:rPr>
          <w:spacing w:val="-5"/>
        </w:rPr>
        <w:t>淀粉样蛋白沉积，更低的 </w:t>
      </w:r>
      <w:r>
        <w:rPr>
          <w:rFonts w:ascii="Times New Roman" w:hAnsi="Times New Roman" w:eastAsia="Times New Roman"/>
        </w:rPr>
        <w:t>FDG</w:t>
      </w:r>
      <w:r>
        <w:rPr>
          <w:rFonts w:ascii="Times New Roman" w:hAnsi="Times New Roman" w:eastAsia="Times New Roman"/>
          <w:spacing w:val="31"/>
        </w:rPr>
        <w:t> </w:t>
      </w:r>
      <w:r>
        <w:rPr>
          <w:spacing w:val="-3"/>
        </w:rPr>
        <w:t>葡萄糖代谢和更低的</w:t>
      </w:r>
      <w:r>
        <w:rPr>
          <w:rFonts w:ascii="Times New Roman" w:hAnsi="Times New Roman" w:eastAsia="Times New Roman"/>
          <w:spacing w:val="-3"/>
        </w:rPr>
        <w:t>MRI</w:t>
      </w:r>
      <w:r>
        <w:rPr>
          <w:rFonts w:ascii="Times New Roman" w:hAnsi="Times New Roman" w:eastAsia="Times New Roman"/>
          <w:spacing w:val="7"/>
        </w:rPr>
        <w:t> </w:t>
      </w:r>
      <w:r>
        <w:rPr>
          <w:spacing w:val="-5"/>
        </w:rPr>
        <w:t>灰质和白质体积</w:t>
      </w:r>
      <w:r>
        <w:rPr/>
        <w:t>（</w:t>
      </w:r>
      <w:r>
        <w:rPr>
          <w:rFonts w:ascii="Times New Roman" w:hAnsi="Times New Roman" w:eastAsia="Times New Roman"/>
        </w:rPr>
        <w:t>p</w:t>
      </w:r>
      <w:r>
        <w:rPr>
          <w:rFonts w:ascii="Times New Roman" w:hAnsi="Times New Roman" w:eastAsia="Times New Roman"/>
          <w:spacing w:val="-7"/>
        </w:rPr>
        <w:t> &lt; </w:t>
      </w:r>
      <w:r>
        <w:rPr>
          <w:rFonts w:ascii="Times New Roman" w:hAnsi="Times New Roman" w:eastAsia="Times New Roman"/>
          <w:spacing w:val="-5"/>
        </w:rPr>
        <w:t>0.05</w:t>
      </w:r>
      <w:r>
        <w:rPr>
          <w:spacing w:val="-5"/>
        </w:rPr>
        <w:t>），结果与年龄无关，并且在使用年龄匹配组时仍然显著。绝经状态是与观察到的大脑生物标志物差异最一致和最密切相关的预测</w:t>
      </w:r>
      <w:r>
        <w:rPr>
          <w:spacing w:val="-12"/>
        </w:rPr>
        <w:t>因子，其次是激素治疗、子宫切除术状态和甲状腺疾病。早在 </w:t>
      </w:r>
      <w:r>
        <w:rPr>
          <w:rFonts w:ascii="Times New Roman" w:hAnsi="Times New Roman" w:eastAsia="Times New Roman"/>
        </w:rPr>
        <w:t>2021</w:t>
      </w:r>
      <w:r>
        <w:rPr>
          <w:rFonts w:ascii="Times New Roman" w:hAnsi="Times New Roman" w:eastAsia="Times New Roman"/>
          <w:spacing w:val="9"/>
        </w:rPr>
        <w:t> </w:t>
      </w:r>
      <w:r>
        <w:rPr>
          <w:spacing w:val="-6"/>
        </w:rPr>
        <w:t>年，首都医科大学宣武医院卢洁教授团队研究发现，女性携带一个特定载脂蛋白（</w:t>
      </w:r>
      <w:r>
        <w:rPr>
          <w:rFonts w:ascii="Times New Roman" w:hAnsi="Times New Roman" w:eastAsia="Times New Roman"/>
          <w:spacing w:val="-6"/>
        </w:rPr>
        <w:t>APOE</w:t>
      </w:r>
      <w:r>
        <w:rPr>
          <w:spacing w:val="-6"/>
        </w:rPr>
        <w:t>ε</w:t>
      </w:r>
      <w:r>
        <w:rPr>
          <w:rFonts w:ascii="Times New Roman" w:hAnsi="Times New Roman" w:eastAsia="Times New Roman"/>
          <w:spacing w:val="-6"/>
        </w:rPr>
        <w:t>4</w:t>
      </w:r>
      <w:r>
        <w:rPr>
          <w:spacing w:val="-6"/>
        </w:rPr>
        <w:t>） 等位基因即可导致脑内特定蛋白</w:t>
      </w:r>
      <w:r>
        <w:rPr/>
        <w:t>（</w:t>
      </w:r>
      <w:r>
        <w:rPr>
          <w:rFonts w:ascii="Times New Roman" w:hAnsi="Times New Roman" w:eastAsia="Times New Roman"/>
        </w:rPr>
        <w:t>tau</w:t>
      </w:r>
      <w:r>
        <w:rPr>
          <w:rFonts w:ascii="Times New Roman" w:hAnsi="Times New Roman" w:eastAsia="Times New Roman"/>
          <w:spacing w:val="8"/>
        </w:rPr>
        <w:t> </w:t>
      </w:r>
      <w:r>
        <w:rPr>
          <w:spacing w:val="-2"/>
        </w:rPr>
        <w:t>蛋白</w:t>
      </w:r>
      <w:r>
        <w:rPr>
          <w:spacing w:val="-22"/>
        </w:rPr>
        <w:t>）</w:t>
      </w:r>
      <w:r>
        <w:rPr>
          <w:spacing w:val="-8"/>
        </w:rPr>
        <w:t>聚集增加，从而更容易患病；而男性</w:t>
      </w:r>
      <w:r>
        <w:rPr>
          <w:spacing w:val="-5"/>
        </w:rPr>
        <w:t>携带两个特定等位基因时脑内特定蛋白聚集才会明显增加。</w:t>
      </w:r>
    </w:p>
    <w:p>
      <w:pPr>
        <w:pStyle w:val="BodyText"/>
        <w:spacing w:before="10"/>
        <w:rPr>
          <w:sz w:val="17"/>
        </w:rPr>
      </w:pPr>
    </w:p>
    <w:p>
      <w:pPr>
        <w:pStyle w:val="ListParagraph"/>
        <w:numPr>
          <w:ilvl w:val="0"/>
          <w:numId w:val="5"/>
        </w:numPr>
        <w:tabs>
          <w:tab w:pos="3480" w:val="left" w:leader="none"/>
        </w:tabs>
        <w:spacing w:line="340" w:lineRule="exact" w:before="0" w:after="0"/>
        <w:ind w:left="3163" w:right="724" w:firstLine="0"/>
        <w:jc w:val="both"/>
        <w:rPr>
          <w:sz w:val="21"/>
        </w:rPr>
      </w:pPr>
      <w:r>
        <w:rPr>
          <w:rFonts w:ascii="Microsoft JhengHei" w:eastAsia="Microsoft JhengHei" w:hint="eastAsia"/>
          <w:b/>
          <w:spacing w:val="-5"/>
          <w:sz w:val="21"/>
        </w:rPr>
        <w:t>中国的痴呆患者中农村患病率显著多于城市。</w:t>
      </w:r>
      <w:r>
        <w:rPr>
          <w:spacing w:val="-3"/>
          <w:sz w:val="21"/>
        </w:rPr>
        <w:t>我国痴呆及轻度认知障碍的患 病率均表现为农村地区相对较高，这可能与农村的受教育程度相对低、医疗水平相对落后和合并症率高有关。</w:t>
      </w:r>
    </w:p>
    <w:p>
      <w:pPr>
        <w:spacing w:after="0" w:line="340" w:lineRule="exact"/>
        <w:jc w:val="both"/>
        <w:rPr>
          <w:sz w:val="21"/>
        </w:rPr>
        <w:sectPr>
          <w:headerReference w:type="default" r:id="rId26"/>
          <w:footerReference w:type="default" r:id="rId27"/>
          <w:pgSz w:w="11910" w:h="16840"/>
          <w:pgMar w:header="868" w:footer="1201" w:top="1400" w:bottom="1400" w:left="240" w:right="400"/>
        </w:sectPr>
      </w:pPr>
    </w:p>
    <w:p>
      <w:pPr>
        <w:pStyle w:val="BodyText"/>
        <w:spacing w:before="11"/>
        <w:rPr>
          <w:sz w:val="13"/>
        </w:rPr>
      </w:pPr>
    </w:p>
    <w:tbl>
      <w:tblPr>
        <w:tblW w:w="0" w:type="auto"/>
        <w:jc w:val="left"/>
        <w:tblInd w:w="33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920"/>
      </w:tblGrid>
      <w:tr>
        <w:trPr>
          <w:trHeight w:val="374" w:hRule="atLeast"/>
        </w:trPr>
        <w:tc>
          <w:tcPr>
            <w:tcW w:w="6920" w:type="dxa"/>
          </w:tcPr>
          <w:p>
            <w:pPr>
              <w:pStyle w:val="TableParagraph"/>
              <w:spacing w:line="325" w:lineRule="exact"/>
              <w:ind w:left="-12"/>
              <w:rPr>
                <w:rFonts w:ascii="Microsoft JhengHei" w:eastAsia="Microsoft JhengHei" w:hint="eastAsia"/>
                <w:b/>
                <w:sz w:val="21"/>
              </w:rPr>
            </w:pPr>
            <w:bookmarkStart w:name="_bookmark19" w:id="29"/>
            <w:bookmarkEnd w:id="29"/>
            <w:r>
              <w:rPr/>
            </w:r>
            <w:r>
              <w:rPr>
                <w:rFonts w:ascii="Microsoft JhengHei" w:eastAsia="Microsoft JhengHei" w:hint="eastAsia"/>
                <w:b/>
                <w:sz w:val="21"/>
              </w:rPr>
              <w:t>图 </w:t>
            </w:r>
            <w:r>
              <w:rPr>
                <w:rFonts w:ascii="Times New Roman" w:eastAsia="Times New Roman"/>
                <w:b/>
                <w:sz w:val="21"/>
              </w:rPr>
              <w:t>8</w:t>
            </w:r>
            <w:r>
              <w:rPr>
                <w:rFonts w:ascii="Microsoft JhengHei" w:eastAsia="Microsoft JhengHei" w:hint="eastAsia"/>
                <w:b/>
                <w:sz w:val="21"/>
              </w:rPr>
              <w:t>、痴呆和轻度认知障碍在农村与城市中不同年龄的占比</w:t>
            </w:r>
          </w:p>
        </w:tc>
      </w:tr>
      <w:tr>
        <w:trPr>
          <w:trHeight w:val="143" w:hRule="atLeast"/>
        </w:trPr>
        <w:tc>
          <w:tcPr>
            <w:tcW w:w="6920" w:type="dxa"/>
          </w:tcPr>
          <w:p>
            <w:pPr>
              <w:pStyle w:val="TableParagraph"/>
              <w:rPr>
                <w:rFonts w:ascii="Times New Roman"/>
                <w:sz w:val="8"/>
              </w:rPr>
            </w:pPr>
          </w:p>
        </w:tc>
      </w:tr>
      <w:tr>
        <w:trPr>
          <w:trHeight w:val="3243" w:hRule="atLeast"/>
        </w:trPr>
        <w:tc>
          <w:tcPr>
            <w:tcW w:w="6920" w:type="dxa"/>
          </w:tcPr>
          <w:p>
            <w:pPr>
              <w:pStyle w:val="TableParagraph"/>
              <w:tabs>
                <w:tab w:pos="4659" w:val="left" w:leader="none"/>
              </w:tabs>
              <w:spacing w:before="83"/>
              <w:ind w:left="1569"/>
              <w:rPr>
                <w:sz w:val="21"/>
              </w:rPr>
            </w:pPr>
            <w:r>
              <w:rPr>
                <w:rFonts w:ascii="楷体" w:eastAsia="楷体" w:hint="eastAsia"/>
                <w:sz w:val="21"/>
              </w:rPr>
              <w:t>痴</w:t>
            </w:r>
            <w:r>
              <w:rPr>
                <w:rFonts w:ascii="楷体" w:eastAsia="楷体" w:hint="eastAsia"/>
                <w:spacing w:val="-3"/>
                <w:sz w:val="21"/>
              </w:rPr>
              <w:t>呆</w:t>
            </w:r>
            <w:r>
              <w:rPr>
                <w:spacing w:val="-3"/>
                <w:sz w:val="21"/>
              </w:rPr>
              <w:tab/>
            </w:r>
            <w:r>
              <w:rPr>
                <w:rFonts w:ascii="楷体" w:eastAsia="楷体" w:hint="eastAsia"/>
                <w:sz w:val="21"/>
              </w:rPr>
              <w:t>轻度</w:t>
            </w:r>
            <w:r>
              <w:rPr>
                <w:rFonts w:ascii="楷体" w:eastAsia="楷体" w:hint="eastAsia"/>
                <w:spacing w:val="-3"/>
                <w:sz w:val="21"/>
              </w:rPr>
              <w:t>认</w:t>
            </w:r>
            <w:r>
              <w:rPr>
                <w:rFonts w:ascii="楷体" w:eastAsia="楷体" w:hint="eastAsia"/>
                <w:sz w:val="21"/>
              </w:rPr>
              <w:t>知</w:t>
            </w:r>
            <w:r>
              <w:rPr>
                <w:rFonts w:ascii="楷体" w:eastAsia="楷体" w:hint="eastAsia"/>
                <w:spacing w:val="-3"/>
                <w:sz w:val="21"/>
              </w:rPr>
              <w:t>障碍</w:t>
            </w:r>
            <w:r>
              <w:rPr>
                <w:sz w:val="21"/>
              </w:rPr>
              <w:t> </w:t>
            </w:r>
          </w:p>
        </w:tc>
      </w:tr>
      <w:tr>
        <w:trPr>
          <w:trHeight w:val="231" w:hRule="atLeast"/>
        </w:trPr>
        <w:tc>
          <w:tcPr>
            <w:tcW w:w="6920" w:type="dxa"/>
          </w:tcPr>
          <w:p>
            <w:pPr>
              <w:pStyle w:val="TableParagraph"/>
              <w:spacing w:line="185" w:lineRule="exact" w:before="26"/>
              <w:ind w:left="-12" w:right="-29"/>
              <w:rPr>
                <w:sz w:val="18"/>
              </w:rPr>
            </w:pPr>
            <w:r>
              <w:rPr>
                <w:spacing w:val="-1"/>
                <w:sz w:val="18"/>
              </w:rPr>
              <w:t>资料来源： </w:t>
            </w:r>
            <w:r>
              <w:rPr>
                <w:rFonts w:ascii="Times New Roman" w:eastAsia="Times New Roman"/>
                <w:sz w:val="18"/>
              </w:rPr>
              <w:t>Lancet</w:t>
            </w:r>
            <w:r>
              <w:rPr>
                <w:rFonts w:ascii="Times New Roman" w:eastAsia="Times New Roman"/>
                <w:spacing w:val="-2"/>
                <w:sz w:val="18"/>
              </w:rPr>
              <w:t> </w:t>
            </w:r>
            <w:r>
              <w:rPr>
                <w:rFonts w:ascii="Times New Roman" w:eastAsia="Times New Roman"/>
                <w:sz w:val="18"/>
              </w:rPr>
              <w:t>Public</w:t>
            </w:r>
            <w:r>
              <w:rPr>
                <w:rFonts w:ascii="Times New Roman" w:eastAsia="Times New Roman"/>
                <w:spacing w:val="-2"/>
                <w:sz w:val="18"/>
              </w:rPr>
              <w:t> </w:t>
            </w:r>
            <w:r>
              <w:rPr>
                <w:rFonts w:ascii="Times New Roman" w:eastAsia="Times New Roman"/>
                <w:sz w:val="18"/>
              </w:rPr>
              <w:t>Health</w:t>
            </w:r>
            <w:r>
              <w:rPr>
                <w:rFonts w:ascii="Times New Roman" w:eastAsia="Times New Roman"/>
                <w:spacing w:val="-1"/>
                <w:sz w:val="18"/>
              </w:rPr>
              <w:t>, </w:t>
            </w:r>
            <w:r>
              <w:rPr>
                <w:rFonts w:ascii="Times New Roman" w:eastAsia="Times New Roman"/>
                <w:sz w:val="18"/>
              </w:rPr>
              <w:t>2020</w:t>
            </w:r>
            <w:r>
              <w:rPr>
                <w:rFonts w:ascii="Times New Roman" w:eastAsia="Times New Roman"/>
                <w:spacing w:val="-2"/>
                <w:sz w:val="18"/>
              </w:rPr>
              <w:t>, </w:t>
            </w:r>
            <w:r>
              <w:rPr>
                <w:rFonts w:ascii="Times New Roman" w:eastAsia="Times New Roman"/>
                <w:sz w:val="18"/>
              </w:rPr>
              <w:t>5(12):e661-e671</w:t>
            </w:r>
            <w:r>
              <w:rPr>
                <w:spacing w:val="-1"/>
                <w:sz w:val="18"/>
              </w:rPr>
              <w:t>，兴业证券经济与金融研究院整理</w:t>
            </w:r>
          </w:p>
        </w:tc>
      </w:tr>
    </w:tbl>
    <w:p>
      <w:pPr>
        <w:pStyle w:val="BodyText"/>
        <w:spacing w:before="5"/>
        <w:rPr>
          <w:sz w:val="24"/>
        </w:rPr>
      </w:pPr>
    </w:p>
    <w:p>
      <w:pPr>
        <w:pStyle w:val="ListParagraph"/>
        <w:numPr>
          <w:ilvl w:val="0"/>
          <w:numId w:val="5"/>
        </w:numPr>
        <w:tabs>
          <w:tab w:pos="3482" w:val="left" w:leader="none"/>
        </w:tabs>
        <w:spacing w:line="240" w:lineRule="auto" w:before="9" w:after="0"/>
        <w:ind w:left="3482" w:right="0" w:hanging="319"/>
        <w:jc w:val="both"/>
        <w:rPr>
          <w:sz w:val="21"/>
        </w:rPr>
      </w:pPr>
      <w:r>
        <w:rPr/>
        <w:pict>
          <v:rect style="position:absolute;margin-left:174.380005pt;margin-top:-27.46419pt;width:360.7pt;height:.48001pt;mso-position-horizontal-relative:page;mso-position-vertical-relative:paragraph;z-index:-17883136" filled="true" fillcolor="#000000" stroked="false">
            <v:fill type="solid"/>
            <w10:wrap type="none"/>
          </v:rect>
        </w:pict>
      </w:r>
      <w:r>
        <w:rPr/>
        <w:pict>
          <v:group style="position:absolute;margin-left:181pt;margin-top:-189.38118pt;width:344.6pt;height:158.25pt;mso-position-horizontal-relative:page;mso-position-vertical-relative:paragraph;z-index:-17880064" coordorigin="3620,-3788" coordsize="6892,3165">
            <v:shape style="position:absolute;left:3620;top:-3788;width:6892;height:404" coordorigin="3620,-3788" coordsize="6892,404" path="m7154,-3788l3620,-3788,3620,-3384,7154,-3384,7154,-3788xm10512,-3788l7279,-3788,7279,-3384,10512,-3384,10512,-3788xe" filled="true" fillcolor="#fae4d5" stroked="false">
              <v:path arrowok="t"/>
              <v:fill type="solid"/>
            </v:shape>
            <v:shape style="position:absolute;left:3620;top:-3385;width:6892;height:2762" type="#_x0000_t75" alt="/private/var/folders/gg/zgzzw4rs18bg47445gygbh0m0000gn/T/com.kingsoft.wpsoffice.mac/photoedit2/20230527153552/temp.pngtemp" stroked="false">
              <v:imagedata r:id="rId28" o:title=""/>
            </v:shape>
            <w10:wrap type="none"/>
          </v:group>
        </w:pict>
      </w:r>
      <w:r>
        <w:rPr>
          <w:rFonts w:ascii="Times New Roman" w:eastAsia="Times New Roman"/>
          <w:b/>
          <w:sz w:val="21"/>
        </w:rPr>
        <w:t>AD</w:t>
      </w:r>
      <w:r>
        <w:rPr>
          <w:rFonts w:ascii="Times New Roman" w:eastAsia="Times New Roman"/>
          <w:b/>
          <w:spacing w:val="31"/>
          <w:sz w:val="21"/>
        </w:rPr>
        <w:t> </w:t>
      </w:r>
      <w:r>
        <w:rPr>
          <w:rFonts w:ascii="Microsoft JhengHei" w:eastAsia="Microsoft JhengHei" w:hint="eastAsia"/>
          <w:b/>
          <w:spacing w:val="4"/>
          <w:sz w:val="21"/>
        </w:rPr>
        <w:t>已跃升为中国第 </w:t>
      </w:r>
      <w:r>
        <w:rPr>
          <w:rFonts w:ascii="Times New Roman" w:eastAsia="Times New Roman"/>
          <w:b/>
          <w:sz w:val="21"/>
        </w:rPr>
        <w:t>5</w:t>
      </w:r>
      <w:r>
        <w:rPr>
          <w:rFonts w:ascii="Times New Roman" w:eastAsia="Times New Roman"/>
          <w:b/>
          <w:spacing w:val="31"/>
          <w:sz w:val="21"/>
        </w:rPr>
        <w:t> </w:t>
      </w:r>
      <w:r>
        <w:rPr>
          <w:rFonts w:ascii="Microsoft JhengHei" w:eastAsia="Microsoft JhengHei" w:hint="eastAsia"/>
          <w:b/>
          <w:sz w:val="21"/>
        </w:rPr>
        <w:t>大死亡原因。</w:t>
      </w:r>
      <w:r>
        <w:rPr>
          <w:spacing w:val="-5"/>
          <w:sz w:val="21"/>
        </w:rPr>
        <w:t>《中国阿尔茨海默病报告 </w:t>
      </w:r>
      <w:r>
        <w:rPr>
          <w:rFonts w:ascii="Times New Roman" w:eastAsia="Times New Roman"/>
          <w:sz w:val="21"/>
        </w:rPr>
        <w:t>2022</w:t>
      </w:r>
      <w:r>
        <w:rPr>
          <w:spacing w:val="-3"/>
          <w:sz w:val="21"/>
        </w:rPr>
        <w:t>》显示，</w:t>
      </w:r>
    </w:p>
    <w:p>
      <w:pPr>
        <w:pStyle w:val="BodyText"/>
        <w:spacing w:line="302" w:lineRule="auto" w:before="24"/>
        <w:ind w:left="3163" w:right="724"/>
        <w:jc w:val="both"/>
        <w:rPr>
          <w:rFonts w:ascii="Times New Roman" w:hAnsi="Times New Roman" w:eastAsia="Times New Roman"/>
        </w:rPr>
      </w:pPr>
      <w:r>
        <w:rPr>
          <w:rFonts w:ascii="Times New Roman" w:hAnsi="Times New Roman" w:eastAsia="Times New Roman"/>
        </w:rPr>
        <w:t>2019</w:t>
      </w:r>
      <w:r>
        <w:rPr>
          <w:rFonts w:ascii="Times New Roman" w:hAnsi="Times New Roman" w:eastAsia="Times New Roman"/>
          <w:spacing w:val="-13"/>
        </w:rPr>
        <w:t> </w:t>
      </w:r>
      <w:r>
        <w:rPr>
          <w:spacing w:val="-18"/>
        </w:rPr>
        <w:t>年我国 </w:t>
      </w:r>
      <w:r>
        <w:rPr>
          <w:rFonts w:ascii="Times New Roman" w:hAnsi="Times New Roman" w:eastAsia="Times New Roman"/>
        </w:rPr>
        <w:t>AD</w:t>
      </w:r>
      <w:r>
        <w:rPr>
          <w:rFonts w:ascii="Times New Roman" w:hAnsi="Times New Roman" w:eastAsia="Times New Roman"/>
          <w:spacing w:val="-12"/>
        </w:rPr>
        <w:t> </w:t>
      </w:r>
      <w:r>
        <w:rPr>
          <w:spacing w:val="-7"/>
        </w:rPr>
        <w:t>及其他痴呆患者年龄标化的患病率达 </w:t>
      </w:r>
      <w:r>
        <w:rPr>
          <w:rFonts w:ascii="Times New Roman" w:hAnsi="Times New Roman" w:eastAsia="Times New Roman"/>
        </w:rPr>
        <w:t>788.3/10</w:t>
      </w:r>
      <w:r>
        <w:rPr>
          <w:rFonts w:ascii="Times New Roman" w:hAnsi="Times New Roman" w:eastAsia="Times New Roman"/>
          <w:spacing w:val="-11"/>
        </w:rPr>
        <w:t> </w:t>
      </w:r>
      <w:r>
        <w:rPr>
          <w:spacing w:val="-108"/>
        </w:rPr>
        <w:t>万</w:t>
      </w:r>
      <w:r>
        <w:rPr/>
        <w:t>（</w:t>
      </w:r>
      <w:r>
        <w:rPr>
          <w:spacing w:val="-17"/>
        </w:rPr>
        <w:t>全球为 </w:t>
      </w:r>
      <w:r>
        <w:rPr>
          <w:rFonts w:ascii="Times New Roman" w:hAnsi="Times New Roman" w:eastAsia="Times New Roman"/>
        </w:rPr>
        <w:t>682.5/10 </w:t>
      </w:r>
      <w:r>
        <w:rPr/>
        <w:t>万）</w:t>
      </w:r>
      <w:r>
        <w:rPr>
          <w:spacing w:val="-4"/>
        </w:rPr>
        <w:t>，因此导致的死亡人数约 </w:t>
      </w:r>
      <w:r>
        <w:rPr>
          <w:rFonts w:ascii="Times New Roman" w:hAnsi="Times New Roman" w:eastAsia="Times New Roman"/>
        </w:rPr>
        <w:t>32</w:t>
      </w:r>
      <w:r>
        <w:rPr>
          <w:rFonts w:ascii="Times New Roman" w:hAnsi="Times New Roman" w:eastAsia="Times New Roman"/>
          <w:spacing w:val="39"/>
        </w:rPr>
        <w:t> </w:t>
      </w:r>
      <w:r>
        <w:rPr>
          <w:spacing w:val="-3"/>
        </w:rPr>
        <w:t>万</w:t>
      </w:r>
      <w:r>
        <w:rPr/>
        <w:t>（</w:t>
      </w:r>
      <w:r>
        <w:rPr>
          <w:spacing w:val="-6"/>
        </w:rPr>
        <w:t>全球为 </w:t>
      </w:r>
      <w:r>
        <w:rPr>
          <w:rFonts w:ascii="Times New Roman" w:hAnsi="Times New Roman" w:eastAsia="Times New Roman"/>
        </w:rPr>
        <w:t>162</w:t>
      </w:r>
      <w:r>
        <w:rPr>
          <w:rFonts w:ascii="Times New Roman" w:hAnsi="Times New Roman" w:eastAsia="Times New Roman"/>
          <w:spacing w:val="35"/>
        </w:rPr>
        <w:t> </w:t>
      </w:r>
      <w:r>
        <w:rPr/>
        <w:t>万人）</w:t>
      </w:r>
      <w:r>
        <w:rPr>
          <w:spacing w:val="-3"/>
        </w:rPr>
        <w:t>，年龄标化的死亡率为</w:t>
      </w:r>
      <w:r>
        <w:rPr>
          <w:rFonts w:ascii="Times New Roman" w:hAnsi="Times New Roman" w:eastAsia="Times New Roman"/>
          <w:spacing w:val="-3"/>
        </w:rPr>
        <w:t>23.3/10</w:t>
      </w:r>
      <w:r>
        <w:rPr>
          <w:rFonts w:ascii="Times New Roman" w:hAnsi="Times New Roman" w:eastAsia="Times New Roman"/>
          <w:spacing w:val="28"/>
        </w:rPr>
        <w:t> </w:t>
      </w:r>
      <w:r>
        <w:rPr>
          <w:spacing w:val="-3"/>
        </w:rPr>
        <w:t>万</w:t>
      </w:r>
      <w:r>
        <w:rPr/>
        <w:t>（</w:t>
      </w:r>
      <w:r>
        <w:rPr>
          <w:spacing w:val="-8"/>
        </w:rPr>
        <w:t>全球为 </w:t>
      </w:r>
      <w:r>
        <w:rPr>
          <w:rFonts w:ascii="Times New Roman" w:hAnsi="Times New Roman" w:eastAsia="Times New Roman"/>
        </w:rPr>
        <w:t>22.9/10</w:t>
      </w:r>
      <w:r>
        <w:rPr>
          <w:rFonts w:ascii="Times New Roman" w:hAnsi="Times New Roman" w:eastAsia="Times New Roman"/>
          <w:spacing w:val="28"/>
        </w:rPr>
        <w:t> </w:t>
      </w:r>
      <w:r>
        <w:rPr/>
        <w:t>万人）</w:t>
      </w:r>
      <w:r>
        <w:rPr>
          <w:spacing w:val="-3"/>
        </w:rPr>
        <w:t>，均高于全球平均水平，呈现高患病率和高死</w:t>
      </w:r>
      <w:r>
        <w:rPr>
          <w:spacing w:val="-13"/>
        </w:rPr>
        <w:t>亡率的“两高”特点。同时，报告也指出，我国因 </w:t>
      </w:r>
      <w:r>
        <w:rPr>
          <w:rFonts w:ascii="Times New Roman" w:hAnsi="Times New Roman" w:eastAsia="Times New Roman"/>
        </w:rPr>
        <w:t>AD</w:t>
      </w:r>
      <w:r>
        <w:rPr>
          <w:rFonts w:ascii="Times New Roman" w:hAnsi="Times New Roman" w:eastAsia="Times New Roman"/>
          <w:spacing w:val="8"/>
        </w:rPr>
        <w:t> </w:t>
      </w:r>
      <w:r>
        <w:rPr>
          <w:spacing w:val="-8"/>
        </w:rPr>
        <w:t>导致死亡的顺位从 </w:t>
      </w:r>
      <w:r>
        <w:rPr>
          <w:rFonts w:ascii="Times New Roman" w:hAnsi="Times New Roman" w:eastAsia="Times New Roman"/>
        </w:rPr>
        <w:t>1990</w:t>
      </w:r>
      <w:r>
        <w:rPr>
          <w:rFonts w:ascii="Times New Roman" w:hAnsi="Times New Roman" w:eastAsia="Times New Roman"/>
          <w:spacing w:val="7"/>
        </w:rPr>
        <w:t> </w:t>
      </w:r>
      <w:r>
        <w:rPr/>
        <w:t>年</w:t>
      </w:r>
      <w:r>
        <w:rPr>
          <w:w w:val="100"/>
        </w:rPr>
        <w:t>时的第</w:t>
      </w:r>
      <w:r>
        <w:rPr>
          <w:spacing w:val="-64"/>
        </w:rPr>
        <w:t> </w:t>
      </w:r>
      <w:r>
        <w:rPr>
          <w:rFonts w:ascii="Times New Roman" w:hAnsi="Times New Roman" w:eastAsia="Times New Roman"/>
          <w:w w:val="100"/>
        </w:rPr>
        <w:t>10</w:t>
      </w:r>
      <w:r>
        <w:rPr>
          <w:rFonts w:ascii="Times New Roman" w:hAnsi="Times New Roman" w:eastAsia="Times New Roman"/>
          <w:spacing w:val="-10"/>
        </w:rPr>
        <w:t> </w:t>
      </w:r>
      <w:r>
        <w:rPr>
          <w:spacing w:val="-3"/>
          <w:w w:val="100"/>
        </w:rPr>
        <w:t>位上升至</w:t>
      </w:r>
      <w:r>
        <w:rPr>
          <w:spacing w:val="-62"/>
        </w:rPr>
        <w:t> </w:t>
      </w:r>
      <w:r>
        <w:rPr>
          <w:rFonts w:ascii="Times New Roman" w:hAnsi="Times New Roman" w:eastAsia="Times New Roman"/>
          <w:w w:val="100"/>
        </w:rPr>
        <w:t>2</w:t>
      </w:r>
      <w:r>
        <w:rPr>
          <w:rFonts w:ascii="Times New Roman" w:hAnsi="Times New Roman" w:eastAsia="Times New Roman"/>
          <w:spacing w:val="-3"/>
          <w:w w:val="100"/>
        </w:rPr>
        <w:t>0</w:t>
      </w:r>
      <w:r>
        <w:rPr>
          <w:rFonts w:ascii="Times New Roman" w:hAnsi="Times New Roman" w:eastAsia="Times New Roman"/>
          <w:w w:val="100"/>
        </w:rPr>
        <w:t>19</w:t>
      </w:r>
      <w:r>
        <w:rPr>
          <w:rFonts w:ascii="Times New Roman" w:hAnsi="Times New Roman" w:eastAsia="Times New Roman"/>
          <w:spacing w:val="-12"/>
        </w:rPr>
        <w:t> </w:t>
      </w:r>
      <w:r>
        <w:rPr>
          <w:w w:val="100"/>
        </w:rPr>
        <w:t>年的第</w:t>
      </w:r>
      <w:r>
        <w:rPr>
          <w:spacing w:val="-64"/>
        </w:rPr>
        <w:t> </w:t>
      </w:r>
      <w:r>
        <w:rPr>
          <w:rFonts w:ascii="Times New Roman" w:hAnsi="Times New Roman" w:eastAsia="Times New Roman"/>
          <w:w w:val="100"/>
        </w:rPr>
        <w:t>5</w:t>
      </w:r>
      <w:r>
        <w:rPr>
          <w:rFonts w:ascii="Times New Roman" w:hAnsi="Times New Roman" w:eastAsia="Times New Roman"/>
          <w:spacing w:val="-10"/>
        </w:rPr>
        <w:t> </w:t>
      </w:r>
      <w:r>
        <w:rPr>
          <w:spacing w:val="-54"/>
          <w:w w:val="100"/>
        </w:rPr>
        <w:t>位，</w:t>
      </w:r>
      <w:r>
        <w:rPr>
          <w:rFonts w:ascii="Times New Roman" w:hAnsi="Times New Roman" w:eastAsia="Times New Roman"/>
          <w:spacing w:val="-2"/>
          <w:w w:val="100"/>
        </w:rPr>
        <w:t>A</w:t>
      </w:r>
      <w:r>
        <w:rPr>
          <w:rFonts w:ascii="Times New Roman" w:hAnsi="Times New Roman" w:eastAsia="Times New Roman"/>
          <w:w w:val="100"/>
        </w:rPr>
        <w:t>D</w:t>
      </w:r>
      <w:r>
        <w:rPr>
          <w:rFonts w:ascii="Times New Roman" w:hAnsi="Times New Roman" w:eastAsia="Times New Roman"/>
          <w:spacing w:val="-9"/>
        </w:rPr>
        <w:t> </w:t>
      </w:r>
      <w:r>
        <w:rPr>
          <w:spacing w:val="-3"/>
          <w:w w:val="100"/>
        </w:rPr>
        <w:t>导致的疾病负担伤残调整寿命年从</w:t>
      </w:r>
      <w:r>
        <w:rPr>
          <w:spacing w:val="-65"/>
        </w:rPr>
        <w:t> </w:t>
      </w:r>
      <w:r>
        <w:rPr>
          <w:rFonts w:ascii="Times New Roman" w:hAnsi="Times New Roman" w:eastAsia="Times New Roman"/>
          <w:w w:val="100"/>
        </w:rPr>
        <w:t>1990</w:t>
      </w:r>
    </w:p>
    <w:p>
      <w:pPr>
        <w:pStyle w:val="BodyText"/>
        <w:spacing w:before="6"/>
        <w:ind w:left="3163"/>
        <w:jc w:val="both"/>
      </w:pPr>
      <w:r>
        <w:rPr>
          <w:spacing w:val="-11"/>
        </w:rPr>
        <w:t>年的第 </w:t>
      </w:r>
      <w:r>
        <w:rPr>
          <w:rFonts w:ascii="Times New Roman" w:eastAsia="Times New Roman"/>
        </w:rPr>
        <w:t>27</w:t>
      </w:r>
      <w:r>
        <w:rPr>
          <w:rFonts w:ascii="Times New Roman" w:eastAsia="Times New Roman"/>
          <w:spacing w:val="15"/>
        </w:rPr>
        <w:t> </w:t>
      </w:r>
      <w:r>
        <w:rPr>
          <w:spacing w:val="-9"/>
        </w:rPr>
        <w:t>位上升至 </w:t>
      </w:r>
      <w:r>
        <w:rPr>
          <w:rFonts w:ascii="Times New Roman" w:eastAsia="Times New Roman"/>
        </w:rPr>
        <w:t>2019</w:t>
      </w:r>
      <w:r>
        <w:rPr>
          <w:rFonts w:ascii="Times New Roman" w:eastAsia="Times New Roman"/>
          <w:spacing w:val="15"/>
        </w:rPr>
        <w:t> </w:t>
      </w:r>
      <w:r>
        <w:rPr>
          <w:spacing w:val="-11"/>
        </w:rPr>
        <w:t>年的第 </w:t>
      </w:r>
      <w:r>
        <w:rPr>
          <w:rFonts w:ascii="Times New Roman" w:eastAsia="Times New Roman"/>
        </w:rPr>
        <w:t>15</w:t>
      </w:r>
      <w:r>
        <w:rPr>
          <w:rFonts w:ascii="Times New Roman" w:eastAsia="Times New Roman"/>
          <w:spacing w:val="16"/>
        </w:rPr>
        <w:t> </w:t>
      </w:r>
      <w:r>
        <w:rPr>
          <w:spacing w:val="-3"/>
        </w:rPr>
        <w:t>位。以上结果均提示，</w:t>
      </w:r>
      <w:r>
        <w:rPr>
          <w:rFonts w:ascii="Times New Roman" w:eastAsia="Times New Roman"/>
        </w:rPr>
        <w:t>1990</w:t>
      </w:r>
      <w:r>
        <w:rPr>
          <w:rFonts w:ascii="Times New Roman" w:eastAsia="Times New Roman"/>
          <w:spacing w:val="17"/>
        </w:rPr>
        <w:t> </w:t>
      </w:r>
      <w:r>
        <w:rPr>
          <w:spacing w:val="-3"/>
        </w:rPr>
        <w:t>年</w:t>
      </w:r>
      <w:r>
        <w:rPr>
          <w:rFonts w:ascii="Times New Roman" w:eastAsia="Times New Roman"/>
        </w:rPr>
        <w:t>~2019</w:t>
      </w:r>
      <w:r>
        <w:rPr>
          <w:rFonts w:ascii="Times New Roman" w:eastAsia="Times New Roman"/>
          <w:spacing w:val="18"/>
        </w:rPr>
        <w:t> </w:t>
      </w:r>
      <w:r>
        <w:rPr>
          <w:spacing w:val="-3"/>
        </w:rPr>
        <w:t>年我国</w:t>
      </w:r>
    </w:p>
    <w:p>
      <w:pPr>
        <w:pStyle w:val="BodyText"/>
        <w:spacing w:before="73"/>
        <w:ind w:left="3163"/>
        <w:jc w:val="both"/>
      </w:pPr>
      <w:r>
        <w:rPr>
          <w:rFonts w:ascii="Times New Roman" w:eastAsia="Times New Roman"/>
        </w:rPr>
        <w:t>AD</w:t>
      </w:r>
      <w:r>
        <w:rPr>
          <w:rFonts w:ascii="Times New Roman" w:eastAsia="Times New Roman"/>
          <w:spacing w:val="40"/>
        </w:rPr>
        <w:t> </w:t>
      </w:r>
      <w:r>
        <w:rPr>
          <w:spacing w:val="-10"/>
        </w:rPr>
        <w:t>及其他痴呆的患病率和死亡率高，相关疾病负担亦高，并呈现明显上升趋势。</w:t>
      </w:r>
    </w:p>
    <w:p>
      <w:pPr>
        <w:pStyle w:val="BodyText"/>
        <w:spacing w:before="7"/>
        <w:rPr>
          <w:sz w:val="23"/>
        </w:rPr>
      </w:pPr>
    </w:p>
    <w:p>
      <w:pPr>
        <w:pStyle w:val="Heading3"/>
        <w:ind w:left="3356"/>
      </w:pPr>
      <w:r>
        <w:rPr/>
        <w:pict>
          <v:rect style="position:absolute;margin-left:174.380005pt;margin-top:21.405809pt;width:327.07pt;height:.48001pt;mso-position-horizontal-relative:page;mso-position-vertical-relative:paragraph;z-index:15740928" filled="true" fillcolor="#000000" stroked="false">
            <v:fill type="solid"/>
            <w10:wrap type="none"/>
          </v:rect>
        </w:pict>
      </w:r>
      <w:bookmarkStart w:name="_bookmark20" w:id="30"/>
      <w:bookmarkEnd w:id="30"/>
      <w:r>
        <w:rPr>
          <w:b w:val="0"/>
        </w:rPr>
      </w:r>
      <w:r>
        <w:rPr/>
        <w:t>图 </w:t>
      </w:r>
      <w:r>
        <w:rPr>
          <w:rFonts w:ascii="Times New Roman" w:eastAsia="Times New Roman"/>
        </w:rPr>
        <w:t>9</w:t>
      </w:r>
      <w:r>
        <w:rPr/>
        <w:t>、</w:t>
      </w:r>
      <w:r>
        <w:rPr>
          <w:rFonts w:ascii="Times New Roman" w:eastAsia="Times New Roman"/>
        </w:rPr>
        <w:t>1990-2019 </w:t>
      </w:r>
      <w:r>
        <w:rPr/>
        <w:t>年中国经年龄调整的前十大疾病死亡率排名变化</w:t>
      </w:r>
    </w:p>
    <w:p>
      <w:pPr>
        <w:spacing w:after="0"/>
        <w:sectPr>
          <w:pgSz w:w="11910" w:h="16840"/>
          <w:pgMar w:header="868" w:footer="1201" w:top="1400" w:bottom="1400" w:left="240" w:right="400"/>
        </w:sectPr>
      </w:pPr>
    </w:p>
    <w:p>
      <w:pPr>
        <w:spacing w:before="148"/>
        <w:ind w:left="0" w:right="800" w:firstLine="0"/>
        <w:jc w:val="right"/>
        <w:rPr>
          <w:rFonts w:ascii="楷体" w:eastAsia="楷体" w:hint="eastAsia"/>
          <w:sz w:val="18"/>
        </w:rPr>
      </w:pPr>
      <w:r>
        <w:rPr>
          <w:rFonts w:ascii="楷体" w:eastAsia="楷体" w:hint="eastAsia"/>
          <w:sz w:val="18"/>
        </w:rPr>
        <w:t>1990 年</w:t>
      </w:r>
    </w:p>
    <w:p>
      <w:pPr>
        <w:pStyle w:val="BodyText"/>
        <w:spacing w:before="5"/>
        <w:rPr>
          <w:rFonts w:ascii="楷体"/>
          <w:sz w:val="3"/>
        </w:rPr>
      </w:pPr>
    </w:p>
    <w:tbl>
      <w:tblPr>
        <w:tblCellSpacing w:w="53" w:type="dxa"/>
        <w:tblW w:w="0" w:type="auto"/>
        <w:jc w:val="left"/>
        <w:tblInd w:w="34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83"/>
      </w:tblGrid>
      <w:tr>
        <w:trPr>
          <w:trHeight w:val="222" w:hRule="atLeast"/>
        </w:trPr>
        <w:tc>
          <w:tcPr>
            <w:tcW w:w="1983" w:type="dxa"/>
            <w:tcBorders>
              <w:bottom w:val="nil"/>
            </w:tcBorders>
            <w:shd w:val="clear" w:color="auto" w:fill="C5D6EC"/>
          </w:tcPr>
          <w:p>
            <w:pPr>
              <w:pStyle w:val="TableParagraph"/>
              <w:spacing w:before="47"/>
              <w:ind w:left="154"/>
              <w:rPr>
                <w:sz w:val="18"/>
              </w:rPr>
            </w:pPr>
            <w:r>
              <w:rPr>
                <w:rFonts w:ascii="楷体" w:eastAsia="楷体" w:hint="eastAsia"/>
                <w:sz w:val="18"/>
              </w:rPr>
              <w:t>1 慢性阻塞性肺病</w:t>
            </w:r>
            <w:r>
              <w:rPr>
                <w:sz w:val="18"/>
              </w:rPr>
              <w:t> </w:t>
            </w:r>
          </w:p>
        </w:tc>
      </w:tr>
      <w:tr>
        <w:trPr>
          <w:trHeight w:val="215" w:hRule="atLeast"/>
        </w:trPr>
        <w:tc>
          <w:tcPr>
            <w:tcW w:w="1983" w:type="dxa"/>
            <w:tcBorders>
              <w:top w:val="nil"/>
              <w:bottom w:val="nil"/>
            </w:tcBorders>
            <w:shd w:val="clear" w:color="auto" w:fill="C5D6EC"/>
          </w:tcPr>
          <w:p>
            <w:pPr>
              <w:pStyle w:val="TableParagraph"/>
              <w:spacing w:before="40"/>
              <w:ind w:left="154"/>
              <w:rPr>
                <w:rFonts w:ascii="楷体" w:eastAsia="楷体" w:hint="eastAsia"/>
                <w:sz w:val="18"/>
              </w:rPr>
            </w:pPr>
            <w:r>
              <w:rPr>
                <w:rFonts w:ascii="楷体" w:eastAsia="楷体" w:hint="eastAsia"/>
                <w:sz w:val="18"/>
              </w:rPr>
              <w:t>2 中风</w:t>
            </w:r>
          </w:p>
        </w:tc>
      </w:tr>
      <w:tr>
        <w:trPr>
          <w:trHeight w:val="215" w:hRule="atLeast"/>
        </w:trPr>
        <w:tc>
          <w:tcPr>
            <w:tcW w:w="1983" w:type="dxa"/>
            <w:tcBorders>
              <w:top w:val="nil"/>
              <w:bottom w:val="nil"/>
            </w:tcBorders>
            <w:shd w:val="clear" w:color="auto" w:fill="C5D6EC"/>
          </w:tcPr>
          <w:p>
            <w:pPr>
              <w:pStyle w:val="TableParagraph"/>
              <w:spacing w:before="40"/>
              <w:ind w:left="154"/>
              <w:rPr>
                <w:rFonts w:ascii="楷体" w:eastAsia="楷体" w:hint="eastAsia"/>
                <w:sz w:val="18"/>
              </w:rPr>
            </w:pPr>
            <w:r>
              <w:rPr>
                <w:rFonts w:ascii="楷体" w:eastAsia="楷体" w:hint="eastAsia"/>
                <w:sz w:val="18"/>
              </w:rPr>
              <w:t>3 缺血性心脏病</w:t>
            </w:r>
          </w:p>
        </w:tc>
      </w:tr>
      <w:tr>
        <w:trPr>
          <w:trHeight w:val="222" w:hRule="atLeast"/>
        </w:trPr>
        <w:tc>
          <w:tcPr>
            <w:tcW w:w="1983" w:type="dxa"/>
            <w:tcBorders>
              <w:top w:val="nil"/>
            </w:tcBorders>
            <w:shd w:val="clear" w:color="auto" w:fill="F8BBA0"/>
          </w:tcPr>
          <w:p>
            <w:pPr>
              <w:pStyle w:val="TableParagraph"/>
              <w:spacing w:before="40"/>
              <w:ind w:left="154"/>
              <w:rPr>
                <w:rFonts w:ascii="楷体" w:eastAsia="楷体" w:hint="eastAsia"/>
                <w:sz w:val="18"/>
              </w:rPr>
            </w:pPr>
            <w:r>
              <w:rPr>
                <w:rFonts w:ascii="楷体" w:eastAsia="楷体" w:hint="eastAsia"/>
                <w:sz w:val="18"/>
              </w:rPr>
              <w:t>4 下呼吸道感染</w:t>
            </w:r>
          </w:p>
        </w:tc>
      </w:tr>
    </w:tbl>
    <w:p>
      <w:pPr>
        <w:tabs>
          <w:tab w:pos="5329" w:val="left" w:leader="none"/>
        </w:tabs>
        <w:spacing w:before="153"/>
        <w:ind w:left="3346" w:right="0" w:firstLine="0"/>
        <w:jc w:val="left"/>
        <w:rPr>
          <w:rFonts w:ascii="楷体" w:eastAsia="楷体" w:hint="eastAsia"/>
          <w:sz w:val="18"/>
        </w:rPr>
      </w:pPr>
      <w:r>
        <w:rPr/>
        <w:pict>
          <v:group style="position:absolute;margin-left:178.800003pt;margin-top:4.544005pt;width:216.55pt;height:128.5pt;mso-position-horizontal-relative:page;mso-position-vertical-relative:paragraph;z-index:-17882112" coordorigin="3576,91" coordsize="4331,2570">
            <v:rect style="position:absolute;left:5908;top:105;width:1984;height:336" filled="true" fillcolor="#c5d6ec" stroked="false">
              <v:fill type="solid"/>
            </v:rect>
            <v:rect style="position:absolute;left:5908;top:2314;width:1984;height:336" filled="true" fillcolor="#f8bba0" stroked="false">
              <v:fill type="solid"/>
            </v:rect>
            <v:shape style="position:absolute;left:5565;top:273;width:399;height:2210" coordorigin="5565,274" coordsize="399,2210" path="m5906,293l5900,301,5565,2482,5575,2484,5910,302,5906,293xm5913,283l5903,283,5912,284,5910,302,5954,415,5955,417,5958,418,5960,417,5963,416,5964,413,5963,411,5913,283xm5909,274l5814,390,5815,394,5817,395,5819,397,5822,397,5900,301,5903,283,5913,283,5909,274xm5912,285l5903,285,5911,287,5906,293,5910,302,5912,285xm5903,283l5900,301,5906,293,5903,285,5912,285,5912,284,5903,283xm5903,285l5906,293,5911,287,5903,285xe" filled="true" fillcolor="#a6a6a6" stroked="false">
              <v:path arrowok="t"/>
              <v:fill type="solid"/>
            </v:shape>
            <v:shape style="position:absolute;left:5908;top:2314;width:1984;height:336" type="#_x0000_t202" filled="false" stroked="false">
              <v:textbox inset="0,0,0,0">
                <w:txbxContent>
                  <w:p>
                    <w:pPr>
                      <w:spacing w:before="46"/>
                      <w:ind w:left="155" w:right="0" w:firstLine="0"/>
                      <w:jc w:val="left"/>
                      <w:rPr>
                        <w:rFonts w:ascii="楷体" w:eastAsia="楷体" w:hint="eastAsia"/>
                        <w:sz w:val="18"/>
                      </w:rPr>
                    </w:pPr>
                    <w:r>
                      <w:rPr>
                        <w:rFonts w:ascii="楷体" w:eastAsia="楷体" w:hint="eastAsia"/>
                        <w:sz w:val="18"/>
                      </w:rPr>
                      <w:t>10 下呼吸道感染</w:t>
                    </w:r>
                  </w:p>
                </w:txbxContent>
              </v:textbox>
              <w10:wrap type="none"/>
            </v:shape>
            <v:shape style="position:absolute;left:3586;top:2314;width:1984;height:336" type="#_x0000_t202" filled="true" fillcolor="#c5d6ec" stroked="true" strokeweight="1pt" strokecolor="#ff0000">
              <v:textbox inset="0,0,0,0">
                <w:txbxContent>
                  <w:p>
                    <w:pPr>
                      <w:spacing w:before="36"/>
                      <w:ind w:left="144" w:right="0" w:firstLine="0"/>
                      <w:jc w:val="left"/>
                      <w:rPr>
                        <w:rFonts w:ascii="楷体" w:eastAsia="楷体" w:hint="eastAsia"/>
                        <w:sz w:val="18"/>
                      </w:rPr>
                    </w:pPr>
                    <w:r>
                      <w:rPr>
                        <w:rFonts w:ascii="楷体" w:eastAsia="楷体" w:hint="eastAsia"/>
                        <w:sz w:val="18"/>
                      </w:rPr>
                      <w:t>10 阿尔茨海默病</w:t>
                    </w:r>
                  </w:p>
                </w:txbxContent>
              </v:textbox>
              <v:fill type="solid"/>
              <v:stroke dashstyle="solid"/>
              <w10:wrap type="none"/>
            </v:shape>
            <v:shape style="position:absolute;left:5908;top:105;width:1984;height:336" type="#_x0000_t202" filled="false" stroked="true" strokeweight="1.5pt" strokecolor="#ff0000">
              <v:textbox inset="0,0,0,0">
                <w:txbxContent>
                  <w:p>
                    <w:pPr>
                      <w:spacing w:before="37"/>
                      <w:ind w:left="145" w:right="0" w:firstLine="0"/>
                      <w:jc w:val="left"/>
                      <w:rPr>
                        <w:rFonts w:ascii="楷体" w:eastAsia="楷体" w:hint="eastAsia"/>
                        <w:sz w:val="18"/>
                      </w:rPr>
                    </w:pPr>
                    <w:r>
                      <w:rPr>
                        <w:rFonts w:ascii="楷体" w:eastAsia="楷体" w:hint="eastAsia"/>
                        <w:sz w:val="18"/>
                      </w:rPr>
                      <w:t>5 阿尔茨海默病</w:t>
                    </w:r>
                  </w:p>
                </w:txbxContent>
              </v:textbox>
              <v:stroke dashstyle="solid"/>
              <w10:wrap type="none"/>
            </v:shape>
            <w10:wrap type="none"/>
          </v:group>
        </w:pict>
      </w:r>
      <w:r>
        <w:rPr>
          <w:rFonts w:ascii="楷体" w:eastAsia="楷体" w:hint="eastAsia"/>
          <w:sz w:val="18"/>
          <w:shd w:fill="C5D6EC" w:color="auto" w:val="clear"/>
        </w:rPr>
        <w:t> </w:t>
      </w:r>
      <w:r>
        <w:rPr>
          <w:rFonts w:ascii="楷体" w:eastAsia="楷体" w:hint="eastAsia"/>
          <w:spacing w:val="-26"/>
          <w:sz w:val="18"/>
          <w:shd w:fill="C5D6EC" w:color="auto" w:val="clear"/>
        </w:rPr>
        <w:t> </w:t>
      </w:r>
      <w:r>
        <w:rPr>
          <w:rFonts w:ascii="楷体" w:eastAsia="楷体" w:hint="eastAsia"/>
          <w:sz w:val="18"/>
          <w:shd w:fill="C5D6EC" w:color="auto" w:val="clear"/>
        </w:rPr>
        <w:t>5</w:t>
      </w:r>
      <w:r>
        <w:rPr>
          <w:rFonts w:ascii="楷体" w:eastAsia="楷体" w:hint="eastAsia"/>
          <w:spacing w:val="2"/>
          <w:sz w:val="18"/>
          <w:shd w:fill="C5D6EC" w:color="auto" w:val="clear"/>
        </w:rPr>
        <w:t> </w:t>
      </w:r>
      <w:r>
        <w:rPr>
          <w:rFonts w:ascii="楷体" w:eastAsia="楷体" w:hint="eastAsia"/>
          <w:sz w:val="18"/>
          <w:shd w:fill="C5D6EC" w:color="auto" w:val="clear"/>
        </w:rPr>
        <w:t>高血压性心脏病</w:t>
        <w:tab/>
      </w:r>
    </w:p>
    <w:p>
      <w:pPr>
        <w:spacing w:before="155"/>
        <w:ind w:left="931" w:right="0" w:firstLine="0"/>
        <w:jc w:val="left"/>
        <w:rPr>
          <w:sz w:val="18"/>
        </w:rPr>
      </w:pPr>
      <w:r>
        <w:rPr/>
        <w:br w:type="column"/>
      </w:r>
      <w:r>
        <w:rPr>
          <w:rFonts w:ascii="楷体" w:eastAsia="楷体" w:hint="eastAsia"/>
          <w:sz w:val="18"/>
        </w:rPr>
        <w:t>2019 年</w:t>
      </w:r>
      <w:r>
        <w:rPr>
          <w:sz w:val="18"/>
        </w:rPr>
        <w:t> </w:t>
      </w:r>
    </w:p>
    <w:p>
      <w:pPr>
        <w:pStyle w:val="BodyText"/>
        <w:spacing w:before="10"/>
        <w:rPr>
          <w:sz w:val="2"/>
        </w:rPr>
      </w:pPr>
    </w:p>
    <w:tbl>
      <w:tblPr>
        <w:tblCellSpacing w:w="53" w:type="dxa"/>
        <w:tblW w:w="0" w:type="auto"/>
        <w:jc w:val="left"/>
        <w:tblInd w:w="3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83"/>
      </w:tblGrid>
      <w:tr>
        <w:trPr>
          <w:trHeight w:val="222" w:hRule="atLeast"/>
        </w:trPr>
        <w:tc>
          <w:tcPr>
            <w:tcW w:w="1983" w:type="dxa"/>
            <w:tcBorders>
              <w:bottom w:val="nil"/>
            </w:tcBorders>
            <w:shd w:val="clear" w:color="auto" w:fill="C5D6EC"/>
          </w:tcPr>
          <w:p>
            <w:pPr>
              <w:pStyle w:val="TableParagraph"/>
              <w:spacing w:before="47"/>
              <w:ind w:left="155"/>
              <w:rPr>
                <w:rFonts w:ascii="楷体" w:eastAsia="楷体" w:hint="eastAsia"/>
                <w:sz w:val="18"/>
              </w:rPr>
            </w:pPr>
            <w:r>
              <w:rPr>
                <w:rFonts w:ascii="楷体" w:eastAsia="楷体" w:hint="eastAsia"/>
                <w:sz w:val="18"/>
              </w:rPr>
              <w:t>1 中风</w:t>
            </w:r>
          </w:p>
        </w:tc>
      </w:tr>
      <w:tr>
        <w:trPr>
          <w:trHeight w:val="215" w:hRule="atLeast"/>
        </w:trPr>
        <w:tc>
          <w:tcPr>
            <w:tcW w:w="1983" w:type="dxa"/>
            <w:tcBorders>
              <w:top w:val="nil"/>
              <w:bottom w:val="nil"/>
            </w:tcBorders>
            <w:shd w:val="clear" w:color="auto" w:fill="C5D6EC"/>
          </w:tcPr>
          <w:p>
            <w:pPr>
              <w:pStyle w:val="TableParagraph"/>
              <w:spacing w:before="40"/>
              <w:ind w:left="155"/>
              <w:rPr>
                <w:rFonts w:ascii="楷体" w:eastAsia="楷体" w:hint="eastAsia"/>
                <w:sz w:val="18"/>
              </w:rPr>
            </w:pPr>
            <w:r>
              <w:rPr>
                <w:rFonts w:ascii="楷体" w:eastAsia="楷体" w:hint="eastAsia"/>
                <w:sz w:val="18"/>
              </w:rPr>
              <w:t>2 缺血性心脏病</w:t>
            </w:r>
          </w:p>
        </w:tc>
      </w:tr>
      <w:tr>
        <w:trPr>
          <w:trHeight w:val="215" w:hRule="atLeast"/>
        </w:trPr>
        <w:tc>
          <w:tcPr>
            <w:tcW w:w="1983" w:type="dxa"/>
            <w:tcBorders>
              <w:top w:val="nil"/>
              <w:bottom w:val="nil"/>
            </w:tcBorders>
            <w:shd w:val="clear" w:color="auto" w:fill="C5D6EC"/>
          </w:tcPr>
          <w:p>
            <w:pPr>
              <w:pStyle w:val="TableParagraph"/>
              <w:spacing w:before="40"/>
              <w:ind w:left="155"/>
              <w:rPr>
                <w:rFonts w:ascii="楷体" w:eastAsia="楷体" w:hint="eastAsia"/>
                <w:sz w:val="18"/>
              </w:rPr>
            </w:pPr>
            <w:r>
              <w:rPr>
                <w:rFonts w:ascii="楷体" w:eastAsia="楷体" w:hint="eastAsia"/>
                <w:sz w:val="18"/>
              </w:rPr>
              <w:t>3 慢性阻塞性肺病</w:t>
            </w:r>
          </w:p>
        </w:tc>
      </w:tr>
      <w:tr>
        <w:trPr>
          <w:trHeight w:val="222" w:hRule="atLeast"/>
        </w:trPr>
        <w:tc>
          <w:tcPr>
            <w:tcW w:w="1983" w:type="dxa"/>
            <w:tcBorders>
              <w:top w:val="nil"/>
            </w:tcBorders>
            <w:shd w:val="clear" w:color="auto" w:fill="C5D6EC"/>
          </w:tcPr>
          <w:p>
            <w:pPr>
              <w:pStyle w:val="TableParagraph"/>
              <w:spacing w:before="40"/>
              <w:ind w:left="155"/>
              <w:rPr>
                <w:rFonts w:ascii="楷体" w:eastAsia="楷体" w:hint="eastAsia"/>
                <w:sz w:val="18"/>
              </w:rPr>
            </w:pPr>
            <w:r>
              <w:rPr>
                <w:rFonts w:ascii="楷体" w:eastAsia="楷体" w:hint="eastAsia"/>
                <w:sz w:val="18"/>
              </w:rPr>
              <w:t>4 肺癌</w:t>
            </w:r>
          </w:p>
        </w:tc>
      </w:tr>
    </w:tbl>
    <w:p>
      <w:pPr>
        <w:pStyle w:val="BodyText"/>
        <w:rPr>
          <w:sz w:val="18"/>
        </w:rPr>
      </w:pPr>
      <w:r>
        <w:rPr/>
        <w:br w:type="column"/>
      </w:r>
      <w:r>
        <w:rPr>
          <w:sz w:val="18"/>
        </w:rPr>
      </w:r>
    </w:p>
    <w:p>
      <w:pPr>
        <w:pStyle w:val="BodyText"/>
        <w:spacing w:before="6"/>
        <w:rPr>
          <w:sz w:val="14"/>
        </w:rPr>
      </w:pPr>
    </w:p>
    <w:p>
      <w:pPr>
        <w:spacing w:line="480" w:lineRule="auto" w:before="1"/>
        <w:ind w:left="455" w:right="2576" w:firstLine="0"/>
        <w:jc w:val="left"/>
        <w:rPr>
          <w:rFonts w:ascii="楷体" w:eastAsia="楷体" w:hint="eastAsia"/>
          <w:sz w:val="18"/>
        </w:rPr>
      </w:pPr>
      <w:r>
        <w:rPr/>
        <w:pict>
          <v:rect style="position:absolute;margin-left:406.519989pt;margin-top:-4.066005pt;width:1.7888pt;height:16.786pt;mso-position-horizontal-relative:page;mso-position-vertical-relative:paragraph;z-index:15741952" filled="true" fillcolor="#f8bba0" stroked="false">
            <v:fill type="solid"/>
            <w10:wrap type="none"/>
          </v:rect>
        </w:pict>
      </w:r>
      <w:r>
        <w:rPr/>
        <w:pict>
          <v:rect style="position:absolute;margin-left:406.519989pt;margin-top:42.033997pt;width:1.7888pt;height:16.786pt;mso-position-horizontal-relative:page;mso-position-vertical-relative:paragraph;z-index:15742464" filled="true" fillcolor="#c5d6ec" stroked="false">
            <v:fill type="solid"/>
            <w10:wrap type="none"/>
          </v:rect>
        </w:pict>
      </w:r>
      <w:r>
        <w:rPr/>
        <w:pict>
          <v:rect style="position:absolute;margin-left:406.519989pt;margin-top:19.073996pt;width:1.7888pt;height:16.786pt;mso-position-horizontal-relative:page;mso-position-vertical-relative:paragraph;z-index:15742976" filled="true" fillcolor="#c6e8c0" stroked="false">
            <v:fill type="solid"/>
            <w10:wrap type="none"/>
          </v:rect>
        </w:pict>
      </w:r>
      <w:r>
        <w:rPr>
          <w:rFonts w:ascii="楷体" w:eastAsia="楷体" w:hint="eastAsia"/>
          <w:sz w:val="18"/>
        </w:rPr>
        <w:t>传染性受 伤 其他</w:t>
      </w:r>
    </w:p>
    <w:p>
      <w:pPr>
        <w:spacing w:after="0" w:line="480" w:lineRule="auto"/>
        <w:jc w:val="left"/>
        <w:rPr>
          <w:rFonts w:ascii="楷体" w:eastAsia="楷体" w:hint="eastAsia"/>
          <w:sz w:val="18"/>
        </w:rPr>
        <w:sectPr>
          <w:type w:val="continuous"/>
          <w:pgSz w:w="11910" w:h="16840"/>
          <w:pgMar w:top="220" w:bottom="1400" w:left="240" w:right="400"/>
          <w:cols w:num="3" w:equalWidth="0">
            <w:col w:w="5330" w:space="40"/>
            <w:col w:w="2283" w:space="39"/>
            <w:col w:w="3578"/>
          </w:cols>
        </w:sectPr>
      </w:pPr>
    </w:p>
    <w:p>
      <w:pPr>
        <w:pStyle w:val="BodyText"/>
        <w:spacing w:before="10" w:after="1"/>
        <w:rPr>
          <w:rFonts w:ascii="楷体"/>
          <w:sz w:val="12"/>
        </w:rPr>
      </w:pPr>
      <w:r>
        <w:rPr/>
        <w:pict>
          <v:rect style="position:absolute;margin-left:42.720001pt;margin-top:79.099991pt;width:508.08pt;height:.71999pt;mso-position-horizontal-relative:page;mso-position-vertical-relative:page;z-index:15739392" filled="true" fillcolor="#333366" stroked="false">
            <v:fill type="solid"/>
            <w10:wrap type="none"/>
          </v:rect>
        </w:pict>
      </w:r>
      <w:r>
        <w:rPr/>
        <w:pict>
          <v:rect style="position:absolute;margin-left:174.380005pt;margin-top:97.93998pt;width:360.7pt;height:.48pt;mso-position-horizontal-relative:page;mso-position-vertical-relative:page;z-index:-17883648" filled="true" fillcolor="#000000" stroked="false">
            <v:fill type="solid"/>
            <w10:wrap type="none"/>
          </v:rect>
        </w:pict>
      </w:r>
    </w:p>
    <w:p>
      <w:pPr>
        <w:tabs>
          <w:tab w:pos="5668" w:val="left" w:leader="none"/>
        </w:tabs>
        <w:spacing w:line="240" w:lineRule="auto"/>
        <w:ind w:left="3346" w:right="0" w:firstLine="0"/>
        <w:rPr>
          <w:rFonts w:ascii="楷体"/>
          <w:sz w:val="20"/>
        </w:rPr>
      </w:pPr>
      <w:r>
        <w:rPr>
          <w:rFonts w:ascii="楷体"/>
          <w:sz w:val="20"/>
        </w:rPr>
        <w:pict>
          <v:shape style="width:99.2pt;height:83.1pt;mso-position-horizontal-relative:char;mso-position-vertical-relative:line" type="#_x0000_t202" filled="false" stroked="false">
            <w10:anchorlock/>
            <v:textbox inset="0,0,0,0">
              <w:txbxContent>
                <w:tbl>
                  <w:tblPr>
                    <w:tblCellSpacing w:w="53" w:type="dxa"/>
                    <w:tblW w:w="0" w:type="auto"/>
                    <w:jc w:val="left"/>
                    <w:tblInd w:w="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83"/>
                  </w:tblGrid>
                  <w:tr>
                    <w:trPr>
                      <w:trHeight w:val="222" w:hRule="atLeast"/>
                    </w:trPr>
                    <w:tc>
                      <w:tcPr>
                        <w:tcW w:w="1983" w:type="dxa"/>
                        <w:tcBorders>
                          <w:bottom w:val="nil"/>
                        </w:tcBorders>
                        <w:shd w:val="clear" w:color="auto" w:fill="C5D6EC"/>
                      </w:tcPr>
                      <w:p>
                        <w:pPr>
                          <w:pStyle w:val="TableParagraph"/>
                          <w:spacing w:before="47"/>
                          <w:ind w:left="154"/>
                          <w:rPr>
                            <w:rFonts w:ascii="楷体" w:eastAsia="楷体" w:hint="eastAsia"/>
                            <w:sz w:val="18"/>
                          </w:rPr>
                        </w:pPr>
                        <w:r>
                          <w:rPr>
                            <w:rFonts w:ascii="楷体" w:eastAsia="楷体" w:hint="eastAsia"/>
                            <w:sz w:val="18"/>
                          </w:rPr>
                          <w:t>6 胃癌</w:t>
                        </w:r>
                      </w:p>
                    </w:tc>
                  </w:tr>
                  <w:tr>
                    <w:trPr>
                      <w:trHeight w:val="215" w:hRule="atLeast"/>
                    </w:trPr>
                    <w:tc>
                      <w:tcPr>
                        <w:tcW w:w="1983" w:type="dxa"/>
                        <w:tcBorders>
                          <w:top w:val="nil"/>
                          <w:bottom w:val="nil"/>
                        </w:tcBorders>
                        <w:shd w:val="clear" w:color="auto" w:fill="C5D6EC"/>
                      </w:tcPr>
                      <w:p>
                        <w:pPr>
                          <w:pStyle w:val="TableParagraph"/>
                          <w:spacing w:before="39"/>
                          <w:ind w:left="154"/>
                          <w:rPr>
                            <w:rFonts w:ascii="楷体" w:eastAsia="楷体" w:hint="eastAsia"/>
                            <w:sz w:val="18"/>
                          </w:rPr>
                        </w:pPr>
                        <w:r>
                          <w:rPr>
                            <w:rFonts w:ascii="楷体" w:eastAsia="楷体" w:hint="eastAsia"/>
                            <w:sz w:val="18"/>
                          </w:rPr>
                          <w:t>7 肺癌</w:t>
                        </w:r>
                      </w:p>
                    </w:tc>
                  </w:tr>
                  <w:tr>
                    <w:trPr>
                      <w:trHeight w:val="215" w:hRule="atLeast"/>
                    </w:trPr>
                    <w:tc>
                      <w:tcPr>
                        <w:tcW w:w="1983" w:type="dxa"/>
                        <w:tcBorders>
                          <w:top w:val="nil"/>
                          <w:bottom w:val="nil"/>
                        </w:tcBorders>
                        <w:shd w:val="clear" w:color="auto" w:fill="C5D6EC"/>
                      </w:tcPr>
                      <w:p>
                        <w:pPr>
                          <w:pStyle w:val="TableParagraph"/>
                          <w:spacing w:before="42"/>
                          <w:ind w:left="154"/>
                          <w:rPr>
                            <w:rFonts w:ascii="楷体" w:eastAsia="楷体" w:hint="eastAsia"/>
                            <w:sz w:val="18"/>
                          </w:rPr>
                        </w:pPr>
                        <w:r>
                          <w:rPr>
                            <w:rFonts w:ascii="楷体" w:eastAsia="楷体" w:hint="eastAsia"/>
                            <w:sz w:val="18"/>
                          </w:rPr>
                          <w:t>8 肝癌</w:t>
                        </w:r>
                      </w:p>
                    </w:tc>
                  </w:tr>
                  <w:tr>
                    <w:trPr>
                      <w:trHeight w:val="222" w:hRule="atLeast"/>
                    </w:trPr>
                    <w:tc>
                      <w:tcPr>
                        <w:tcW w:w="1983" w:type="dxa"/>
                        <w:tcBorders>
                          <w:top w:val="nil"/>
                        </w:tcBorders>
                        <w:shd w:val="clear" w:color="auto" w:fill="F8BBA0"/>
                      </w:tcPr>
                      <w:p>
                        <w:pPr>
                          <w:pStyle w:val="TableParagraph"/>
                          <w:spacing w:before="41"/>
                          <w:ind w:left="154"/>
                          <w:rPr>
                            <w:rFonts w:ascii="楷体" w:eastAsia="楷体" w:hint="eastAsia"/>
                            <w:sz w:val="18"/>
                          </w:rPr>
                        </w:pPr>
                        <w:r>
                          <w:rPr>
                            <w:rFonts w:ascii="楷体" w:eastAsia="楷体" w:hint="eastAsia"/>
                            <w:sz w:val="18"/>
                          </w:rPr>
                          <w:t>9 新生儿疾病</w:t>
                        </w:r>
                      </w:p>
                    </w:tc>
                  </w:tr>
                </w:tbl>
                <w:p>
                  <w:pPr>
                    <w:pStyle w:val="BodyText"/>
                  </w:pPr>
                </w:p>
              </w:txbxContent>
            </v:textbox>
          </v:shape>
        </w:pict>
      </w:r>
      <w:r>
        <w:rPr>
          <w:rFonts w:ascii="楷体"/>
          <w:sz w:val="20"/>
        </w:rPr>
      </w:r>
      <w:r>
        <w:rPr>
          <w:rFonts w:ascii="楷体"/>
          <w:sz w:val="20"/>
        </w:rPr>
        <w:tab/>
      </w:r>
      <w:r>
        <w:rPr>
          <w:rFonts w:ascii="楷体"/>
          <w:sz w:val="20"/>
        </w:rPr>
        <w:pict>
          <v:shape style="width:99.2pt;height:83.1pt;mso-position-horizontal-relative:char;mso-position-vertical-relative:line" type="#_x0000_t202" filled="false" stroked="false">
            <w10:anchorlock/>
            <v:textbox inset="0,0,0,0">
              <w:txbxContent>
                <w:tbl>
                  <w:tblPr>
                    <w:tblCellSpacing w:w="53" w:type="dxa"/>
                    <w:tblW w:w="0" w:type="auto"/>
                    <w:jc w:val="left"/>
                    <w:tblInd w:w="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83"/>
                  </w:tblGrid>
                  <w:tr>
                    <w:trPr>
                      <w:trHeight w:val="222" w:hRule="atLeast"/>
                    </w:trPr>
                    <w:tc>
                      <w:tcPr>
                        <w:tcW w:w="1983" w:type="dxa"/>
                        <w:tcBorders>
                          <w:bottom w:val="nil"/>
                        </w:tcBorders>
                        <w:shd w:val="clear" w:color="auto" w:fill="C5D6EC"/>
                      </w:tcPr>
                      <w:p>
                        <w:pPr>
                          <w:pStyle w:val="TableParagraph"/>
                          <w:spacing w:before="47"/>
                          <w:ind w:left="155"/>
                          <w:rPr>
                            <w:rFonts w:ascii="楷体" w:eastAsia="楷体" w:hint="eastAsia"/>
                            <w:sz w:val="18"/>
                          </w:rPr>
                        </w:pPr>
                        <w:r>
                          <w:rPr>
                            <w:rFonts w:ascii="楷体" w:eastAsia="楷体" w:hint="eastAsia"/>
                            <w:sz w:val="18"/>
                          </w:rPr>
                          <w:t>6 胃癌</w:t>
                        </w:r>
                      </w:p>
                    </w:tc>
                  </w:tr>
                  <w:tr>
                    <w:trPr>
                      <w:trHeight w:val="215" w:hRule="atLeast"/>
                    </w:trPr>
                    <w:tc>
                      <w:tcPr>
                        <w:tcW w:w="1983" w:type="dxa"/>
                        <w:tcBorders>
                          <w:top w:val="nil"/>
                          <w:bottom w:val="nil"/>
                        </w:tcBorders>
                        <w:shd w:val="clear" w:color="auto" w:fill="C5D6EC"/>
                      </w:tcPr>
                      <w:p>
                        <w:pPr>
                          <w:pStyle w:val="TableParagraph"/>
                          <w:spacing w:before="39"/>
                          <w:ind w:left="155"/>
                          <w:rPr>
                            <w:rFonts w:ascii="楷体" w:eastAsia="楷体" w:hint="eastAsia"/>
                            <w:sz w:val="18"/>
                          </w:rPr>
                        </w:pPr>
                        <w:r>
                          <w:rPr>
                            <w:rFonts w:ascii="楷体" w:eastAsia="楷体" w:hint="eastAsia"/>
                            <w:sz w:val="18"/>
                          </w:rPr>
                          <w:t>7 高血压性心脏病</w:t>
                        </w:r>
                      </w:p>
                    </w:tc>
                  </w:tr>
                  <w:tr>
                    <w:trPr>
                      <w:trHeight w:val="215" w:hRule="atLeast"/>
                    </w:trPr>
                    <w:tc>
                      <w:tcPr>
                        <w:tcW w:w="1983" w:type="dxa"/>
                        <w:tcBorders>
                          <w:top w:val="nil"/>
                          <w:bottom w:val="nil"/>
                        </w:tcBorders>
                        <w:shd w:val="clear" w:color="auto" w:fill="C6E8C0"/>
                      </w:tcPr>
                      <w:p>
                        <w:pPr>
                          <w:pStyle w:val="TableParagraph"/>
                          <w:spacing w:before="42"/>
                          <w:ind w:left="155"/>
                          <w:rPr>
                            <w:rFonts w:ascii="楷体" w:eastAsia="楷体" w:hint="eastAsia"/>
                            <w:sz w:val="18"/>
                          </w:rPr>
                        </w:pPr>
                        <w:r>
                          <w:rPr>
                            <w:rFonts w:ascii="楷体" w:eastAsia="楷体" w:hint="eastAsia"/>
                            <w:sz w:val="18"/>
                          </w:rPr>
                          <w:t>8 道路伤害</w:t>
                        </w:r>
                      </w:p>
                    </w:tc>
                  </w:tr>
                  <w:tr>
                    <w:trPr>
                      <w:trHeight w:val="222" w:hRule="atLeast"/>
                    </w:trPr>
                    <w:tc>
                      <w:tcPr>
                        <w:tcW w:w="1983" w:type="dxa"/>
                        <w:tcBorders>
                          <w:top w:val="nil"/>
                        </w:tcBorders>
                        <w:shd w:val="clear" w:color="auto" w:fill="C5D6EC"/>
                      </w:tcPr>
                      <w:p>
                        <w:pPr>
                          <w:pStyle w:val="TableParagraph"/>
                          <w:spacing w:before="41"/>
                          <w:ind w:left="155"/>
                          <w:rPr>
                            <w:rFonts w:ascii="楷体" w:eastAsia="楷体" w:hint="eastAsia"/>
                            <w:sz w:val="18"/>
                          </w:rPr>
                        </w:pPr>
                        <w:r>
                          <w:rPr>
                            <w:rFonts w:ascii="楷体" w:eastAsia="楷体" w:hint="eastAsia"/>
                            <w:sz w:val="18"/>
                          </w:rPr>
                          <w:t>9 结直肠癌</w:t>
                        </w:r>
                      </w:p>
                    </w:tc>
                  </w:tr>
                </w:tbl>
                <w:p>
                  <w:pPr>
                    <w:pStyle w:val="BodyText"/>
                  </w:pPr>
                </w:p>
              </w:txbxContent>
            </v:textbox>
          </v:shape>
        </w:pict>
      </w:r>
      <w:r>
        <w:rPr>
          <w:rFonts w:ascii="楷体"/>
          <w:sz w:val="20"/>
        </w:rPr>
      </w:r>
    </w:p>
    <w:p>
      <w:pPr>
        <w:pStyle w:val="BodyText"/>
        <w:rPr>
          <w:rFonts w:ascii="楷体"/>
          <w:sz w:val="20"/>
        </w:rPr>
      </w:pPr>
    </w:p>
    <w:p>
      <w:pPr>
        <w:pStyle w:val="BodyText"/>
        <w:spacing w:before="11"/>
        <w:rPr>
          <w:rFonts w:ascii="楷体"/>
          <w:sz w:val="16"/>
        </w:rPr>
      </w:pPr>
      <w:r>
        <w:rPr/>
        <w:pict>
          <v:rect style="position:absolute;margin-left:174.380005pt;margin-top:12.75352pt;width:327.07pt;height:.47998pt;mso-position-horizontal-relative:page;mso-position-vertical-relative:paragraph;z-index:-15718400;mso-wrap-distance-left:0;mso-wrap-distance-right:0" filled="true" fillcolor="#000000" stroked="false">
            <v:fill type="solid"/>
            <w10:wrap type="topAndBottom"/>
          </v:rect>
        </w:pict>
      </w:r>
    </w:p>
    <w:p>
      <w:pPr>
        <w:spacing w:line="223" w:lineRule="exact" w:before="0"/>
        <w:ind w:left="3356" w:right="0" w:firstLine="0"/>
        <w:jc w:val="left"/>
        <w:rPr>
          <w:sz w:val="18"/>
        </w:rPr>
      </w:pPr>
      <w:r>
        <w:rPr>
          <w:sz w:val="18"/>
        </w:rPr>
        <w:t>资料来源：</w:t>
      </w:r>
      <w:r>
        <w:rPr>
          <w:rFonts w:ascii="Times New Roman" w:eastAsia="Times New Roman"/>
          <w:sz w:val="18"/>
        </w:rPr>
        <w:t>Gen Psychiatr, 2022, 35(1):e100751</w:t>
      </w:r>
      <w:r>
        <w:rPr>
          <w:sz w:val="18"/>
        </w:rPr>
        <w:t>，兴业证券经济与金融研究院整理</w:t>
      </w:r>
    </w:p>
    <w:p>
      <w:pPr>
        <w:spacing w:after="0" w:line="223" w:lineRule="exact"/>
        <w:jc w:val="left"/>
        <w:rPr>
          <w:sz w:val="18"/>
        </w:rPr>
        <w:sectPr>
          <w:type w:val="continuous"/>
          <w:pgSz w:w="11910" w:h="16840"/>
          <w:pgMar w:top="220" w:bottom="1400" w:left="240" w:right="400"/>
        </w:sectPr>
      </w:pPr>
    </w:p>
    <w:p>
      <w:pPr>
        <w:pStyle w:val="BodyText"/>
        <w:spacing w:before="4"/>
        <w:rPr>
          <w:sz w:val="13"/>
        </w:rPr>
      </w:pPr>
      <w:r>
        <w:rPr/>
        <w:pict>
          <v:rect style="position:absolute;margin-left:42.720001pt;margin-top:767.880005pt;width:508.08pt;height:1.44pt;mso-position-horizontal-relative:page;mso-position-vertical-relative:page;z-index:15744512" filled="true" fillcolor="#333366" stroked="false">
            <v:fill type="solid"/>
            <w10:wrap type="none"/>
          </v:rect>
        </w:pict>
      </w:r>
      <w:r>
        <w:rPr/>
        <w:pict>
          <v:rect style="position:absolute;margin-left:43.440002pt;margin-top:761.640991pt;width:508.200024pt;height:.479pt;mso-position-horizontal-relative:page;mso-position-vertical-relative:page;z-index:-17878528" filled="true" fillcolor="#000000" stroked="false">
            <v:fill type="solid"/>
            <w10:wrap type="none"/>
          </v:rect>
        </w:pict>
      </w:r>
    </w:p>
    <w:p>
      <w:pPr>
        <w:pStyle w:val="BodyText"/>
        <w:spacing w:line="20" w:lineRule="exact"/>
        <w:ind w:left="614"/>
        <w:rPr>
          <w:sz w:val="2"/>
        </w:rPr>
      </w:pPr>
      <w:r>
        <w:rPr>
          <w:sz w:val="2"/>
        </w:rPr>
        <w:pict>
          <v:group style="width:508.1pt;height:.75pt;mso-position-horizontal-relative:char;mso-position-vertical-relative:line" coordorigin="0,0" coordsize="10162,15">
            <v:rect style="position:absolute;left:0;top:0;width:10162;height:15" filled="true" fillcolor="#333366" stroked="false">
              <v:fill type="solid"/>
            </v:rect>
          </v:group>
        </w:pict>
      </w:r>
      <w:r>
        <w:rPr>
          <w:sz w:val="2"/>
        </w:rPr>
      </w:r>
    </w:p>
    <w:p>
      <w:pPr>
        <w:pStyle w:val="Heading1"/>
        <w:numPr>
          <w:ilvl w:val="0"/>
          <w:numId w:val="3"/>
        </w:numPr>
        <w:tabs>
          <w:tab w:pos="3453" w:val="left" w:leader="none"/>
        </w:tabs>
        <w:spacing w:line="420" w:lineRule="exact" w:before="0" w:after="0"/>
        <w:ind w:left="3452" w:right="0" w:hanging="290"/>
        <w:jc w:val="left"/>
      </w:pPr>
      <w:bookmarkStart w:name="_bookmark21" w:id="31"/>
      <w:bookmarkEnd w:id="31"/>
      <w:r>
        <w:rPr>
          <w:b w:val="0"/>
        </w:rPr>
      </w:r>
      <w:bookmarkStart w:name="_bookmark21" w:id="32"/>
      <w:bookmarkEnd w:id="32"/>
      <w:r>
        <w:rPr>
          <w:color w:val="333366"/>
        </w:rPr>
        <w:t>诊断与治疗</w:t>
      </w:r>
    </w:p>
    <w:p>
      <w:pPr>
        <w:pStyle w:val="Heading2"/>
        <w:numPr>
          <w:ilvl w:val="1"/>
          <w:numId w:val="3"/>
        </w:numPr>
        <w:tabs>
          <w:tab w:pos="3714" w:val="left" w:leader="none"/>
        </w:tabs>
        <w:spacing w:line="240" w:lineRule="auto" w:before="191" w:after="0"/>
        <w:ind w:left="3713" w:right="0" w:hanging="551"/>
        <w:jc w:val="left"/>
      </w:pPr>
      <w:bookmarkStart w:name="_bookmark22" w:id="33"/>
      <w:bookmarkEnd w:id="33"/>
      <w:r>
        <w:rPr>
          <w:b w:val="0"/>
        </w:rPr>
      </w:r>
      <w:bookmarkStart w:name="_bookmark22" w:id="34"/>
      <w:bookmarkEnd w:id="34"/>
      <w:r>
        <w:rPr>
          <w:color w:val="333366"/>
        </w:rPr>
        <w:t>诊断方案</w:t>
      </w:r>
    </w:p>
    <w:p>
      <w:pPr>
        <w:pStyle w:val="BodyText"/>
        <w:spacing w:line="304" w:lineRule="auto" w:before="210"/>
        <w:ind w:left="3163" w:right="723"/>
        <w:jc w:val="both"/>
      </w:pPr>
      <w:r>
        <w:rPr>
          <w:spacing w:val="-7"/>
        </w:rPr>
        <w:t>在出现典型症状前 </w:t>
      </w:r>
      <w:r>
        <w:rPr>
          <w:rFonts w:ascii="Times New Roman" w:eastAsia="Times New Roman"/>
        </w:rPr>
        <w:t>20 </w:t>
      </w:r>
      <w:r>
        <w:rPr>
          <w:spacing w:val="-10"/>
        </w:rPr>
        <w:t>多年，患者的脑组织就可能发生一系列的病理生理改变，在</w:t>
      </w:r>
      <w:r>
        <w:rPr>
          <w:spacing w:val="-8"/>
        </w:rPr>
        <w:t>此过程中出现的轻度认知障碍</w:t>
      </w:r>
      <w:r>
        <w:rPr>
          <w:spacing w:val="-12"/>
        </w:rPr>
        <w:t>（</w:t>
      </w:r>
      <w:r>
        <w:rPr>
          <w:rFonts w:ascii="Times New Roman" w:eastAsia="Times New Roman"/>
          <w:spacing w:val="-12"/>
        </w:rPr>
        <w:t>MCI</w:t>
      </w:r>
      <w:r>
        <w:rPr>
          <w:spacing w:val="-12"/>
        </w:rPr>
        <w:t>），</w:t>
      </w:r>
      <w:r>
        <w:rPr>
          <w:spacing w:val="-24"/>
        </w:rPr>
        <w:t>即 </w:t>
      </w:r>
      <w:r>
        <w:rPr>
          <w:rFonts w:ascii="Times New Roman" w:eastAsia="Times New Roman"/>
        </w:rPr>
        <w:t>AD </w:t>
      </w:r>
      <w:r>
        <w:rPr>
          <w:spacing w:val="-16"/>
        </w:rPr>
        <w:t>源性 </w:t>
      </w:r>
      <w:r>
        <w:rPr>
          <w:rFonts w:ascii="Times New Roman" w:eastAsia="Times New Roman"/>
        </w:rPr>
        <w:t>MCI</w:t>
      </w:r>
      <w:r>
        <w:rPr>
          <w:spacing w:val="-32"/>
        </w:rPr>
        <w:t>。</w:t>
      </w:r>
      <w:r>
        <w:rPr>
          <w:rFonts w:ascii="Times New Roman" w:eastAsia="Times New Roman"/>
        </w:rPr>
        <w:t>AD </w:t>
      </w:r>
      <w:r>
        <w:rPr>
          <w:spacing w:val="-3"/>
        </w:rPr>
        <w:t>患者从轻度到重度</w:t>
      </w:r>
      <w:r>
        <w:rPr>
          <w:spacing w:val="-9"/>
        </w:rPr>
        <w:t>进展平均需要 </w:t>
      </w:r>
      <w:r>
        <w:rPr>
          <w:rFonts w:ascii="Times New Roman" w:eastAsia="Times New Roman"/>
        </w:rPr>
        <w:t>8-10 </w:t>
      </w:r>
      <w:r>
        <w:rPr>
          <w:spacing w:val="-7"/>
        </w:rPr>
        <w:t>年，而从轻度认知障碍发展为轻度痴呆，平均只要 </w:t>
      </w:r>
      <w:r>
        <w:rPr>
          <w:rFonts w:ascii="Times New Roman" w:eastAsia="Times New Roman"/>
        </w:rPr>
        <w:t>2-6 </w:t>
      </w:r>
      <w:r>
        <w:rPr>
          <w:spacing w:val="-2"/>
        </w:rPr>
        <w:t>年的时</w:t>
      </w:r>
      <w:r>
        <w:rPr>
          <w:spacing w:val="-3"/>
        </w:rPr>
        <w:t>间。把握这一治疗的黄金窗口期，及时诊断干预，可极大延缓疾病进展。老年人</w:t>
      </w:r>
      <w:r>
        <w:rPr>
          <w:rFonts w:ascii="Times New Roman" w:eastAsia="Times New Roman"/>
          <w:spacing w:val="-3"/>
        </w:rPr>
        <w:t>AD </w:t>
      </w:r>
      <w:r>
        <w:rPr>
          <w:spacing w:val="-10"/>
        </w:rPr>
        <w:t>早筛，可通过 </w:t>
      </w:r>
      <w:r>
        <w:rPr>
          <w:rFonts w:ascii="Times New Roman" w:eastAsia="Times New Roman"/>
        </w:rPr>
        <w:t>AD-8 </w:t>
      </w:r>
      <w:r>
        <w:rPr>
          <w:spacing w:val="-6"/>
        </w:rPr>
        <w:t>量表、声纹检测、血液检测的方法，结合 </w:t>
      </w:r>
      <w:r>
        <w:rPr>
          <w:rFonts w:ascii="Times New Roman" w:eastAsia="Times New Roman"/>
        </w:rPr>
        <w:t>AI </w:t>
      </w:r>
      <w:r>
        <w:rPr>
          <w:spacing w:val="-3"/>
        </w:rPr>
        <w:t>人工智能整合多组学数据，筛查出早期患者，并为患者制定后续治疗康复计划，对每位患者进行全治疗周期管理。</w:t>
      </w:r>
    </w:p>
    <w:p>
      <w:pPr>
        <w:pStyle w:val="BodyText"/>
        <w:spacing w:before="2"/>
        <w:rPr>
          <w:sz w:val="14"/>
        </w:rPr>
      </w:pPr>
    </w:p>
    <w:p>
      <w:pPr>
        <w:pStyle w:val="Heading3"/>
        <w:numPr>
          <w:ilvl w:val="2"/>
          <w:numId w:val="3"/>
        </w:numPr>
        <w:tabs>
          <w:tab w:pos="3858" w:val="left" w:leader="none"/>
        </w:tabs>
        <w:spacing w:line="240" w:lineRule="auto" w:before="0" w:after="0"/>
        <w:ind w:left="3857" w:right="0" w:hanging="695"/>
        <w:jc w:val="left"/>
        <w:rPr>
          <w:color w:val="333366"/>
        </w:rPr>
      </w:pPr>
      <w:bookmarkStart w:name="_bookmark23" w:id="35"/>
      <w:bookmarkEnd w:id="35"/>
      <w:r>
        <w:rPr>
          <w:b w:val="0"/>
        </w:rPr>
      </w:r>
      <w:bookmarkStart w:name="_bookmark23" w:id="36"/>
      <w:bookmarkEnd w:id="36"/>
      <w:r>
        <w:rPr>
          <w:color w:val="333366"/>
        </w:rPr>
        <w:t>诊断标准</w:t>
      </w:r>
    </w:p>
    <w:p>
      <w:pPr>
        <w:pStyle w:val="BodyText"/>
        <w:spacing w:line="340" w:lineRule="exact" w:before="154"/>
        <w:ind w:left="3163" w:right="620"/>
        <w:jc w:val="both"/>
      </w:pPr>
      <w:r>
        <w:rPr>
          <w:rFonts w:ascii="Times New Roman" w:hAnsi="Times New Roman" w:eastAsia="Times New Roman"/>
          <w:b/>
        </w:rPr>
        <w:t>AD</w:t>
      </w:r>
      <w:r>
        <w:rPr>
          <w:rFonts w:ascii="Times New Roman" w:hAnsi="Times New Roman" w:eastAsia="Times New Roman"/>
          <w:b/>
          <w:spacing w:val="5"/>
        </w:rPr>
        <w:t> </w:t>
      </w:r>
      <w:r>
        <w:rPr>
          <w:rFonts w:ascii="Microsoft JhengHei" w:hAnsi="Microsoft JhengHei" w:eastAsia="Microsoft JhengHei" w:hint="eastAsia"/>
          <w:b/>
          <w:spacing w:val="-3"/>
        </w:rPr>
        <w:t>的早发现、早干预有助于改善认知和减缓病程</w:t>
      </w:r>
      <w:r>
        <w:rPr>
          <w:spacing w:val="-8"/>
        </w:rPr>
        <w:t>。</w:t>
      </w:r>
      <w:r>
        <w:rPr>
          <w:rFonts w:ascii="Times New Roman" w:hAnsi="Times New Roman" w:eastAsia="Times New Roman"/>
        </w:rPr>
        <w:t>AD</w:t>
      </w:r>
      <w:r>
        <w:rPr>
          <w:rFonts w:ascii="Times New Roman" w:hAnsi="Times New Roman" w:eastAsia="Times New Roman"/>
          <w:spacing w:val="5"/>
        </w:rPr>
        <w:t> </w:t>
      </w:r>
      <w:r>
        <w:rPr>
          <w:spacing w:val="-8"/>
        </w:rPr>
        <w:t>检测时机分为临床前 </w:t>
      </w:r>
      <w:r>
        <w:rPr>
          <w:rFonts w:ascii="Times New Roman" w:hAnsi="Times New Roman" w:eastAsia="Times New Roman"/>
        </w:rPr>
        <w:t>AD </w:t>
      </w:r>
      <w:r>
        <w:rPr>
          <w:spacing w:val="-14"/>
        </w:rPr>
        <w:t>阶段</w:t>
      </w:r>
      <w:r>
        <w:rPr>
          <w:spacing w:val="-6"/>
        </w:rPr>
        <w:t>（</w:t>
      </w:r>
      <w:r>
        <w:rPr>
          <w:rFonts w:ascii="Times New Roman" w:hAnsi="Times New Roman" w:eastAsia="Times New Roman"/>
          <w:spacing w:val="-6"/>
        </w:rPr>
        <w:t>PCAD</w:t>
      </w:r>
      <w:r>
        <w:rPr>
          <w:spacing w:val="-6"/>
        </w:rPr>
        <w:t>；</w:t>
      </w:r>
      <w:r>
        <w:rPr>
          <w:rFonts w:ascii="Times New Roman" w:hAnsi="Times New Roman" w:eastAsia="Times New Roman"/>
          <w:spacing w:val="-6"/>
        </w:rPr>
        <w:t>Pre-MCI</w:t>
      </w:r>
      <w:r>
        <w:rPr>
          <w:spacing w:val="-6"/>
        </w:rPr>
        <w:t>）</w:t>
      </w:r>
      <w:r>
        <w:rPr>
          <w:spacing w:val="-22"/>
        </w:rPr>
        <w:t>和 </w:t>
      </w:r>
      <w:r>
        <w:rPr>
          <w:rFonts w:ascii="Times New Roman" w:hAnsi="Times New Roman" w:eastAsia="Times New Roman"/>
        </w:rPr>
        <w:t>MCI</w:t>
      </w:r>
      <w:r>
        <w:rPr>
          <w:rFonts w:ascii="Times New Roman" w:hAnsi="Times New Roman" w:eastAsia="Times New Roman"/>
          <w:spacing w:val="4"/>
        </w:rPr>
        <w:t> </w:t>
      </w:r>
      <w:r>
        <w:rPr>
          <w:spacing w:val="-15"/>
        </w:rPr>
        <w:t>阶段</w:t>
      </w:r>
      <w:r>
        <w:rPr/>
        <w:t>（</w:t>
      </w:r>
      <w:r>
        <w:rPr>
          <w:spacing w:val="-3"/>
        </w:rPr>
        <w:t>轻度认知障碍</w:t>
      </w:r>
      <w:r>
        <w:rPr>
          <w:spacing w:val="-15"/>
        </w:rPr>
        <w:t>）</w:t>
      </w:r>
      <w:r>
        <w:rPr>
          <w:rFonts w:ascii="Times New Roman" w:hAnsi="Times New Roman" w:eastAsia="Times New Roman"/>
          <w:spacing w:val="-15"/>
        </w:rPr>
        <w:t>/</w:t>
      </w:r>
      <w:r>
        <w:rPr>
          <w:spacing w:val="-12"/>
        </w:rPr>
        <w:t>痴呆阶段。临床前 </w:t>
      </w:r>
      <w:r>
        <w:rPr>
          <w:rFonts w:ascii="Times New Roman" w:hAnsi="Times New Roman" w:eastAsia="Times New Roman"/>
        </w:rPr>
        <w:t>AD</w:t>
      </w:r>
      <w:r>
        <w:rPr>
          <w:rFonts w:ascii="Times New Roman" w:hAnsi="Times New Roman" w:eastAsia="Times New Roman"/>
          <w:spacing w:val="9"/>
        </w:rPr>
        <w:t> </w:t>
      </w:r>
      <w:r>
        <w:rPr/>
        <w:t>阶段（</w:t>
      </w:r>
      <w:r>
        <w:rPr>
          <w:rFonts w:ascii="Times New Roman" w:hAnsi="Times New Roman" w:eastAsia="Times New Roman"/>
        </w:rPr>
        <w:t>PCAD</w:t>
      </w:r>
      <w:r>
        <w:rPr/>
        <w:t>；</w:t>
      </w:r>
      <w:r>
        <w:rPr>
          <w:rFonts w:ascii="Times New Roman" w:hAnsi="Times New Roman" w:eastAsia="Times New Roman"/>
        </w:rPr>
        <w:t>Pre-MCI</w:t>
      </w:r>
      <w:r>
        <w:rPr/>
        <w:t>）</w:t>
      </w:r>
      <w:r>
        <w:rPr>
          <w:spacing w:val="-12"/>
        </w:rPr>
        <w:t>可能长达 </w:t>
      </w:r>
      <w:r>
        <w:rPr>
          <w:rFonts w:ascii="Times New Roman" w:hAnsi="Times New Roman" w:eastAsia="Times New Roman"/>
        </w:rPr>
        <w:t>15-20</w:t>
      </w:r>
      <w:r>
        <w:rPr>
          <w:rFonts w:ascii="Times New Roman" w:hAnsi="Times New Roman" w:eastAsia="Times New Roman"/>
          <w:spacing w:val="5"/>
        </w:rPr>
        <w:t> </w:t>
      </w:r>
      <w:r>
        <w:rPr>
          <w:spacing w:val="-6"/>
        </w:rPr>
        <w:t>年，无任何症状出现，可检测到 </w:t>
      </w:r>
      <w:r>
        <w:rPr>
          <w:rFonts w:ascii="Times New Roman" w:hAnsi="Times New Roman" w:eastAsia="Times New Roman"/>
        </w:rPr>
        <w:t>AD</w:t>
      </w:r>
      <w:r>
        <w:rPr>
          <w:rFonts w:ascii="Times New Roman" w:hAnsi="Times New Roman" w:eastAsia="Times New Roman"/>
          <w:spacing w:val="7"/>
        </w:rPr>
        <w:t> </w:t>
      </w:r>
      <w:r>
        <w:rPr/>
        <w:t>病理</w:t>
      </w:r>
      <w:r>
        <w:rPr>
          <w:spacing w:val="-4"/>
        </w:rPr>
        <w:t>的生物标志物</w:t>
      </w:r>
      <w:r>
        <w:rPr/>
        <w:t>（</w:t>
      </w:r>
      <w:r>
        <w:rPr>
          <w:spacing w:val="23"/>
        </w:rPr>
        <w:t>比如</w:t>
      </w:r>
      <w:r>
        <w:rPr>
          <w:rFonts w:ascii="Times New Roman" w:hAnsi="Times New Roman" w:eastAsia="Times New Roman"/>
        </w:rPr>
        <w:t>A</w:t>
      </w:r>
      <w:r>
        <w:rPr/>
        <w:t>β</w:t>
      </w:r>
      <w:r>
        <w:rPr>
          <w:rFonts w:ascii="Times New Roman" w:hAnsi="Times New Roman" w:eastAsia="Times New Roman"/>
        </w:rPr>
        <w:t>42</w:t>
      </w:r>
      <w:r>
        <w:rPr>
          <w:rFonts w:ascii="Times New Roman" w:hAnsi="Times New Roman" w:eastAsia="Times New Roman"/>
          <w:spacing w:val="6"/>
        </w:rPr>
        <w:t> </w:t>
      </w:r>
      <w:r>
        <w:rPr>
          <w:spacing w:val="50"/>
        </w:rPr>
        <w:t>和</w:t>
      </w:r>
      <w:r>
        <w:rPr>
          <w:rFonts w:ascii="Times New Roman" w:hAnsi="Times New Roman" w:eastAsia="Times New Roman"/>
          <w:spacing w:val="-5"/>
        </w:rPr>
        <w:t>Tau</w:t>
      </w:r>
      <w:r>
        <w:rPr>
          <w:rFonts w:ascii="Times New Roman" w:hAnsi="Times New Roman" w:eastAsia="Times New Roman"/>
          <w:spacing w:val="4"/>
        </w:rPr>
        <w:t> </w:t>
      </w:r>
      <w:r>
        <w:rPr>
          <w:spacing w:val="-5"/>
        </w:rPr>
        <w:t>蛋白，仅病理性生物标志物</w:t>
      </w:r>
      <w:r>
        <w:rPr>
          <w:spacing w:val="-13"/>
        </w:rPr>
        <w:t>）</w:t>
      </w:r>
      <w:r>
        <w:rPr>
          <w:spacing w:val="-10"/>
        </w:rPr>
        <w:t>。</w:t>
      </w:r>
      <w:r>
        <w:rPr>
          <w:rFonts w:ascii="Times New Roman" w:hAnsi="Times New Roman" w:eastAsia="Times New Roman"/>
        </w:rPr>
        <w:t>MCI</w:t>
      </w:r>
      <w:r>
        <w:rPr>
          <w:rFonts w:ascii="Times New Roman" w:hAnsi="Times New Roman" w:eastAsia="Times New Roman"/>
          <w:spacing w:val="6"/>
        </w:rPr>
        <w:t> </w:t>
      </w:r>
      <w:r>
        <w:rPr>
          <w:spacing w:val="-7"/>
        </w:rPr>
        <w:t>阶段</w:t>
      </w:r>
      <w:r>
        <w:rPr>
          <w:spacing w:val="-3"/>
        </w:rPr>
        <w:t>（</w:t>
      </w:r>
      <w:r>
        <w:rPr/>
        <w:t>轻</w:t>
      </w:r>
      <w:r>
        <w:rPr>
          <w:spacing w:val="-2"/>
        </w:rPr>
        <w:t>度认知障碍</w:t>
      </w:r>
      <w:r>
        <w:rPr>
          <w:spacing w:val="-32"/>
        </w:rPr>
        <w:t>）</w:t>
      </w:r>
      <w:r>
        <w:rPr>
          <w:spacing w:val="-7"/>
        </w:rPr>
        <w:t>或痴呆阶段可检测到神经心理及病理性生物标志物。患者在 </w:t>
      </w:r>
      <w:r>
        <w:rPr>
          <w:rFonts w:ascii="Times New Roman" w:hAnsi="Times New Roman" w:eastAsia="Times New Roman"/>
        </w:rPr>
        <w:t>MCI</w:t>
      </w:r>
      <w:r>
        <w:rPr>
          <w:rFonts w:ascii="Times New Roman" w:hAnsi="Times New Roman" w:eastAsia="Times New Roman"/>
          <w:spacing w:val="7"/>
        </w:rPr>
        <w:t> </w:t>
      </w:r>
      <w:r>
        <w:rPr/>
        <w:t>阶</w:t>
      </w:r>
    </w:p>
    <w:p>
      <w:pPr>
        <w:pStyle w:val="BodyText"/>
        <w:spacing w:line="302" w:lineRule="auto" w:before="66"/>
        <w:ind w:left="3163" w:right="620"/>
      </w:pPr>
      <w:r>
        <w:rPr/>
        <w:t>段，早发现、早干预，有助于改善认知功能并减缓 </w:t>
      </w:r>
      <w:r>
        <w:rPr>
          <w:rFonts w:ascii="Times New Roman" w:eastAsia="Times New Roman"/>
        </w:rPr>
        <w:t>MCI </w:t>
      </w:r>
      <w:r>
        <w:rPr/>
        <w:t>向认知障碍的真正转变。轻度认知障碍前期生物标记物的研究进展和人工智能在 </w:t>
      </w:r>
      <w:r>
        <w:rPr>
          <w:rFonts w:ascii="Times New Roman" w:eastAsia="Times New Roman"/>
        </w:rPr>
        <w:t>AD </w:t>
      </w:r>
      <w:r>
        <w:rPr/>
        <w:t>诊断中的应用，逐步成为国内外学术界关注的热点。</w:t>
      </w:r>
    </w:p>
    <w:p>
      <w:pPr>
        <w:pStyle w:val="BodyText"/>
        <w:spacing w:before="6"/>
        <w:rPr>
          <w:sz w:val="18"/>
        </w:rPr>
      </w:pPr>
    </w:p>
    <w:p>
      <w:pPr>
        <w:spacing w:line="254" w:lineRule="auto" w:before="0"/>
        <w:ind w:left="3163" w:right="724" w:firstLine="0"/>
        <w:jc w:val="both"/>
        <w:rPr>
          <w:sz w:val="21"/>
        </w:rPr>
      </w:pPr>
      <w:r>
        <w:rPr>
          <w:rFonts w:ascii="Microsoft JhengHei" w:eastAsia="Microsoft JhengHei" w:hint="eastAsia"/>
          <w:b/>
          <w:sz w:val="21"/>
        </w:rPr>
        <w:t>血液标志物检测或将进入 </w:t>
      </w:r>
      <w:r>
        <w:rPr>
          <w:rFonts w:ascii="Times New Roman" w:eastAsia="Times New Roman"/>
          <w:b/>
          <w:sz w:val="21"/>
        </w:rPr>
        <w:t>AD </w:t>
      </w:r>
      <w:r>
        <w:rPr>
          <w:rFonts w:ascii="Microsoft JhengHei" w:eastAsia="Microsoft JhengHei" w:hint="eastAsia"/>
          <w:b/>
          <w:spacing w:val="-3"/>
          <w:sz w:val="21"/>
        </w:rPr>
        <w:t>诊断指南，但生物标志物的参考值仍未确定</w:t>
      </w:r>
      <w:r>
        <w:rPr>
          <w:spacing w:val="-5"/>
          <w:sz w:val="21"/>
        </w:rPr>
        <w:t>：国际</w:t>
      </w:r>
      <w:r>
        <w:rPr>
          <w:spacing w:val="-6"/>
          <w:sz w:val="21"/>
        </w:rPr>
        <w:t>临床医生和研究人员委员会在 </w:t>
      </w:r>
      <w:r>
        <w:rPr>
          <w:rFonts w:ascii="Times New Roman" w:eastAsia="Times New Roman"/>
          <w:sz w:val="21"/>
        </w:rPr>
        <w:t>2023 </w:t>
      </w:r>
      <w:r>
        <w:rPr>
          <w:spacing w:val="-22"/>
          <w:sz w:val="21"/>
        </w:rPr>
        <w:t>年 </w:t>
      </w:r>
      <w:r>
        <w:rPr>
          <w:rFonts w:ascii="Times New Roman" w:eastAsia="Times New Roman"/>
          <w:sz w:val="21"/>
        </w:rPr>
        <w:t>7 </w:t>
      </w:r>
      <w:r>
        <w:rPr>
          <w:spacing w:val="-22"/>
          <w:sz w:val="21"/>
        </w:rPr>
        <w:t>月 </w:t>
      </w:r>
      <w:r>
        <w:rPr>
          <w:rFonts w:ascii="Times New Roman" w:eastAsia="Times New Roman"/>
          <w:sz w:val="21"/>
        </w:rPr>
        <w:t>16 </w:t>
      </w:r>
      <w:r>
        <w:rPr>
          <w:spacing w:val="-3"/>
          <w:sz w:val="21"/>
        </w:rPr>
        <w:t>日发布了新修订的阿尔茨海默病诊</w:t>
      </w:r>
    </w:p>
    <w:p>
      <w:pPr>
        <w:pStyle w:val="BodyText"/>
        <w:spacing w:line="302" w:lineRule="auto" w:before="57"/>
        <w:ind w:left="3163" w:right="726"/>
        <w:jc w:val="both"/>
      </w:pPr>
      <w:r>
        <w:rPr>
          <w:spacing w:val="-2"/>
        </w:rPr>
        <w:t>断指南草案</w:t>
      </w:r>
      <w:r>
        <w:rPr/>
        <w:t>（</w:t>
      </w:r>
      <w:r>
        <w:rPr>
          <w:rFonts w:ascii="Times New Roman" w:hAnsi="Times New Roman" w:eastAsia="Times New Roman"/>
        </w:rPr>
        <w:t>NIA-AA</w:t>
      </w:r>
      <w:r>
        <w:rPr>
          <w:rFonts w:ascii="Times New Roman" w:hAnsi="Times New Roman" w:eastAsia="Times New Roman"/>
          <w:spacing w:val="-16"/>
        </w:rPr>
        <w:t> </w:t>
      </w:r>
      <w:r>
        <w:rPr>
          <w:rFonts w:ascii="Times New Roman" w:hAnsi="Times New Roman" w:eastAsia="Times New Roman"/>
        </w:rPr>
        <w:t>Revised</w:t>
      </w:r>
      <w:r>
        <w:rPr>
          <w:rFonts w:ascii="Times New Roman" w:hAnsi="Times New Roman" w:eastAsia="Times New Roman"/>
          <w:spacing w:val="-5"/>
        </w:rPr>
        <w:t> </w:t>
      </w:r>
      <w:r>
        <w:rPr>
          <w:rFonts w:ascii="Times New Roman" w:hAnsi="Times New Roman" w:eastAsia="Times New Roman"/>
        </w:rPr>
        <w:t>Clinical</w:t>
      </w:r>
      <w:r>
        <w:rPr>
          <w:rFonts w:ascii="Times New Roman" w:hAnsi="Times New Roman" w:eastAsia="Times New Roman"/>
          <w:spacing w:val="-6"/>
        </w:rPr>
        <w:t> </w:t>
      </w:r>
      <w:r>
        <w:rPr>
          <w:rFonts w:ascii="Times New Roman" w:hAnsi="Times New Roman" w:eastAsia="Times New Roman"/>
        </w:rPr>
        <w:t>Guidelines</w:t>
      </w:r>
      <w:r>
        <w:rPr>
          <w:rFonts w:ascii="Times New Roman" w:hAnsi="Times New Roman" w:eastAsia="Times New Roman"/>
          <w:spacing w:val="-6"/>
        </w:rPr>
        <w:t> </w:t>
      </w:r>
      <w:r>
        <w:rPr>
          <w:rFonts w:ascii="Times New Roman" w:hAnsi="Times New Roman" w:eastAsia="Times New Roman"/>
        </w:rPr>
        <w:t>for</w:t>
      </w:r>
      <w:r>
        <w:rPr>
          <w:rFonts w:ascii="Times New Roman" w:hAnsi="Times New Roman" w:eastAsia="Times New Roman"/>
          <w:spacing w:val="-18"/>
        </w:rPr>
        <w:t> </w:t>
      </w:r>
      <w:r>
        <w:rPr>
          <w:rFonts w:ascii="Times New Roman" w:hAnsi="Times New Roman" w:eastAsia="Times New Roman"/>
        </w:rPr>
        <w:t>Alzheimer</w:t>
      </w:r>
      <w:r>
        <w:rPr/>
        <w:t>’</w:t>
      </w:r>
      <w:r>
        <w:rPr>
          <w:rFonts w:ascii="Times New Roman" w:hAnsi="Times New Roman" w:eastAsia="Times New Roman"/>
        </w:rPr>
        <w:t>s</w:t>
      </w:r>
      <w:r>
        <w:rPr/>
        <w:t>）</w:t>
      </w:r>
      <w:r>
        <w:rPr>
          <w:spacing w:val="-2"/>
        </w:rPr>
        <w:t>，其中包括在</w:t>
      </w:r>
      <w:r>
        <w:rPr>
          <w:spacing w:val="-5"/>
        </w:rPr>
        <w:t>临床设置中使用基于血液生物标志物检测的建议。</w:t>
      </w:r>
      <w:r>
        <w:rPr>
          <w:color w:val="333333"/>
          <w:spacing w:val="-8"/>
        </w:rPr>
        <w:t>瑞典在三月份的 </w:t>
      </w:r>
      <w:r>
        <w:rPr>
          <w:rFonts w:ascii="Times New Roman" w:hAnsi="Times New Roman" w:eastAsia="Times New Roman"/>
        </w:rPr>
        <w:t>ADPD</w:t>
      </w:r>
      <w:r>
        <w:rPr>
          <w:rFonts w:ascii="Times New Roman" w:hAnsi="Times New Roman" w:eastAsia="Times New Roman"/>
          <w:spacing w:val="14"/>
        </w:rPr>
        <w:t> </w:t>
      </w:r>
      <w:r>
        <w:rPr>
          <w:spacing w:val="-3"/>
        </w:rPr>
        <w:t>会</w:t>
      </w:r>
      <w:r>
        <w:rPr>
          <w:color w:val="333333"/>
        </w:rPr>
        <w:t>议上</w:t>
      </w:r>
      <w:r>
        <w:rPr>
          <w:color w:val="333333"/>
          <w:spacing w:val="-3"/>
        </w:rPr>
        <w:t>发表的研究表明，生物标志物比初级保健医生的分析更可靠。</w:t>
      </w:r>
      <w:r>
        <w:rPr>
          <w:spacing w:val="-3"/>
        </w:rPr>
        <w:t>本次新修订中，指南撰写组未指定生物标志物的参考值，确切标准应等待日后学界研究明确，这对</w:t>
      </w:r>
      <w:r>
        <w:rPr>
          <w:spacing w:val="-6"/>
        </w:rPr>
        <w:t>诊断准确性的挑战非常大，因此《修订版 </w:t>
      </w:r>
      <w:r>
        <w:rPr>
          <w:rFonts w:ascii="Times New Roman" w:hAnsi="Times New Roman" w:eastAsia="Times New Roman"/>
        </w:rPr>
        <w:t>NIA-AA</w:t>
      </w:r>
      <w:r>
        <w:rPr>
          <w:rFonts w:ascii="Times New Roman" w:hAnsi="Times New Roman" w:eastAsia="Times New Roman"/>
          <w:spacing w:val="8"/>
        </w:rPr>
        <w:t> </w:t>
      </w:r>
      <w:r>
        <w:rPr>
          <w:spacing w:val="-9"/>
        </w:rPr>
        <w:t>指南》给出了 </w:t>
      </w:r>
      <w:r>
        <w:rPr>
          <w:rFonts w:ascii="Times New Roman" w:hAnsi="Times New Roman" w:eastAsia="Times New Roman"/>
        </w:rPr>
        <w:t>3</w:t>
      </w:r>
      <w:r>
        <w:rPr>
          <w:rFonts w:ascii="Times New Roman" w:hAnsi="Times New Roman" w:eastAsia="Times New Roman"/>
          <w:spacing w:val="10"/>
        </w:rPr>
        <w:t> </w:t>
      </w:r>
      <w:r>
        <w:rPr>
          <w:spacing w:val="-3"/>
        </w:rPr>
        <w:t>条防止误诊的保护性措施。</w:t>
      </w:r>
    </w:p>
    <w:p>
      <w:pPr>
        <w:pStyle w:val="ListParagraph"/>
        <w:numPr>
          <w:ilvl w:val="0"/>
          <w:numId w:val="6"/>
        </w:numPr>
        <w:tabs>
          <w:tab w:pos="3445" w:val="left" w:leader="none"/>
        </w:tabs>
        <w:spacing w:line="240" w:lineRule="auto" w:before="8" w:after="0"/>
        <w:ind w:left="3445" w:right="0" w:hanging="282"/>
        <w:jc w:val="left"/>
        <w:rPr>
          <w:sz w:val="21"/>
        </w:rPr>
      </w:pPr>
      <w:r>
        <w:rPr>
          <w:spacing w:val="-6"/>
          <w:sz w:val="21"/>
        </w:rPr>
        <w:t>只有经过严格验证的生物标志物</w:t>
      </w:r>
      <w:r>
        <w:rPr>
          <w:sz w:val="21"/>
        </w:rPr>
        <w:t>（</w:t>
      </w:r>
      <w:r>
        <w:rPr>
          <w:spacing w:val="-9"/>
          <w:sz w:val="21"/>
        </w:rPr>
        <w:t>血、脑脊液或 </w:t>
      </w:r>
      <w:r>
        <w:rPr>
          <w:rFonts w:ascii="Times New Roman" w:eastAsia="Times New Roman"/>
          <w:spacing w:val="-10"/>
          <w:sz w:val="21"/>
        </w:rPr>
        <w:t>PET</w:t>
      </w:r>
      <w:r>
        <w:rPr>
          <w:spacing w:val="-10"/>
          <w:sz w:val="21"/>
        </w:rPr>
        <w:t>）</w:t>
      </w:r>
      <w:r>
        <w:rPr>
          <w:spacing w:val="-3"/>
          <w:sz w:val="21"/>
        </w:rPr>
        <w:t>才可应用于临床诊断；</w:t>
      </w:r>
    </w:p>
    <w:p>
      <w:pPr>
        <w:pStyle w:val="ListParagraph"/>
        <w:numPr>
          <w:ilvl w:val="0"/>
          <w:numId w:val="6"/>
        </w:numPr>
        <w:tabs>
          <w:tab w:pos="3445" w:val="left" w:leader="none"/>
        </w:tabs>
        <w:spacing w:line="240" w:lineRule="auto" w:before="70" w:after="0"/>
        <w:ind w:left="3445" w:right="0" w:hanging="282"/>
        <w:jc w:val="left"/>
        <w:rPr>
          <w:sz w:val="21"/>
        </w:rPr>
      </w:pPr>
      <w:r>
        <w:rPr>
          <w:spacing w:val="-3"/>
          <w:sz w:val="21"/>
        </w:rPr>
        <w:t>建议对所有生物标志物阈值附近的结果行保守解释</w:t>
      </w:r>
    </w:p>
    <w:p>
      <w:pPr>
        <w:pStyle w:val="ListParagraph"/>
        <w:numPr>
          <w:ilvl w:val="0"/>
          <w:numId w:val="6"/>
        </w:numPr>
        <w:tabs>
          <w:tab w:pos="3445" w:val="left" w:leader="none"/>
        </w:tabs>
        <w:spacing w:line="240" w:lineRule="auto" w:before="72" w:after="0"/>
        <w:ind w:left="3445" w:right="0" w:hanging="282"/>
        <w:jc w:val="left"/>
        <w:rPr>
          <w:sz w:val="21"/>
        </w:rPr>
      </w:pPr>
      <w:r>
        <w:rPr>
          <w:spacing w:val="-3"/>
          <w:sz w:val="21"/>
        </w:rPr>
        <w:t>生物标志物不应单独使用，一切应该以临床为导向</w:t>
      </w:r>
    </w:p>
    <w:p>
      <w:pPr>
        <w:pStyle w:val="BodyText"/>
        <w:rPr>
          <w:sz w:val="20"/>
        </w:rPr>
      </w:pPr>
    </w:p>
    <w:p>
      <w:pPr>
        <w:pStyle w:val="BodyText"/>
        <w:spacing w:before="11"/>
        <w:rPr>
          <w:sz w:val="10"/>
        </w:rPr>
      </w:pPr>
    </w:p>
    <w:tbl>
      <w:tblPr>
        <w:tblW w:w="0" w:type="auto"/>
        <w:jc w:val="left"/>
        <w:tblInd w:w="6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69"/>
        <w:gridCol w:w="1678"/>
        <w:gridCol w:w="7532"/>
      </w:tblGrid>
      <w:tr>
        <w:trPr>
          <w:trHeight w:val="315" w:hRule="atLeast"/>
        </w:trPr>
        <w:tc>
          <w:tcPr>
            <w:tcW w:w="10179" w:type="dxa"/>
            <w:gridSpan w:val="3"/>
            <w:tcBorders>
              <w:bottom w:val="single" w:sz="4" w:space="0" w:color="000000"/>
            </w:tcBorders>
          </w:tcPr>
          <w:p>
            <w:pPr>
              <w:pStyle w:val="TableParagraph"/>
              <w:spacing w:line="295" w:lineRule="exact"/>
              <w:ind w:left="136"/>
              <w:rPr>
                <w:rFonts w:ascii="Microsoft JhengHei" w:eastAsia="Microsoft JhengHei" w:hint="eastAsia"/>
                <w:b/>
                <w:sz w:val="21"/>
              </w:rPr>
            </w:pPr>
            <w:bookmarkStart w:name="_bookmark24" w:id="37"/>
            <w:bookmarkEnd w:id="37"/>
            <w:r>
              <w:rPr/>
            </w:r>
            <w:r>
              <w:rPr>
                <w:rFonts w:ascii="Microsoft JhengHei" w:eastAsia="Microsoft JhengHei" w:hint="eastAsia"/>
                <w:b/>
                <w:sz w:val="21"/>
              </w:rPr>
              <w:t>表 </w:t>
            </w:r>
            <w:r>
              <w:rPr>
                <w:rFonts w:ascii="Times New Roman" w:eastAsia="Times New Roman"/>
                <w:b/>
                <w:sz w:val="21"/>
              </w:rPr>
              <w:t>4</w:t>
            </w:r>
            <w:r>
              <w:rPr>
                <w:rFonts w:ascii="Microsoft JhengHei" w:eastAsia="Microsoft JhengHei" w:hint="eastAsia"/>
                <w:b/>
                <w:sz w:val="21"/>
              </w:rPr>
              <w:t>、</w:t>
            </w:r>
            <w:r>
              <w:rPr>
                <w:rFonts w:ascii="Times New Roman" w:eastAsia="Times New Roman"/>
                <w:b/>
                <w:sz w:val="21"/>
              </w:rPr>
              <w:t>AD </w:t>
            </w:r>
            <w:r>
              <w:rPr>
                <w:rFonts w:ascii="Microsoft JhengHei" w:eastAsia="Microsoft JhengHei" w:hint="eastAsia"/>
                <w:b/>
                <w:sz w:val="21"/>
              </w:rPr>
              <w:t>诊断标准发展历程，</w:t>
            </w:r>
            <w:r>
              <w:rPr>
                <w:rFonts w:ascii="Times New Roman" w:eastAsia="Times New Roman"/>
                <w:b/>
                <w:sz w:val="21"/>
              </w:rPr>
              <w:t>1984-2023 </w:t>
            </w:r>
            <w:r>
              <w:rPr>
                <w:rFonts w:ascii="Microsoft JhengHei" w:eastAsia="Microsoft JhengHei" w:hint="eastAsia"/>
                <w:b/>
                <w:sz w:val="21"/>
              </w:rPr>
              <w:t>年</w:t>
            </w:r>
          </w:p>
        </w:tc>
      </w:tr>
      <w:tr>
        <w:trPr>
          <w:trHeight w:val="292" w:hRule="atLeast"/>
        </w:trPr>
        <w:tc>
          <w:tcPr>
            <w:tcW w:w="969" w:type="dxa"/>
            <w:tcBorders>
              <w:top w:val="single" w:sz="4" w:space="0" w:color="000000"/>
              <w:bottom w:val="single" w:sz="4" w:space="0" w:color="000000"/>
            </w:tcBorders>
            <w:shd w:val="clear" w:color="auto" w:fill="DEEBF6"/>
          </w:tcPr>
          <w:p>
            <w:pPr>
              <w:pStyle w:val="TableParagraph"/>
              <w:spacing w:line="272" w:lineRule="exact"/>
              <w:ind w:left="136"/>
              <w:rPr>
                <w:rFonts w:ascii="Microsoft JhengHei" w:eastAsia="Microsoft JhengHei" w:hint="eastAsia"/>
                <w:b/>
                <w:sz w:val="18"/>
              </w:rPr>
            </w:pPr>
            <w:r>
              <w:rPr>
                <w:rFonts w:ascii="Microsoft JhengHei" w:eastAsia="Microsoft JhengHei" w:hint="eastAsia"/>
                <w:b/>
                <w:sz w:val="18"/>
              </w:rPr>
              <w:t>时间</w:t>
            </w:r>
          </w:p>
        </w:tc>
        <w:tc>
          <w:tcPr>
            <w:tcW w:w="1678" w:type="dxa"/>
            <w:tcBorders>
              <w:top w:val="single" w:sz="4" w:space="0" w:color="000000"/>
              <w:bottom w:val="single" w:sz="4" w:space="0" w:color="000000"/>
            </w:tcBorders>
            <w:shd w:val="clear" w:color="auto" w:fill="DEEBF6"/>
          </w:tcPr>
          <w:p>
            <w:pPr>
              <w:pStyle w:val="TableParagraph"/>
              <w:spacing w:line="272" w:lineRule="exact"/>
              <w:ind w:left="873" w:right="404"/>
              <w:jc w:val="center"/>
              <w:rPr>
                <w:rFonts w:ascii="Microsoft JhengHei" w:eastAsia="Microsoft JhengHei" w:hint="eastAsia"/>
                <w:b/>
                <w:sz w:val="18"/>
              </w:rPr>
            </w:pPr>
            <w:r>
              <w:rPr>
                <w:rFonts w:ascii="Microsoft JhengHei" w:eastAsia="Microsoft JhengHei" w:hint="eastAsia"/>
                <w:b/>
                <w:sz w:val="18"/>
              </w:rPr>
              <w:t>标准</w:t>
            </w:r>
          </w:p>
        </w:tc>
        <w:tc>
          <w:tcPr>
            <w:tcW w:w="7532" w:type="dxa"/>
            <w:tcBorders>
              <w:top w:val="single" w:sz="4" w:space="0" w:color="000000"/>
              <w:bottom w:val="single" w:sz="4" w:space="0" w:color="000000"/>
            </w:tcBorders>
            <w:shd w:val="clear" w:color="auto" w:fill="DEEBF6"/>
          </w:tcPr>
          <w:p>
            <w:pPr>
              <w:pStyle w:val="TableParagraph"/>
              <w:spacing w:line="272" w:lineRule="exact"/>
              <w:ind w:left="3632" w:right="3500"/>
              <w:jc w:val="center"/>
              <w:rPr>
                <w:rFonts w:ascii="Microsoft JhengHei" w:eastAsia="Microsoft JhengHei" w:hint="eastAsia"/>
                <w:b/>
                <w:sz w:val="18"/>
              </w:rPr>
            </w:pPr>
            <w:r>
              <w:rPr>
                <w:rFonts w:ascii="Microsoft JhengHei" w:eastAsia="Microsoft JhengHei" w:hint="eastAsia"/>
                <w:b/>
                <w:sz w:val="18"/>
              </w:rPr>
              <w:t>介绍</w:t>
            </w:r>
          </w:p>
        </w:tc>
      </w:tr>
      <w:tr>
        <w:trPr>
          <w:trHeight w:val="873" w:hRule="atLeast"/>
        </w:trPr>
        <w:tc>
          <w:tcPr>
            <w:tcW w:w="969" w:type="dxa"/>
            <w:tcBorders>
              <w:top w:val="single" w:sz="4" w:space="0" w:color="000000"/>
              <w:bottom w:val="single" w:sz="4" w:space="0" w:color="000000"/>
            </w:tcBorders>
          </w:tcPr>
          <w:p>
            <w:pPr>
              <w:pStyle w:val="TableParagraph"/>
              <w:spacing w:before="10"/>
              <w:rPr>
                <w:sz w:val="22"/>
              </w:rPr>
            </w:pPr>
          </w:p>
          <w:p>
            <w:pPr>
              <w:pStyle w:val="TableParagraph"/>
              <w:ind w:left="136"/>
              <w:rPr>
                <w:sz w:val="18"/>
              </w:rPr>
            </w:pPr>
            <w:r>
              <w:rPr>
                <w:rFonts w:ascii="Times New Roman" w:eastAsia="Times New Roman"/>
                <w:sz w:val="18"/>
              </w:rPr>
              <w:t>1984 </w:t>
            </w:r>
            <w:r>
              <w:rPr>
                <w:sz w:val="18"/>
              </w:rPr>
              <w:t>年</w:t>
            </w:r>
          </w:p>
        </w:tc>
        <w:tc>
          <w:tcPr>
            <w:tcW w:w="1678" w:type="dxa"/>
            <w:tcBorders>
              <w:top w:val="single" w:sz="4" w:space="0" w:color="000000"/>
              <w:bottom w:val="single" w:sz="4" w:space="0" w:color="000000"/>
            </w:tcBorders>
          </w:tcPr>
          <w:p>
            <w:pPr>
              <w:pStyle w:val="TableParagraph"/>
              <w:spacing w:line="302" w:lineRule="auto" w:before="160"/>
              <w:ind w:left="550" w:right="81" w:firstLine="158"/>
              <w:rPr>
                <w:sz w:val="18"/>
              </w:rPr>
            </w:pPr>
            <w:r>
              <w:rPr>
                <w:rFonts w:ascii="Times New Roman" w:eastAsia="Times New Roman"/>
                <w:sz w:val="18"/>
              </w:rPr>
              <w:t>NINCDS- ADRDA </w:t>
            </w:r>
            <w:r>
              <w:rPr>
                <w:sz w:val="18"/>
              </w:rPr>
              <w:t>标准</w:t>
            </w:r>
          </w:p>
        </w:tc>
        <w:tc>
          <w:tcPr>
            <w:tcW w:w="7532" w:type="dxa"/>
            <w:tcBorders>
              <w:top w:val="single" w:sz="4" w:space="0" w:color="000000"/>
              <w:bottom w:val="single" w:sz="4" w:space="0" w:color="000000"/>
            </w:tcBorders>
          </w:tcPr>
          <w:p>
            <w:pPr>
              <w:pStyle w:val="TableParagraph"/>
              <w:spacing w:before="2"/>
              <w:ind w:left="238"/>
              <w:rPr>
                <w:sz w:val="18"/>
              </w:rPr>
            </w:pPr>
            <w:r>
              <w:rPr>
                <w:sz w:val="18"/>
              </w:rPr>
              <w:t>是第一个国际公认的 </w:t>
            </w:r>
            <w:r>
              <w:rPr>
                <w:rFonts w:ascii="Times New Roman" w:eastAsia="Times New Roman"/>
                <w:sz w:val="18"/>
              </w:rPr>
              <w:t>AD </w:t>
            </w:r>
            <w:r>
              <w:rPr>
                <w:sz w:val="18"/>
              </w:rPr>
              <w:t>诊断标准，该诊断标准主要为排除性诊断，缺乏诊断主动性。</w:t>
            </w:r>
          </w:p>
          <w:p>
            <w:pPr>
              <w:pStyle w:val="TableParagraph"/>
              <w:spacing w:line="292" w:lineRule="exact" w:before="6"/>
              <w:ind w:left="238" w:right="67"/>
              <w:rPr>
                <w:sz w:val="18"/>
              </w:rPr>
            </w:pPr>
            <w:r>
              <w:rPr>
                <w:sz w:val="18"/>
              </w:rPr>
              <w:t>患者生前只能诊断为很可能的 </w:t>
            </w:r>
            <w:r>
              <w:rPr>
                <w:rFonts w:ascii="Times New Roman" w:eastAsia="Times New Roman"/>
                <w:sz w:val="18"/>
              </w:rPr>
              <w:t>AD</w:t>
            </w:r>
            <w:r>
              <w:rPr>
                <w:sz w:val="18"/>
              </w:rPr>
              <w:t>，只有等到患者死后尸体解剖得到病理学依据时才能诊断为确定病症。</w:t>
            </w:r>
          </w:p>
        </w:tc>
      </w:tr>
      <w:tr>
        <w:trPr>
          <w:trHeight w:val="739" w:hRule="atLeast"/>
        </w:trPr>
        <w:tc>
          <w:tcPr>
            <w:tcW w:w="969" w:type="dxa"/>
            <w:tcBorders>
              <w:top w:val="single" w:sz="4" w:space="0" w:color="000000"/>
            </w:tcBorders>
          </w:tcPr>
          <w:p>
            <w:pPr>
              <w:pStyle w:val="TableParagraph"/>
              <w:spacing w:before="148"/>
              <w:ind w:left="136"/>
              <w:rPr>
                <w:sz w:val="18"/>
              </w:rPr>
            </w:pPr>
            <w:r>
              <w:rPr>
                <w:rFonts w:ascii="Times New Roman" w:eastAsia="Times New Roman"/>
                <w:sz w:val="18"/>
              </w:rPr>
              <w:t>1993 </w:t>
            </w:r>
            <w:r>
              <w:rPr>
                <w:sz w:val="18"/>
              </w:rPr>
              <w:t>年</w:t>
            </w:r>
          </w:p>
        </w:tc>
        <w:tc>
          <w:tcPr>
            <w:tcW w:w="1678" w:type="dxa"/>
            <w:tcBorders>
              <w:top w:val="single" w:sz="4" w:space="0" w:color="000000"/>
            </w:tcBorders>
          </w:tcPr>
          <w:p>
            <w:pPr>
              <w:pStyle w:val="TableParagraph"/>
              <w:spacing w:before="148"/>
              <w:ind w:left="466" w:right="-15"/>
              <w:jc w:val="center"/>
              <w:rPr>
                <w:sz w:val="18"/>
              </w:rPr>
            </w:pPr>
            <w:r>
              <w:rPr>
                <w:rFonts w:ascii="Times New Roman" w:eastAsia="Times New Roman"/>
                <w:sz w:val="18"/>
              </w:rPr>
              <w:t>ICD-10AD </w:t>
            </w:r>
            <w:r>
              <w:rPr>
                <w:sz w:val="18"/>
              </w:rPr>
              <w:t>标准</w:t>
            </w:r>
          </w:p>
        </w:tc>
        <w:tc>
          <w:tcPr>
            <w:tcW w:w="7532" w:type="dxa"/>
            <w:tcBorders>
              <w:top w:val="single" w:sz="4" w:space="0" w:color="000000"/>
            </w:tcBorders>
          </w:tcPr>
          <w:p>
            <w:pPr>
              <w:pStyle w:val="TableParagraph"/>
              <w:spacing w:line="302" w:lineRule="auto" w:before="4"/>
              <w:ind w:left="238" w:right="17"/>
              <w:rPr>
                <w:sz w:val="18"/>
              </w:rPr>
            </w:pPr>
            <w:r>
              <w:rPr>
                <w:spacing w:val="-9"/>
                <w:sz w:val="18"/>
              </w:rPr>
              <w:t>基于临床症状作出的诊断，以排除性诊断为主，相对简单，使得临床医生在工作中便于操作。</w:t>
            </w:r>
            <w:r>
              <w:rPr>
                <w:spacing w:val="-3"/>
                <w:sz w:val="18"/>
              </w:rPr>
              <w:t>但该诊断标准同样比较粗糙，缺乏与其他痴呆的鉴别，缺乏生物标记物等支持诊断依据，诊</w:t>
            </w:r>
          </w:p>
        </w:tc>
      </w:tr>
    </w:tbl>
    <w:p>
      <w:pPr>
        <w:spacing w:after="0" w:line="302" w:lineRule="auto"/>
        <w:rPr>
          <w:sz w:val="18"/>
        </w:rPr>
        <w:sectPr>
          <w:headerReference w:type="default" r:id="rId29"/>
          <w:footerReference w:type="default" r:id="rId30"/>
          <w:pgSz w:w="11910" w:h="16840"/>
          <w:pgMar w:header="868" w:footer="1172" w:top="1400" w:bottom="1360" w:left="240" w:right="400"/>
        </w:sectPr>
      </w:pPr>
    </w:p>
    <w:p>
      <w:pPr>
        <w:pStyle w:val="BodyText"/>
        <w:spacing w:before="4"/>
        <w:rPr>
          <w:sz w:val="13"/>
        </w:rPr>
      </w:pPr>
      <w:r>
        <w:rPr/>
        <w:pict>
          <v:rect style="position:absolute;margin-left:42.720001pt;margin-top:767.880005pt;width:508.08pt;height:1.44pt;mso-position-horizontal-relative:page;mso-position-vertical-relative:page;z-index:15745536" filled="true" fillcolor="#333366" stroked="false">
            <v:fill type="solid"/>
            <w10:wrap type="none"/>
          </v:rect>
        </w:pict>
      </w:r>
    </w:p>
    <w:tbl>
      <w:tblPr>
        <w:tblW w:w="0" w:type="auto"/>
        <w:jc w:val="left"/>
        <w:tblInd w:w="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46"/>
        <w:gridCol w:w="1560"/>
        <w:gridCol w:w="7444"/>
      </w:tblGrid>
      <w:tr>
        <w:trPr>
          <w:trHeight w:val="289" w:hRule="atLeast"/>
        </w:trPr>
        <w:tc>
          <w:tcPr>
            <w:tcW w:w="1146" w:type="dxa"/>
            <w:tcBorders>
              <w:top w:val="single" w:sz="12" w:space="0" w:color="333366"/>
              <w:bottom w:val="single" w:sz="4" w:space="0" w:color="000000"/>
            </w:tcBorders>
          </w:tcPr>
          <w:p>
            <w:pPr>
              <w:pStyle w:val="TableParagraph"/>
              <w:rPr>
                <w:rFonts w:ascii="Times New Roman"/>
                <w:sz w:val="18"/>
              </w:rPr>
            </w:pPr>
          </w:p>
        </w:tc>
        <w:tc>
          <w:tcPr>
            <w:tcW w:w="1560" w:type="dxa"/>
            <w:tcBorders>
              <w:top w:val="single" w:sz="12" w:space="0" w:color="333366"/>
              <w:bottom w:val="single" w:sz="4" w:space="0" w:color="000000"/>
            </w:tcBorders>
          </w:tcPr>
          <w:p>
            <w:pPr>
              <w:pStyle w:val="TableParagraph"/>
              <w:rPr>
                <w:rFonts w:ascii="Times New Roman"/>
                <w:sz w:val="18"/>
              </w:rPr>
            </w:pPr>
          </w:p>
        </w:tc>
        <w:tc>
          <w:tcPr>
            <w:tcW w:w="7444" w:type="dxa"/>
            <w:tcBorders>
              <w:top w:val="single" w:sz="12" w:space="0" w:color="333366"/>
              <w:bottom w:val="single" w:sz="4" w:space="0" w:color="000000"/>
            </w:tcBorders>
          </w:tcPr>
          <w:p>
            <w:pPr>
              <w:pStyle w:val="TableParagraph"/>
              <w:spacing w:before="1"/>
              <w:ind w:left="151"/>
              <w:rPr>
                <w:sz w:val="18"/>
              </w:rPr>
            </w:pPr>
            <w:r>
              <w:rPr>
                <w:sz w:val="18"/>
              </w:rPr>
              <w:t>断特异性很差。</w:t>
            </w:r>
          </w:p>
        </w:tc>
      </w:tr>
      <w:tr>
        <w:trPr>
          <w:trHeight w:val="1168" w:hRule="atLeast"/>
        </w:trPr>
        <w:tc>
          <w:tcPr>
            <w:tcW w:w="1146" w:type="dxa"/>
            <w:tcBorders>
              <w:top w:val="single" w:sz="4" w:space="0" w:color="000000"/>
              <w:bottom w:val="single" w:sz="4" w:space="0" w:color="000000"/>
            </w:tcBorders>
          </w:tcPr>
          <w:p>
            <w:pPr>
              <w:pStyle w:val="TableParagraph"/>
              <w:rPr>
                <w:sz w:val="20"/>
              </w:rPr>
            </w:pPr>
          </w:p>
          <w:p>
            <w:pPr>
              <w:pStyle w:val="TableParagraph"/>
              <w:spacing w:before="5"/>
              <w:rPr>
                <w:sz w:val="14"/>
              </w:rPr>
            </w:pPr>
          </w:p>
          <w:p>
            <w:pPr>
              <w:pStyle w:val="TableParagraph"/>
              <w:ind w:left="108"/>
              <w:rPr>
                <w:sz w:val="18"/>
              </w:rPr>
            </w:pPr>
            <w:r>
              <w:rPr>
                <w:rFonts w:ascii="Times New Roman" w:eastAsia="Times New Roman"/>
                <w:sz w:val="18"/>
              </w:rPr>
              <w:t>1994 </w:t>
            </w:r>
            <w:r>
              <w:rPr>
                <w:sz w:val="18"/>
              </w:rPr>
              <w:t>年</w:t>
            </w:r>
          </w:p>
        </w:tc>
        <w:tc>
          <w:tcPr>
            <w:tcW w:w="1560" w:type="dxa"/>
            <w:tcBorders>
              <w:top w:val="single" w:sz="4" w:space="0" w:color="000000"/>
              <w:bottom w:val="single" w:sz="4" w:space="0" w:color="000000"/>
            </w:tcBorders>
          </w:tcPr>
          <w:p>
            <w:pPr>
              <w:pStyle w:val="TableParagraph"/>
              <w:rPr>
                <w:sz w:val="23"/>
              </w:rPr>
            </w:pPr>
          </w:p>
          <w:p>
            <w:pPr>
              <w:pStyle w:val="TableParagraph"/>
              <w:ind w:left="213" w:right="35"/>
              <w:jc w:val="center"/>
              <w:rPr>
                <w:sz w:val="18"/>
              </w:rPr>
            </w:pPr>
            <w:r>
              <w:rPr>
                <w:rFonts w:ascii="Times New Roman" w:eastAsia="Times New Roman"/>
                <w:sz w:val="18"/>
              </w:rPr>
              <w:t>DSM-IV-TR </w:t>
            </w:r>
            <w:r>
              <w:rPr>
                <w:sz w:val="18"/>
              </w:rPr>
              <w:t>标</w:t>
            </w:r>
          </w:p>
          <w:p>
            <w:pPr>
              <w:pStyle w:val="TableParagraph"/>
              <w:spacing w:before="60"/>
              <w:ind w:left="174"/>
              <w:jc w:val="center"/>
              <w:rPr>
                <w:sz w:val="18"/>
              </w:rPr>
            </w:pPr>
            <w:r>
              <w:rPr>
                <w:sz w:val="18"/>
              </w:rPr>
              <w:t>准</w:t>
            </w:r>
          </w:p>
        </w:tc>
        <w:tc>
          <w:tcPr>
            <w:tcW w:w="7444" w:type="dxa"/>
            <w:tcBorders>
              <w:top w:val="single" w:sz="4" w:space="0" w:color="000000"/>
              <w:bottom w:val="single" w:sz="4" w:space="0" w:color="000000"/>
            </w:tcBorders>
          </w:tcPr>
          <w:p>
            <w:pPr>
              <w:pStyle w:val="TableParagraph"/>
              <w:spacing w:before="2"/>
              <w:ind w:left="151"/>
              <w:rPr>
                <w:sz w:val="18"/>
              </w:rPr>
            </w:pPr>
            <w:r>
              <w:rPr>
                <w:sz w:val="18"/>
              </w:rPr>
              <w:t>符合痴呆标准。</w:t>
            </w:r>
          </w:p>
          <w:p>
            <w:pPr>
              <w:pStyle w:val="TableParagraph"/>
              <w:spacing w:line="302" w:lineRule="auto" w:before="62"/>
              <w:ind w:left="151" w:right="2198"/>
              <w:rPr>
                <w:sz w:val="18"/>
              </w:rPr>
            </w:pPr>
            <w:r>
              <w:rPr>
                <w:sz w:val="18"/>
              </w:rPr>
              <w:t>痴呆的发生和发展符合 </w:t>
            </w:r>
            <w:r>
              <w:rPr>
                <w:rFonts w:ascii="Times New Roman" w:eastAsia="Times New Roman"/>
                <w:sz w:val="18"/>
              </w:rPr>
              <w:t>AD </w:t>
            </w:r>
            <w:r>
              <w:rPr>
                <w:sz w:val="18"/>
              </w:rPr>
              <w:t>的特征：潜隐性起病、进行性恶化。需排除其他原因导致的痴呆。</w:t>
            </w:r>
          </w:p>
          <w:p>
            <w:pPr>
              <w:pStyle w:val="TableParagraph"/>
              <w:spacing w:before="2"/>
              <w:ind w:left="151"/>
              <w:rPr>
                <w:sz w:val="18"/>
              </w:rPr>
            </w:pPr>
            <w:r>
              <w:rPr>
                <w:sz w:val="18"/>
              </w:rPr>
              <w:t>要求记忆或认知损害影响日常生活。</w:t>
            </w:r>
          </w:p>
        </w:tc>
      </w:tr>
      <w:tr>
        <w:trPr>
          <w:trHeight w:val="875" w:hRule="atLeast"/>
        </w:trPr>
        <w:tc>
          <w:tcPr>
            <w:tcW w:w="1146" w:type="dxa"/>
            <w:tcBorders>
              <w:top w:val="single" w:sz="4" w:space="0" w:color="000000"/>
              <w:bottom w:val="single" w:sz="4" w:space="0" w:color="000000"/>
            </w:tcBorders>
          </w:tcPr>
          <w:p>
            <w:pPr>
              <w:pStyle w:val="TableParagraph"/>
              <w:spacing w:before="10"/>
              <w:rPr>
                <w:sz w:val="22"/>
              </w:rPr>
            </w:pPr>
          </w:p>
          <w:p>
            <w:pPr>
              <w:pStyle w:val="TableParagraph"/>
              <w:ind w:left="108"/>
              <w:rPr>
                <w:sz w:val="18"/>
              </w:rPr>
            </w:pPr>
            <w:r>
              <w:rPr>
                <w:rFonts w:ascii="Times New Roman" w:eastAsia="Times New Roman"/>
                <w:sz w:val="18"/>
              </w:rPr>
              <w:t>2007-2010 </w:t>
            </w:r>
            <w:r>
              <w:rPr>
                <w:sz w:val="18"/>
              </w:rPr>
              <w:t>年</w:t>
            </w:r>
          </w:p>
        </w:tc>
        <w:tc>
          <w:tcPr>
            <w:tcW w:w="1560" w:type="dxa"/>
            <w:tcBorders>
              <w:top w:val="single" w:sz="4" w:space="0" w:color="000000"/>
              <w:bottom w:val="single" w:sz="4" w:space="0" w:color="000000"/>
            </w:tcBorders>
          </w:tcPr>
          <w:p>
            <w:pPr>
              <w:pStyle w:val="TableParagraph"/>
              <w:spacing w:before="10"/>
              <w:rPr>
                <w:sz w:val="22"/>
              </w:rPr>
            </w:pPr>
          </w:p>
          <w:p>
            <w:pPr>
              <w:pStyle w:val="TableParagraph"/>
              <w:ind w:left="211" w:right="37"/>
              <w:jc w:val="center"/>
              <w:rPr>
                <w:sz w:val="18"/>
              </w:rPr>
            </w:pPr>
            <w:r>
              <w:rPr>
                <w:rFonts w:ascii="Times New Roman" w:eastAsia="Times New Roman"/>
                <w:sz w:val="18"/>
              </w:rPr>
              <w:t>IWG </w:t>
            </w:r>
            <w:r>
              <w:rPr>
                <w:sz w:val="18"/>
              </w:rPr>
              <w:t>标准</w:t>
            </w:r>
          </w:p>
        </w:tc>
        <w:tc>
          <w:tcPr>
            <w:tcW w:w="7444" w:type="dxa"/>
            <w:tcBorders>
              <w:top w:val="single" w:sz="4" w:space="0" w:color="000000"/>
              <w:bottom w:val="single" w:sz="4" w:space="0" w:color="000000"/>
            </w:tcBorders>
          </w:tcPr>
          <w:p>
            <w:pPr>
              <w:pStyle w:val="TableParagraph"/>
              <w:spacing w:line="274" w:lineRule="exact"/>
              <w:ind w:left="151"/>
              <w:rPr>
                <w:sz w:val="18"/>
              </w:rPr>
            </w:pPr>
            <w:r>
              <w:rPr>
                <w:rFonts w:ascii="Times New Roman" w:eastAsia="Times New Roman"/>
                <w:sz w:val="18"/>
              </w:rPr>
              <w:t>2007 </w:t>
            </w:r>
            <w:r>
              <w:rPr>
                <w:sz w:val="18"/>
              </w:rPr>
              <w:t>年，最大创新是将</w:t>
            </w:r>
            <w:r>
              <w:rPr>
                <w:rFonts w:ascii="Microsoft JhengHei" w:eastAsia="Microsoft JhengHei" w:hint="eastAsia"/>
                <w:b/>
                <w:sz w:val="18"/>
              </w:rPr>
              <w:t>生物标志物</w:t>
            </w:r>
            <w:r>
              <w:rPr>
                <w:sz w:val="18"/>
              </w:rPr>
              <w:t>纳入到核心诊断标准。</w:t>
            </w:r>
          </w:p>
          <w:p>
            <w:pPr>
              <w:pStyle w:val="TableParagraph"/>
              <w:spacing w:before="19"/>
              <w:ind w:left="151"/>
              <w:rPr>
                <w:sz w:val="18"/>
              </w:rPr>
            </w:pPr>
            <w:r>
              <w:rPr>
                <w:rFonts w:ascii="Times New Roman" w:eastAsia="Times New Roman"/>
                <w:sz w:val="18"/>
              </w:rPr>
              <w:t>2010 </w:t>
            </w:r>
            <w:r>
              <w:rPr>
                <w:sz w:val="18"/>
              </w:rPr>
              <w:t>年，明确了 </w:t>
            </w:r>
            <w:r>
              <w:rPr>
                <w:rFonts w:ascii="Times New Roman" w:eastAsia="Times New Roman"/>
                <w:sz w:val="18"/>
              </w:rPr>
              <w:t>AD </w:t>
            </w:r>
            <w:r>
              <w:rPr>
                <w:sz w:val="18"/>
              </w:rPr>
              <w:t>仅指临床发展过程，包括痴呆前阶段和痴呆期，并通过临床特征加生物</w:t>
            </w:r>
          </w:p>
          <w:p>
            <w:pPr>
              <w:pStyle w:val="TableParagraph"/>
              <w:spacing w:before="62"/>
              <w:ind w:left="151"/>
              <w:rPr>
                <w:sz w:val="18"/>
              </w:rPr>
            </w:pPr>
            <w:r>
              <w:rPr>
                <w:sz w:val="18"/>
              </w:rPr>
              <w:t>标记物诊断。</w:t>
            </w:r>
          </w:p>
        </w:tc>
      </w:tr>
      <w:tr>
        <w:trPr>
          <w:trHeight w:val="873" w:hRule="atLeast"/>
        </w:trPr>
        <w:tc>
          <w:tcPr>
            <w:tcW w:w="1146" w:type="dxa"/>
            <w:tcBorders>
              <w:top w:val="single" w:sz="4" w:space="0" w:color="000000"/>
              <w:bottom w:val="single" w:sz="4" w:space="0" w:color="000000"/>
            </w:tcBorders>
          </w:tcPr>
          <w:p>
            <w:pPr>
              <w:pStyle w:val="TableParagraph"/>
              <w:spacing w:before="10"/>
              <w:rPr>
                <w:sz w:val="22"/>
              </w:rPr>
            </w:pPr>
          </w:p>
          <w:p>
            <w:pPr>
              <w:pStyle w:val="TableParagraph"/>
              <w:ind w:left="108"/>
              <w:rPr>
                <w:sz w:val="18"/>
              </w:rPr>
            </w:pPr>
            <w:r>
              <w:rPr>
                <w:rFonts w:ascii="Times New Roman" w:eastAsia="Times New Roman"/>
                <w:sz w:val="18"/>
              </w:rPr>
              <w:t>2011-2018 </w:t>
            </w:r>
            <w:r>
              <w:rPr>
                <w:sz w:val="18"/>
              </w:rPr>
              <w:t>年</w:t>
            </w:r>
          </w:p>
        </w:tc>
        <w:tc>
          <w:tcPr>
            <w:tcW w:w="1560" w:type="dxa"/>
            <w:tcBorders>
              <w:top w:val="single" w:sz="4" w:space="0" w:color="000000"/>
              <w:bottom w:val="single" w:sz="4" w:space="0" w:color="000000"/>
            </w:tcBorders>
          </w:tcPr>
          <w:p>
            <w:pPr>
              <w:pStyle w:val="TableParagraph"/>
              <w:spacing w:before="10"/>
              <w:rPr>
                <w:sz w:val="22"/>
              </w:rPr>
            </w:pPr>
          </w:p>
          <w:p>
            <w:pPr>
              <w:pStyle w:val="TableParagraph"/>
              <w:ind w:left="211" w:right="37"/>
              <w:jc w:val="center"/>
              <w:rPr>
                <w:sz w:val="18"/>
              </w:rPr>
            </w:pPr>
            <w:r>
              <w:rPr>
                <w:rFonts w:ascii="Times New Roman" w:eastAsia="Times New Roman"/>
                <w:sz w:val="18"/>
              </w:rPr>
              <w:t>NIA-AA </w:t>
            </w:r>
            <w:r>
              <w:rPr>
                <w:sz w:val="18"/>
              </w:rPr>
              <w:t>指南</w:t>
            </w:r>
          </w:p>
        </w:tc>
        <w:tc>
          <w:tcPr>
            <w:tcW w:w="7444" w:type="dxa"/>
            <w:tcBorders>
              <w:top w:val="single" w:sz="4" w:space="0" w:color="000000"/>
              <w:bottom w:val="single" w:sz="4" w:space="0" w:color="000000"/>
            </w:tcBorders>
          </w:tcPr>
          <w:p>
            <w:pPr>
              <w:pStyle w:val="TableParagraph"/>
              <w:spacing w:line="253" w:lineRule="exact"/>
              <w:ind w:left="151"/>
              <w:rPr>
                <w:rFonts w:ascii="Microsoft JhengHei" w:eastAsia="Microsoft JhengHei" w:hint="eastAsia"/>
                <w:b/>
                <w:sz w:val="18"/>
              </w:rPr>
            </w:pPr>
            <w:r>
              <w:rPr>
                <w:rFonts w:ascii="Times New Roman" w:eastAsia="Times New Roman"/>
                <w:sz w:val="18"/>
              </w:rPr>
              <w:t>2011 </w:t>
            </w:r>
            <w:r>
              <w:rPr>
                <w:spacing w:val="-10"/>
                <w:sz w:val="18"/>
              </w:rPr>
              <w:t>年，分为了 </w:t>
            </w:r>
            <w:r>
              <w:rPr>
                <w:rFonts w:ascii="Times New Roman" w:eastAsia="Times New Roman"/>
                <w:sz w:val="18"/>
              </w:rPr>
              <w:t>3 </w:t>
            </w:r>
            <w:r>
              <w:rPr>
                <w:spacing w:val="-1"/>
                <w:sz w:val="18"/>
              </w:rPr>
              <w:t>个临床阶段：</w:t>
            </w:r>
            <w:r>
              <w:rPr>
                <w:rFonts w:ascii="Times New Roman" w:eastAsia="Times New Roman"/>
                <w:sz w:val="18"/>
              </w:rPr>
              <w:t>AD </w:t>
            </w:r>
            <w:r>
              <w:rPr>
                <w:spacing w:val="-1"/>
                <w:sz w:val="18"/>
              </w:rPr>
              <w:t>的临床前阶段、</w:t>
            </w:r>
            <w:r>
              <w:rPr>
                <w:rFonts w:ascii="Times New Roman" w:eastAsia="Times New Roman"/>
                <w:sz w:val="18"/>
              </w:rPr>
              <w:t>AD </w:t>
            </w:r>
            <w:r>
              <w:rPr>
                <w:spacing w:val="-15"/>
                <w:sz w:val="18"/>
              </w:rPr>
              <w:t>所致 </w:t>
            </w:r>
            <w:r>
              <w:rPr>
                <w:rFonts w:ascii="Times New Roman" w:eastAsia="Times New Roman"/>
                <w:sz w:val="18"/>
              </w:rPr>
              <w:t>MCI </w:t>
            </w:r>
            <w:r>
              <w:rPr>
                <w:spacing w:val="-12"/>
                <w:sz w:val="18"/>
              </w:rPr>
              <w:t>阶段和 </w:t>
            </w:r>
            <w:r>
              <w:rPr>
                <w:rFonts w:ascii="Times New Roman" w:eastAsia="Times New Roman"/>
                <w:sz w:val="18"/>
              </w:rPr>
              <w:t>AD </w:t>
            </w:r>
            <w:r>
              <w:rPr>
                <w:sz w:val="18"/>
              </w:rPr>
              <w:t>痴呆阶段，</w:t>
            </w:r>
            <w:r>
              <w:rPr>
                <w:rFonts w:ascii="Microsoft JhengHei" w:eastAsia="Microsoft JhengHei" w:hint="eastAsia"/>
                <w:b/>
                <w:sz w:val="18"/>
              </w:rPr>
              <w:t>将</w:t>
            </w:r>
          </w:p>
          <w:p>
            <w:pPr>
              <w:pStyle w:val="TableParagraph"/>
              <w:spacing w:line="292" w:lineRule="exact"/>
              <w:ind w:left="151"/>
              <w:rPr>
                <w:sz w:val="18"/>
              </w:rPr>
            </w:pPr>
            <w:r>
              <w:rPr>
                <w:rFonts w:ascii="Times New Roman" w:eastAsia="Times New Roman"/>
                <w:b/>
                <w:sz w:val="18"/>
              </w:rPr>
              <w:t>AD </w:t>
            </w:r>
            <w:r>
              <w:rPr>
                <w:rFonts w:ascii="Microsoft JhengHei" w:eastAsia="Microsoft JhengHei" w:hint="eastAsia"/>
                <w:b/>
                <w:sz w:val="18"/>
              </w:rPr>
              <w:t>临床前无症状阶段也纳入了 </w:t>
            </w:r>
            <w:r>
              <w:rPr>
                <w:rFonts w:ascii="Times New Roman" w:eastAsia="Times New Roman"/>
                <w:b/>
                <w:sz w:val="18"/>
              </w:rPr>
              <w:t>AD</w:t>
            </w:r>
            <w:r>
              <w:rPr>
                <w:sz w:val="18"/>
              </w:rPr>
              <w:t>，使得 </w:t>
            </w:r>
            <w:r>
              <w:rPr>
                <w:rFonts w:ascii="Times New Roman" w:eastAsia="Times New Roman"/>
                <w:sz w:val="18"/>
              </w:rPr>
              <w:t>AD </w:t>
            </w:r>
            <w:r>
              <w:rPr>
                <w:sz w:val="18"/>
              </w:rPr>
              <w:t>诊断前移，这是 </w:t>
            </w:r>
            <w:r>
              <w:rPr>
                <w:rFonts w:ascii="Times New Roman" w:eastAsia="Times New Roman"/>
                <w:sz w:val="18"/>
              </w:rPr>
              <w:t>AD </w:t>
            </w:r>
            <w:r>
              <w:rPr>
                <w:sz w:val="18"/>
              </w:rPr>
              <w:t>诊断史上的一次飞跃。</w:t>
            </w:r>
          </w:p>
          <w:p>
            <w:pPr>
              <w:pStyle w:val="TableParagraph"/>
              <w:spacing w:line="308" w:lineRule="exact"/>
              <w:ind w:left="151"/>
              <w:rPr>
                <w:sz w:val="18"/>
              </w:rPr>
            </w:pPr>
            <w:r>
              <w:rPr>
                <w:rFonts w:ascii="Times New Roman" w:eastAsia="Times New Roman"/>
                <w:sz w:val="18"/>
              </w:rPr>
              <w:t>2018 </w:t>
            </w:r>
            <w:r>
              <w:rPr>
                <w:sz w:val="18"/>
              </w:rPr>
              <w:t>年，将生物标志物分为 </w:t>
            </w:r>
            <w:r>
              <w:rPr>
                <w:rFonts w:ascii="Times New Roman" w:eastAsia="Times New Roman"/>
                <w:b/>
                <w:sz w:val="18"/>
              </w:rPr>
              <w:t>A </w:t>
            </w:r>
            <w:r>
              <w:rPr>
                <w:rFonts w:ascii="Microsoft JhengHei" w:eastAsia="Microsoft JhengHei" w:hint="eastAsia"/>
                <w:b/>
                <w:sz w:val="18"/>
              </w:rPr>
              <w:t>组、</w:t>
            </w:r>
            <w:r>
              <w:rPr>
                <w:rFonts w:ascii="Times New Roman" w:eastAsia="Times New Roman"/>
                <w:b/>
                <w:sz w:val="18"/>
              </w:rPr>
              <w:t>T </w:t>
            </w:r>
            <w:r>
              <w:rPr>
                <w:rFonts w:ascii="Microsoft JhengHei" w:eastAsia="Microsoft JhengHei" w:hint="eastAsia"/>
                <w:b/>
                <w:sz w:val="18"/>
              </w:rPr>
              <w:t>组与 </w:t>
            </w:r>
            <w:r>
              <w:rPr>
                <w:rFonts w:ascii="Times New Roman" w:eastAsia="Times New Roman"/>
                <w:b/>
                <w:sz w:val="18"/>
              </w:rPr>
              <w:t>N </w:t>
            </w:r>
            <w:r>
              <w:rPr>
                <w:rFonts w:ascii="Microsoft JhengHei" w:eastAsia="Microsoft JhengHei" w:hint="eastAsia"/>
                <w:b/>
                <w:sz w:val="18"/>
              </w:rPr>
              <w:t>组</w:t>
            </w:r>
            <w:r>
              <w:rPr>
                <w:sz w:val="18"/>
              </w:rPr>
              <w:t>，用于观察和干预性研究。</w:t>
            </w:r>
          </w:p>
        </w:tc>
      </w:tr>
      <w:tr>
        <w:trPr>
          <w:trHeight w:val="1169" w:hRule="atLeast"/>
        </w:trPr>
        <w:tc>
          <w:tcPr>
            <w:tcW w:w="1146" w:type="dxa"/>
            <w:tcBorders>
              <w:top w:val="single" w:sz="4" w:space="0" w:color="000000"/>
              <w:bottom w:val="single" w:sz="4" w:space="0" w:color="000000"/>
            </w:tcBorders>
          </w:tcPr>
          <w:p>
            <w:pPr>
              <w:pStyle w:val="TableParagraph"/>
              <w:rPr>
                <w:sz w:val="20"/>
              </w:rPr>
            </w:pPr>
          </w:p>
          <w:p>
            <w:pPr>
              <w:pStyle w:val="TableParagraph"/>
              <w:spacing w:before="6"/>
              <w:rPr>
                <w:sz w:val="14"/>
              </w:rPr>
            </w:pPr>
          </w:p>
          <w:p>
            <w:pPr>
              <w:pStyle w:val="TableParagraph"/>
              <w:ind w:left="108"/>
              <w:rPr>
                <w:sz w:val="18"/>
              </w:rPr>
            </w:pPr>
            <w:r>
              <w:rPr>
                <w:rFonts w:ascii="Times New Roman" w:eastAsia="Times New Roman"/>
                <w:sz w:val="18"/>
              </w:rPr>
              <w:t>2014 </w:t>
            </w:r>
            <w:r>
              <w:rPr>
                <w:sz w:val="18"/>
              </w:rPr>
              <w:t>年</w:t>
            </w:r>
          </w:p>
        </w:tc>
        <w:tc>
          <w:tcPr>
            <w:tcW w:w="1560" w:type="dxa"/>
            <w:tcBorders>
              <w:top w:val="single" w:sz="4" w:space="0" w:color="000000"/>
              <w:bottom w:val="single" w:sz="4" w:space="0" w:color="000000"/>
            </w:tcBorders>
          </w:tcPr>
          <w:p>
            <w:pPr>
              <w:pStyle w:val="TableParagraph"/>
              <w:rPr>
                <w:sz w:val="20"/>
              </w:rPr>
            </w:pPr>
          </w:p>
          <w:p>
            <w:pPr>
              <w:pStyle w:val="TableParagraph"/>
              <w:spacing w:before="6"/>
              <w:rPr>
                <w:sz w:val="14"/>
              </w:rPr>
            </w:pPr>
          </w:p>
          <w:p>
            <w:pPr>
              <w:pStyle w:val="TableParagraph"/>
              <w:ind w:left="213" w:right="35"/>
              <w:jc w:val="center"/>
              <w:rPr>
                <w:sz w:val="18"/>
              </w:rPr>
            </w:pPr>
            <w:r>
              <w:rPr>
                <w:rFonts w:ascii="Times New Roman" w:eastAsia="Times New Roman"/>
                <w:sz w:val="18"/>
              </w:rPr>
              <w:t>IWG2 </w:t>
            </w:r>
            <w:r>
              <w:rPr>
                <w:sz w:val="18"/>
              </w:rPr>
              <w:t>诊断标准</w:t>
            </w:r>
          </w:p>
        </w:tc>
        <w:tc>
          <w:tcPr>
            <w:tcW w:w="7444" w:type="dxa"/>
            <w:tcBorders>
              <w:top w:val="single" w:sz="4" w:space="0" w:color="000000"/>
              <w:bottom w:val="single" w:sz="4" w:space="0" w:color="000000"/>
            </w:tcBorders>
          </w:tcPr>
          <w:p>
            <w:pPr>
              <w:pStyle w:val="TableParagraph"/>
              <w:spacing w:line="302" w:lineRule="auto" w:before="5"/>
              <w:ind w:left="151" w:right="104"/>
              <w:jc w:val="both"/>
              <w:rPr>
                <w:sz w:val="18"/>
              </w:rPr>
            </w:pPr>
            <w:r>
              <w:rPr>
                <w:spacing w:val="-16"/>
                <w:sz w:val="18"/>
              </w:rPr>
              <w:t>体内 </w:t>
            </w:r>
            <w:r>
              <w:rPr>
                <w:rFonts w:ascii="Times New Roman" w:hAnsi="Times New Roman" w:eastAsia="Times New Roman"/>
                <w:sz w:val="18"/>
              </w:rPr>
              <w:t>AD </w:t>
            </w:r>
            <w:r>
              <w:rPr>
                <w:spacing w:val="-7"/>
                <w:sz w:val="18"/>
              </w:rPr>
              <w:t>病理改变的证据：脑脊液中 </w:t>
            </w:r>
            <w:r>
              <w:rPr>
                <w:rFonts w:ascii="Times New Roman" w:hAnsi="Times New Roman" w:eastAsia="Times New Roman"/>
                <w:sz w:val="18"/>
              </w:rPr>
              <w:t>A</w:t>
            </w:r>
            <w:r>
              <w:rPr>
                <w:sz w:val="18"/>
              </w:rPr>
              <w:t>β</w:t>
            </w:r>
            <w:r>
              <w:rPr>
                <w:rFonts w:ascii="Times New Roman" w:hAnsi="Times New Roman" w:eastAsia="Times New Roman"/>
                <w:sz w:val="18"/>
              </w:rPr>
              <w:t>1-42 </w:t>
            </w:r>
            <w:r>
              <w:rPr>
                <w:spacing w:val="-8"/>
                <w:sz w:val="18"/>
              </w:rPr>
              <w:t>水平下降及 </w:t>
            </w:r>
            <w:r>
              <w:rPr>
                <w:rFonts w:ascii="Times New Roman" w:hAnsi="Times New Roman" w:eastAsia="Times New Roman"/>
                <w:spacing w:val="-4"/>
                <w:sz w:val="18"/>
              </w:rPr>
              <w:t>tTau </w:t>
            </w:r>
            <w:r>
              <w:rPr>
                <w:spacing w:val="-23"/>
                <w:sz w:val="18"/>
              </w:rPr>
              <w:t>或 </w:t>
            </w:r>
            <w:r>
              <w:rPr>
                <w:rFonts w:ascii="Times New Roman" w:hAnsi="Times New Roman" w:eastAsia="Times New Roman"/>
                <w:spacing w:val="-3"/>
                <w:sz w:val="18"/>
              </w:rPr>
              <w:t>p-Tau </w:t>
            </w:r>
            <w:r>
              <w:rPr>
                <w:spacing w:val="-3"/>
                <w:sz w:val="18"/>
              </w:rPr>
              <w:t>蛋白水平的上升，特</w:t>
            </w:r>
            <w:r>
              <w:rPr>
                <w:sz w:val="18"/>
              </w:rPr>
              <w:t>异性检测淀粉样斑块的 </w:t>
            </w:r>
            <w:r>
              <w:rPr>
                <w:rFonts w:ascii="Times New Roman" w:hAnsi="Times New Roman" w:eastAsia="Times New Roman"/>
                <w:sz w:val="18"/>
              </w:rPr>
              <w:t>PET </w:t>
            </w:r>
            <w:r>
              <w:rPr>
                <w:sz w:val="18"/>
              </w:rPr>
              <w:t>成像显示示踪剂滞留增加，存在 </w:t>
            </w:r>
            <w:r>
              <w:rPr>
                <w:rFonts w:ascii="Times New Roman" w:hAnsi="Times New Roman" w:eastAsia="Times New Roman"/>
                <w:sz w:val="18"/>
              </w:rPr>
              <w:t>AD </w:t>
            </w:r>
            <w:r>
              <w:rPr>
                <w:sz w:val="18"/>
              </w:rPr>
              <w:t>常染色体显性突变，即</w:t>
            </w:r>
            <w:r>
              <w:rPr>
                <w:rFonts w:ascii="Times New Roman" w:hAnsi="Times New Roman" w:eastAsia="Times New Roman"/>
                <w:sz w:val="18"/>
              </w:rPr>
              <w:t>PSEN1</w:t>
            </w:r>
            <w:r>
              <w:rPr>
                <w:sz w:val="18"/>
              </w:rPr>
              <w:t>、</w:t>
            </w:r>
            <w:r>
              <w:rPr>
                <w:rFonts w:ascii="Times New Roman" w:hAnsi="Times New Roman" w:eastAsia="Times New Roman"/>
                <w:sz w:val="18"/>
              </w:rPr>
              <w:t>PSEN2</w:t>
            </w:r>
            <w:r>
              <w:rPr>
                <w:sz w:val="18"/>
              </w:rPr>
              <w:t>、</w:t>
            </w:r>
            <w:r>
              <w:rPr>
                <w:rFonts w:ascii="Times New Roman" w:hAnsi="Times New Roman" w:eastAsia="Times New Roman"/>
                <w:sz w:val="18"/>
              </w:rPr>
              <w:t>APP </w:t>
            </w:r>
            <w:r>
              <w:rPr>
                <w:sz w:val="18"/>
              </w:rPr>
              <w:t>突变。</w:t>
            </w:r>
          </w:p>
          <w:p>
            <w:pPr>
              <w:pStyle w:val="TableParagraph"/>
              <w:spacing w:line="272" w:lineRule="exact"/>
              <w:ind w:left="151"/>
              <w:jc w:val="both"/>
              <w:rPr>
                <w:sz w:val="18"/>
              </w:rPr>
            </w:pPr>
            <w:r>
              <w:rPr>
                <w:sz w:val="18"/>
              </w:rPr>
              <w:t>该诊断标准的变化</w:t>
            </w:r>
            <w:r>
              <w:rPr>
                <w:rFonts w:ascii="Microsoft JhengHei" w:eastAsia="Microsoft JhengHei" w:hint="eastAsia"/>
                <w:b/>
                <w:sz w:val="18"/>
              </w:rPr>
              <w:t>使得 </w:t>
            </w:r>
            <w:r>
              <w:rPr>
                <w:rFonts w:ascii="Times New Roman" w:eastAsia="Times New Roman"/>
                <w:b/>
                <w:sz w:val="18"/>
              </w:rPr>
              <w:t>AD </w:t>
            </w:r>
            <w:r>
              <w:rPr>
                <w:rFonts w:ascii="Microsoft JhengHei" w:eastAsia="Microsoft JhengHei" w:hint="eastAsia"/>
                <w:b/>
                <w:sz w:val="18"/>
              </w:rPr>
              <w:t>患者早期治疗</w:t>
            </w:r>
            <w:r>
              <w:rPr>
                <w:sz w:val="18"/>
              </w:rPr>
              <w:t>成为可能。</w:t>
            </w:r>
          </w:p>
        </w:tc>
      </w:tr>
      <w:tr>
        <w:trPr>
          <w:trHeight w:val="554" w:hRule="atLeast"/>
        </w:trPr>
        <w:tc>
          <w:tcPr>
            <w:tcW w:w="1146" w:type="dxa"/>
            <w:tcBorders>
              <w:top w:val="single" w:sz="4" w:space="0" w:color="000000"/>
            </w:tcBorders>
          </w:tcPr>
          <w:p>
            <w:pPr>
              <w:pStyle w:val="TableParagraph"/>
              <w:rPr>
                <w:rFonts w:ascii="Times New Roman"/>
                <w:sz w:val="18"/>
              </w:rPr>
            </w:pPr>
          </w:p>
        </w:tc>
        <w:tc>
          <w:tcPr>
            <w:tcW w:w="1560" w:type="dxa"/>
            <w:tcBorders>
              <w:top w:val="single" w:sz="4" w:space="0" w:color="000000"/>
            </w:tcBorders>
          </w:tcPr>
          <w:p>
            <w:pPr>
              <w:pStyle w:val="TableParagraph"/>
              <w:rPr>
                <w:sz w:val="23"/>
              </w:rPr>
            </w:pPr>
          </w:p>
          <w:p>
            <w:pPr>
              <w:pStyle w:val="TableParagraph"/>
              <w:ind w:left="213" w:right="37"/>
              <w:jc w:val="center"/>
              <w:rPr>
                <w:sz w:val="18"/>
              </w:rPr>
            </w:pPr>
            <w:r>
              <w:rPr>
                <w:rFonts w:ascii="Times New Roman" w:eastAsia="Times New Roman"/>
                <w:sz w:val="18"/>
              </w:rPr>
              <w:t>A-T-N-X </w:t>
            </w:r>
            <w:r>
              <w:rPr>
                <w:sz w:val="18"/>
              </w:rPr>
              <w:t>诊断框</w:t>
            </w:r>
          </w:p>
        </w:tc>
        <w:tc>
          <w:tcPr>
            <w:tcW w:w="7444" w:type="dxa"/>
            <w:vMerge w:val="restart"/>
            <w:tcBorders>
              <w:top w:val="single" w:sz="4" w:space="0" w:color="000000"/>
              <w:bottom w:val="single" w:sz="4" w:space="0" w:color="000000"/>
            </w:tcBorders>
          </w:tcPr>
          <w:p>
            <w:pPr>
              <w:pStyle w:val="TableParagraph"/>
              <w:spacing w:line="304" w:lineRule="auto" w:before="2"/>
              <w:ind w:left="151" w:right="107"/>
              <w:jc w:val="both"/>
              <w:rPr>
                <w:sz w:val="18"/>
              </w:rPr>
            </w:pPr>
            <w:r>
              <w:rPr>
                <w:spacing w:val="-8"/>
                <w:sz w:val="18"/>
              </w:rPr>
              <w:t>在 </w:t>
            </w:r>
            <w:r>
              <w:rPr>
                <w:rFonts w:ascii="Times New Roman" w:hAnsi="Times New Roman" w:eastAsia="Times New Roman"/>
                <w:spacing w:val="-4"/>
                <w:sz w:val="18"/>
              </w:rPr>
              <w:t>A-T-N </w:t>
            </w:r>
            <w:r>
              <w:rPr>
                <w:sz w:val="18"/>
              </w:rPr>
              <w:t>诊断框架的基础上增添一个“</w:t>
            </w:r>
            <w:r>
              <w:rPr>
                <w:rFonts w:ascii="Times New Roman" w:hAnsi="Times New Roman" w:eastAsia="Times New Roman"/>
                <w:sz w:val="18"/>
              </w:rPr>
              <w:t>X</w:t>
            </w:r>
            <w:r>
              <w:rPr>
                <w:sz w:val="18"/>
              </w:rPr>
              <w:t>”。“</w:t>
            </w:r>
            <w:r>
              <w:rPr>
                <w:rFonts w:ascii="Times New Roman" w:hAnsi="Times New Roman" w:eastAsia="Times New Roman"/>
                <w:sz w:val="18"/>
              </w:rPr>
              <w:t>X</w:t>
            </w:r>
            <w:r>
              <w:rPr>
                <w:spacing w:val="-1"/>
                <w:sz w:val="18"/>
              </w:rPr>
              <w:t>”由异构的复杂系统组成，涉及到不作为</w:t>
            </w:r>
            <w:r>
              <w:rPr>
                <w:rFonts w:ascii="Times New Roman" w:hAnsi="Times New Roman" w:eastAsia="Times New Roman"/>
                <w:sz w:val="18"/>
              </w:rPr>
              <w:t>AD </w:t>
            </w:r>
            <w:r>
              <w:rPr>
                <w:sz w:val="18"/>
              </w:rPr>
              <w:t>主要发病机制（如神经免疫失调、突触功能障碍和血脑屏障改变等）</w:t>
            </w:r>
            <w:r>
              <w:rPr>
                <w:spacing w:val="-2"/>
                <w:sz w:val="18"/>
              </w:rPr>
              <w:t>的生物标记物。其</w:t>
            </w:r>
            <w:r>
              <w:rPr>
                <w:spacing w:val="-3"/>
                <w:sz w:val="18"/>
              </w:rPr>
              <w:t>将“</w:t>
            </w:r>
            <w:r>
              <w:rPr>
                <w:rFonts w:ascii="Times New Roman" w:hAnsi="Times New Roman" w:eastAsia="Times New Roman"/>
                <w:sz w:val="18"/>
              </w:rPr>
              <w:t>X</w:t>
            </w:r>
            <w:r>
              <w:rPr>
                <w:spacing w:val="-9"/>
                <w:sz w:val="18"/>
              </w:rPr>
              <w:t>”分为“中枢 </w:t>
            </w:r>
            <w:r>
              <w:rPr>
                <w:rFonts w:ascii="Times New Roman" w:hAnsi="Times New Roman" w:eastAsia="Times New Roman"/>
                <w:spacing w:val="-3"/>
                <w:sz w:val="18"/>
              </w:rPr>
              <w:t>X</w:t>
            </w:r>
            <w:r>
              <w:rPr>
                <w:spacing w:val="-3"/>
                <w:sz w:val="18"/>
              </w:rPr>
              <w:t>（</w:t>
            </w:r>
            <w:r>
              <w:rPr>
                <w:rFonts w:ascii="Times New Roman" w:hAnsi="Times New Roman" w:eastAsia="Times New Roman"/>
                <w:spacing w:val="-3"/>
                <w:sz w:val="18"/>
              </w:rPr>
              <w:t>Xc</w:t>
            </w:r>
            <w:r>
              <w:rPr>
                <w:spacing w:val="-3"/>
                <w:sz w:val="18"/>
              </w:rPr>
              <w:t>）</w:t>
            </w:r>
            <w:r>
              <w:rPr>
                <w:spacing w:val="-10"/>
                <w:sz w:val="18"/>
              </w:rPr>
              <w:t>”和“外周 </w:t>
            </w:r>
            <w:r>
              <w:rPr>
                <w:rFonts w:ascii="Times New Roman" w:hAnsi="Times New Roman" w:eastAsia="Times New Roman"/>
                <w:spacing w:val="-3"/>
                <w:sz w:val="18"/>
              </w:rPr>
              <w:t>X</w:t>
            </w:r>
            <w:r>
              <w:rPr>
                <w:spacing w:val="-3"/>
                <w:sz w:val="18"/>
              </w:rPr>
              <w:t>（</w:t>
            </w:r>
            <w:r>
              <w:rPr>
                <w:rFonts w:ascii="Times New Roman" w:hAnsi="Times New Roman" w:eastAsia="Times New Roman"/>
                <w:spacing w:val="-3"/>
                <w:sz w:val="18"/>
              </w:rPr>
              <w:t>Xp</w:t>
            </w:r>
            <w:r>
              <w:rPr>
                <w:spacing w:val="-3"/>
                <w:sz w:val="18"/>
              </w:rPr>
              <w:t>）”</w:t>
            </w:r>
            <w:r>
              <w:rPr>
                <w:spacing w:val="-2"/>
                <w:sz w:val="18"/>
              </w:rPr>
              <w:t>两个部分。“</w:t>
            </w:r>
            <w:r>
              <w:rPr>
                <w:rFonts w:ascii="Times New Roman" w:hAnsi="Times New Roman" w:eastAsia="Times New Roman"/>
                <w:sz w:val="18"/>
              </w:rPr>
              <w:t>Xc</w:t>
            </w:r>
            <w:r>
              <w:rPr>
                <w:spacing w:val="-1"/>
                <w:sz w:val="18"/>
              </w:rPr>
              <w:t>”指与突触损伤、神经</w:t>
            </w:r>
            <w:r>
              <w:rPr>
                <w:spacing w:val="-9"/>
                <w:sz w:val="18"/>
              </w:rPr>
              <w:t>胶质细胞、神经炎症和免疫等相关的生物标记物；“外周 </w:t>
            </w:r>
            <w:r>
              <w:rPr>
                <w:rFonts w:ascii="Times New Roman" w:hAnsi="Times New Roman" w:eastAsia="Times New Roman"/>
                <w:spacing w:val="-8"/>
                <w:sz w:val="18"/>
              </w:rPr>
              <w:t>Xp</w:t>
            </w:r>
            <w:r>
              <w:rPr>
                <w:spacing w:val="-7"/>
                <w:sz w:val="18"/>
              </w:rPr>
              <w:t>”指与系统免疫、炎症和新陈代</w:t>
            </w:r>
          </w:p>
          <w:p>
            <w:pPr>
              <w:pStyle w:val="TableParagraph"/>
              <w:spacing w:line="225" w:lineRule="exact"/>
              <w:ind w:left="151"/>
              <w:rPr>
                <w:sz w:val="18"/>
              </w:rPr>
            </w:pPr>
            <w:r>
              <w:rPr>
                <w:sz w:val="18"/>
              </w:rPr>
              <w:t>谢等相关的生物标记物。</w:t>
            </w:r>
          </w:p>
        </w:tc>
      </w:tr>
      <w:tr>
        <w:trPr>
          <w:trHeight w:val="894" w:hRule="atLeast"/>
        </w:trPr>
        <w:tc>
          <w:tcPr>
            <w:tcW w:w="1146" w:type="dxa"/>
            <w:tcBorders>
              <w:bottom w:val="single" w:sz="4" w:space="0" w:color="000000"/>
            </w:tcBorders>
          </w:tcPr>
          <w:p>
            <w:pPr>
              <w:pStyle w:val="TableParagraph"/>
              <w:spacing w:before="21"/>
              <w:ind w:left="108"/>
              <w:rPr>
                <w:sz w:val="18"/>
              </w:rPr>
            </w:pPr>
            <w:r>
              <w:rPr>
                <w:rFonts w:ascii="Times New Roman" w:eastAsia="Times New Roman"/>
                <w:sz w:val="18"/>
              </w:rPr>
              <w:t>2022 </w:t>
            </w:r>
            <w:r>
              <w:rPr>
                <w:sz w:val="18"/>
              </w:rPr>
              <w:t>年</w:t>
            </w:r>
          </w:p>
        </w:tc>
        <w:tc>
          <w:tcPr>
            <w:tcW w:w="1560" w:type="dxa"/>
            <w:tcBorders>
              <w:bottom w:val="single" w:sz="4" w:space="0" w:color="000000"/>
            </w:tcBorders>
          </w:tcPr>
          <w:p>
            <w:pPr>
              <w:pStyle w:val="TableParagraph"/>
              <w:spacing w:line="304" w:lineRule="auto" w:before="21"/>
              <w:ind w:left="328" w:right="149"/>
              <w:rPr>
                <w:sz w:val="18"/>
              </w:rPr>
            </w:pPr>
            <w:r>
              <w:rPr>
                <w:sz w:val="18"/>
              </w:rPr>
              <w:t>架（此处为概念而非标准）</w:t>
            </w:r>
          </w:p>
        </w:tc>
        <w:tc>
          <w:tcPr>
            <w:tcW w:w="7444" w:type="dxa"/>
            <w:vMerge/>
            <w:tcBorders>
              <w:top w:val="nil"/>
              <w:bottom w:val="single" w:sz="4" w:space="0" w:color="000000"/>
            </w:tcBorders>
          </w:tcPr>
          <w:p>
            <w:pPr>
              <w:rPr>
                <w:sz w:val="2"/>
                <w:szCs w:val="2"/>
              </w:rPr>
            </w:pPr>
          </w:p>
        </w:tc>
      </w:tr>
      <w:tr>
        <w:trPr>
          <w:trHeight w:val="876" w:hRule="atLeast"/>
        </w:trPr>
        <w:tc>
          <w:tcPr>
            <w:tcW w:w="1146" w:type="dxa"/>
            <w:tcBorders>
              <w:top w:val="single" w:sz="4" w:space="0" w:color="000000"/>
              <w:bottom w:val="single" w:sz="4" w:space="0" w:color="000000"/>
            </w:tcBorders>
          </w:tcPr>
          <w:p>
            <w:pPr>
              <w:pStyle w:val="TableParagraph"/>
              <w:rPr>
                <w:sz w:val="23"/>
              </w:rPr>
            </w:pPr>
          </w:p>
          <w:p>
            <w:pPr>
              <w:pStyle w:val="TableParagraph"/>
              <w:ind w:left="108"/>
              <w:rPr>
                <w:sz w:val="18"/>
              </w:rPr>
            </w:pPr>
            <w:r>
              <w:rPr>
                <w:rFonts w:ascii="Times New Roman" w:eastAsia="Times New Roman"/>
                <w:sz w:val="18"/>
              </w:rPr>
              <w:t>2023 </w:t>
            </w:r>
            <w:r>
              <w:rPr>
                <w:sz w:val="18"/>
              </w:rPr>
              <w:t>年</w:t>
            </w:r>
          </w:p>
        </w:tc>
        <w:tc>
          <w:tcPr>
            <w:tcW w:w="1560" w:type="dxa"/>
            <w:tcBorders>
              <w:top w:val="single" w:sz="4" w:space="0" w:color="000000"/>
              <w:bottom w:val="single" w:sz="4" w:space="0" w:color="000000"/>
            </w:tcBorders>
          </w:tcPr>
          <w:p>
            <w:pPr>
              <w:pStyle w:val="TableParagraph"/>
              <w:spacing w:before="2"/>
              <w:ind w:left="213" w:right="37"/>
              <w:jc w:val="center"/>
              <w:rPr>
                <w:rFonts w:ascii="Times New Roman" w:eastAsia="Times New Roman"/>
                <w:sz w:val="18"/>
              </w:rPr>
            </w:pPr>
            <w:r>
              <w:rPr>
                <w:sz w:val="18"/>
              </w:rPr>
              <w:t>修订版 </w:t>
            </w:r>
            <w:r>
              <w:rPr>
                <w:rFonts w:ascii="Times New Roman" w:eastAsia="Times New Roman"/>
                <w:sz w:val="18"/>
              </w:rPr>
              <w:t>NIA-AA</w:t>
            </w:r>
          </w:p>
          <w:p>
            <w:pPr>
              <w:pStyle w:val="TableParagraph"/>
              <w:spacing w:line="290" w:lineRule="atLeast" w:before="3"/>
              <w:ind w:left="328" w:right="149"/>
              <w:jc w:val="center"/>
              <w:rPr>
                <w:sz w:val="18"/>
              </w:rPr>
            </w:pPr>
            <w:r>
              <w:rPr>
                <w:sz w:val="18"/>
              </w:rPr>
              <w:t>指南（提案草案）</w:t>
            </w:r>
          </w:p>
        </w:tc>
        <w:tc>
          <w:tcPr>
            <w:tcW w:w="7444" w:type="dxa"/>
            <w:tcBorders>
              <w:top w:val="single" w:sz="4" w:space="0" w:color="000000"/>
              <w:bottom w:val="single" w:sz="4" w:space="0" w:color="000000"/>
            </w:tcBorders>
          </w:tcPr>
          <w:p>
            <w:pPr>
              <w:pStyle w:val="TableParagraph"/>
              <w:spacing w:before="2"/>
              <w:ind w:left="151"/>
              <w:rPr>
                <w:rFonts w:ascii="Times New Roman" w:eastAsia="Times New Roman"/>
                <w:sz w:val="18"/>
              </w:rPr>
            </w:pPr>
            <w:r>
              <w:rPr>
                <w:spacing w:val="-3"/>
                <w:sz w:val="18"/>
              </w:rPr>
              <w:t>基于血液的生物标志物检测将能够提供患者更早的准确诊断。在 </w:t>
            </w:r>
            <w:r>
              <w:rPr>
                <w:rFonts w:ascii="Times New Roman" w:eastAsia="Times New Roman"/>
                <w:sz w:val="18"/>
              </w:rPr>
              <w:t>A</w:t>
            </w:r>
            <w:r>
              <w:rPr>
                <w:spacing w:val="-24"/>
                <w:sz w:val="18"/>
              </w:rPr>
              <w:t>、</w:t>
            </w:r>
            <w:r>
              <w:rPr>
                <w:rFonts w:ascii="Times New Roman" w:eastAsia="Times New Roman"/>
                <w:sz w:val="18"/>
              </w:rPr>
              <w:t>T</w:t>
            </w:r>
            <w:r>
              <w:rPr>
                <w:spacing w:val="-24"/>
                <w:sz w:val="18"/>
              </w:rPr>
              <w:t>、</w:t>
            </w:r>
            <w:r>
              <w:rPr>
                <w:rFonts w:ascii="Times New Roman" w:eastAsia="Times New Roman"/>
                <w:sz w:val="18"/>
              </w:rPr>
              <w:t>N </w:t>
            </w:r>
            <w:r>
              <w:rPr>
                <w:spacing w:val="-6"/>
                <w:sz w:val="18"/>
              </w:rPr>
              <w:t>的基础上增添了 </w:t>
            </w:r>
            <w:r>
              <w:rPr>
                <w:rFonts w:ascii="Times New Roman" w:eastAsia="Times New Roman"/>
                <w:sz w:val="18"/>
              </w:rPr>
              <w:t>3</w:t>
            </w:r>
          </w:p>
          <w:p>
            <w:pPr>
              <w:pStyle w:val="TableParagraph"/>
              <w:spacing w:line="290" w:lineRule="atLeast" w:before="3"/>
              <w:ind w:left="151" w:right="32"/>
              <w:rPr>
                <w:sz w:val="18"/>
              </w:rPr>
            </w:pPr>
            <w:r>
              <w:rPr>
                <w:sz w:val="18"/>
              </w:rPr>
              <w:t>种新的生物标志物分类：用于描述炎症</w:t>
            </w:r>
            <w:r>
              <w:rPr>
                <w:rFonts w:ascii="Times New Roman" w:eastAsia="Times New Roman"/>
                <w:sz w:val="18"/>
              </w:rPr>
              <w:t>/</w:t>
            </w:r>
            <w:r>
              <w:rPr>
                <w:sz w:val="18"/>
              </w:rPr>
              <w:t>免疫机制的 </w:t>
            </w:r>
            <w:r>
              <w:rPr>
                <w:rFonts w:ascii="Times New Roman" w:eastAsia="Times New Roman"/>
                <w:sz w:val="18"/>
              </w:rPr>
              <w:t>I</w:t>
            </w:r>
            <w:r>
              <w:rPr>
                <w:sz w:val="18"/>
              </w:rPr>
              <w:t>，以及基于病理学的非 </w:t>
            </w:r>
            <w:r>
              <w:rPr>
                <w:rFonts w:ascii="Times New Roman" w:eastAsia="Times New Roman"/>
                <w:sz w:val="18"/>
              </w:rPr>
              <w:t>AD </w:t>
            </w:r>
            <w:r>
              <w:rPr>
                <w:sz w:val="18"/>
              </w:rPr>
              <w:t>概念，即血管性脑损伤 </w:t>
            </w:r>
            <w:r>
              <w:rPr>
                <w:rFonts w:ascii="Times New Roman" w:eastAsia="Times New Roman"/>
                <w:sz w:val="18"/>
              </w:rPr>
              <w:t>(vascular brain injury , V) </w:t>
            </w:r>
            <w:r>
              <w:rPr>
                <w:sz w:val="18"/>
              </w:rPr>
              <w:t>和突触核蛋白病 </w:t>
            </w:r>
            <w:r>
              <w:rPr>
                <w:rFonts w:ascii="Times New Roman" w:eastAsia="Times New Roman"/>
                <w:sz w:val="18"/>
              </w:rPr>
              <w:t>(synuclein pathy , S)</w:t>
            </w:r>
            <w:r>
              <w:rPr>
                <w:sz w:val="18"/>
              </w:rPr>
              <w:t>。</w:t>
            </w:r>
          </w:p>
        </w:tc>
      </w:tr>
      <w:tr>
        <w:trPr>
          <w:trHeight w:val="221" w:hRule="atLeast"/>
        </w:trPr>
        <w:tc>
          <w:tcPr>
            <w:tcW w:w="10150" w:type="dxa"/>
            <w:gridSpan w:val="3"/>
            <w:tcBorders>
              <w:top w:val="single" w:sz="4" w:space="0" w:color="000000"/>
            </w:tcBorders>
          </w:tcPr>
          <w:p>
            <w:pPr>
              <w:pStyle w:val="TableParagraph"/>
              <w:spacing w:line="199" w:lineRule="exact" w:before="2"/>
              <w:ind w:left="108"/>
              <w:rPr>
                <w:sz w:val="18"/>
              </w:rPr>
            </w:pPr>
            <w:r>
              <w:rPr>
                <w:sz w:val="18"/>
              </w:rPr>
              <w:t>资料来源：</w:t>
            </w:r>
            <w:r>
              <w:rPr>
                <w:rFonts w:ascii="Times New Roman" w:eastAsia="Times New Roman"/>
                <w:sz w:val="18"/>
              </w:rPr>
              <w:t>Nature</w:t>
            </w:r>
            <w:r>
              <w:rPr>
                <w:sz w:val="18"/>
              </w:rPr>
              <w:t>，头豹研究院，</w:t>
            </w:r>
            <w:r>
              <w:rPr>
                <w:rFonts w:ascii="Times New Roman" w:eastAsia="Times New Roman"/>
                <w:sz w:val="18"/>
              </w:rPr>
              <w:t>NIA-AA</w:t>
            </w:r>
            <w:r>
              <w:rPr>
                <w:sz w:val="18"/>
              </w:rPr>
              <w:t>，兴业证券经济与金融研究院整理</w:t>
            </w:r>
          </w:p>
        </w:tc>
      </w:tr>
    </w:tbl>
    <w:p>
      <w:pPr>
        <w:pStyle w:val="BodyText"/>
        <w:spacing w:before="6"/>
        <w:rPr>
          <w:sz w:val="20"/>
        </w:rPr>
      </w:pPr>
    </w:p>
    <w:p>
      <w:pPr>
        <w:pStyle w:val="Heading3"/>
        <w:numPr>
          <w:ilvl w:val="2"/>
          <w:numId w:val="3"/>
        </w:numPr>
        <w:tabs>
          <w:tab w:pos="3858" w:val="left" w:leader="none"/>
        </w:tabs>
        <w:spacing w:line="240" w:lineRule="auto" w:before="2" w:after="0"/>
        <w:ind w:left="3857" w:right="0" w:hanging="695"/>
        <w:jc w:val="left"/>
        <w:rPr>
          <w:color w:val="333366"/>
        </w:rPr>
      </w:pPr>
      <w:bookmarkStart w:name="_bookmark25" w:id="38"/>
      <w:bookmarkEnd w:id="38"/>
      <w:r>
        <w:rPr>
          <w:b w:val="0"/>
        </w:rPr>
      </w:r>
      <w:bookmarkStart w:name="_bookmark25" w:id="39"/>
      <w:bookmarkEnd w:id="39"/>
      <w:r>
        <w:rPr>
          <w:color w:val="333366"/>
        </w:rPr>
        <w:t>诊断技术对比</w:t>
      </w:r>
    </w:p>
    <w:p>
      <w:pPr>
        <w:pStyle w:val="BodyText"/>
        <w:spacing w:before="14"/>
        <w:rPr>
          <w:rFonts w:ascii="Microsoft JhengHei"/>
          <w:b/>
          <w:sz w:val="11"/>
        </w:rPr>
      </w:pPr>
    </w:p>
    <w:p>
      <w:pPr>
        <w:pStyle w:val="BodyText"/>
        <w:spacing w:line="302" w:lineRule="auto"/>
        <w:ind w:left="3163" w:right="743"/>
      </w:pPr>
      <w:r>
        <w:rPr/>
        <w:t>目前，</w:t>
      </w:r>
      <w:r>
        <w:rPr>
          <w:rFonts w:ascii="Times New Roman" w:eastAsia="Times New Roman"/>
        </w:rPr>
        <w:t>AD</w:t>
      </w:r>
      <w:r>
        <w:rPr>
          <w:rFonts w:ascii="Times New Roman" w:eastAsia="Times New Roman"/>
          <w:spacing w:val="16"/>
        </w:rPr>
        <w:t> </w:t>
      </w:r>
      <w:r>
        <w:rPr>
          <w:spacing w:val="-5"/>
        </w:rPr>
        <w:t>可以通过侵入性腰椎穿刺获取脑脊液样本或通过昂贵的 </w:t>
      </w:r>
      <w:r>
        <w:rPr>
          <w:rFonts w:ascii="Times New Roman" w:eastAsia="Times New Roman"/>
        </w:rPr>
        <w:t>PET</w:t>
      </w:r>
      <w:r>
        <w:rPr>
          <w:rFonts w:ascii="Times New Roman" w:eastAsia="Times New Roman"/>
          <w:spacing w:val="20"/>
        </w:rPr>
        <w:t> </w:t>
      </w:r>
      <w:r>
        <w:rPr>
          <w:spacing w:val="-2"/>
        </w:rPr>
        <w:t>扫描诊断</w:t>
      </w:r>
      <w:r>
        <w:rPr>
          <w:spacing w:val="-3"/>
        </w:rPr>
        <w:t>。未来随着产品的增加、生物标志物的阈值认定和指南的进一步修订，血液学诊</w:t>
      </w:r>
      <w:r>
        <w:rPr/>
        <w:t>断试剂盒将大有可为，也将推动</w:t>
      </w:r>
      <w:r>
        <w:rPr>
          <w:rFonts w:ascii="Times New Roman" w:eastAsia="Times New Roman"/>
        </w:rPr>
        <w:t>AD</w:t>
      </w:r>
      <w:r>
        <w:rPr>
          <w:rFonts w:ascii="Times New Roman" w:eastAsia="Times New Roman"/>
          <w:spacing w:val="14"/>
        </w:rPr>
        <w:t> </w:t>
      </w:r>
      <w:r>
        <w:rPr>
          <w:spacing w:val="-3"/>
        </w:rPr>
        <w:t>病理的早期检测，缩短诊疗时间，成为</w:t>
      </w:r>
      <w:r>
        <w:rPr>
          <w:rFonts w:ascii="Times New Roman" w:eastAsia="Times New Roman"/>
        </w:rPr>
        <w:t>AD</w:t>
      </w:r>
      <w:r>
        <w:rPr>
          <w:rFonts w:ascii="Times New Roman" w:eastAsia="Times New Roman"/>
          <w:spacing w:val="2"/>
        </w:rPr>
        <w:t> </w:t>
      </w:r>
      <w:r>
        <w:rPr>
          <w:spacing w:val="-3"/>
        </w:rPr>
        <w:t>转诊路径中重要的工具。</w:t>
      </w:r>
    </w:p>
    <w:p>
      <w:pPr>
        <w:pStyle w:val="BodyText"/>
        <w:spacing w:before="8" w:after="1"/>
        <w:rPr>
          <w:sz w:val="25"/>
        </w:rPr>
      </w:pPr>
    </w:p>
    <w:tbl>
      <w:tblPr>
        <w:tblW w:w="0" w:type="auto"/>
        <w:jc w:val="left"/>
        <w:tblInd w:w="4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44"/>
        <w:gridCol w:w="813"/>
        <w:gridCol w:w="801"/>
        <w:gridCol w:w="1333"/>
        <w:gridCol w:w="828"/>
        <w:gridCol w:w="1007"/>
        <w:gridCol w:w="1623"/>
        <w:gridCol w:w="1782"/>
        <w:gridCol w:w="1206"/>
      </w:tblGrid>
      <w:tr>
        <w:trPr>
          <w:trHeight w:val="315" w:hRule="atLeast"/>
        </w:trPr>
        <w:tc>
          <w:tcPr>
            <w:tcW w:w="10537" w:type="dxa"/>
            <w:gridSpan w:val="9"/>
            <w:tcBorders>
              <w:bottom w:val="single" w:sz="4" w:space="0" w:color="000000"/>
            </w:tcBorders>
          </w:tcPr>
          <w:p>
            <w:pPr>
              <w:pStyle w:val="TableParagraph"/>
              <w:spacing w:line="295" w:lineRule="exact"/>
              <w:ind w:left="105"/>
              <w:rPr>
                <w:rFonts w:ascii="Microsoft JhengHei" w:eastAsia="Microsoft JhengHei" w:hint="eastAsia"/>
                <w:b/>
                <w:sz w:val="21"/>
              </w:rPr>
            </w:pPr>
            <w:bookmarkStart w:name="_bookmark26" w:id="40"/>
            <w:bookmarkEnd w:id="40"/>
            <w:r>
              <w:rPr/>
            </w:r>
            <w:r>
              <w:rPr>
                <w:rFonts w:ascii="Microsoft JhengHei" w:eastAsia="Microsoft JhengHei" w:hint="eastAsia"/>
                <w:b/>
                <w:sz w:val="21"/>
              </w:rPr>
              <w:t>表 </w:t>
            </w:r>
            <w:r>
              <w:rPr>
                <w:rFonts w:ascii="Times New Roman" w:eastAsia="Times New Roman"/>
                <w:b/>
                <w:sz w:val="21"/>
              </w:rPr>
              <w:t>5</w:t>
            </w:r>
            <w:r>
              <w:rPr>
                <w:rFonts w:ascii="Microsoft JhengHei" w:eastAsia="Microsoft JhengHei" w:hint="eastAsia"/>
                <w:b/>
                <w:sz w:val="21"/>
              </w:rPr>
              <w:t>、</w:t>
            </w:r>
            <w:r>
              <w:rPr>
                <w:rFonts w:ascii="Times New Roman" w:eastAsia="Times New Roman"/>
                <w:b/>
                <w:sz w:val="21"/>
              </w:rPr>
              <w:t>AD </w:t>
            </w:r>
            <w:r>
              <w:rPr>
                <w:rFonts w:ascii="Microsoft JhengHei" w:eastAsia="Microsoft JhengHei" w:hint="eastAsia"/>
                <w:b/>
                <w:sz w:val="21"/>
              </w:rPr>
              <w:t>的临床诊断技术对比</w:t>
            </w:r>
          </w:p>
        </w:tc>
      </w:tr>
      <w:tr>
        <w:trPr>
          <w:trHeight w:val="583" w:hRule="atLeast"/>
        </w:trPr>
        <w:tc>
          <w:tcPr>
            <w:tcW w:w="1144" w:type="dxa"/>
            <w:tcBorders>
              <w:top w:val="single" w:sz="4" w:space="0" w:color="000000"/>
              <w:bottom w:val="single" w:sz="4" w:space="0" w:color="000000"/>
            </w:tcBorders>
            <w:shd w:val="clear" w:color="auto" w:fill="DEEBF6"/>
          </w:tcPr>
          <w:p>
            <w:pPr>
              <w:pStyle w:val="TableParagraph"/>
              <w:spacing w:before="89"/>
              <w:ind w:left="64" w:right="83"/>
              <w:jc w:val="center"/>
              <w:rPr>
                <w:rFonts w:ascii="Microsoft JhengHei" w:eastAsia="Microsoft JhengHei" w:hint="eastAsia"/>
                <w:b/>
                <w:sz w:val="18"/>
              </w:rPr>
            </w:pPr>
            <w:r>
              <w:rPr>
                <w:rFonts w:ascii="Microsoft JhengHei" w:eastAsia="Microsoft JhengHei" w:hint="eastAsia"/>
                <w:b/>
                <w:sz w:val="18"/>
              </w:rPr>
              <w:t>对比项</w:t>
            </w:r>
          </w:p>
        </w:tc>
        <w:tc>
          <w:tcPr>
            <w:tcW w:w="813" w:type="dxa"/>
            <w:tcBorders>
              <w:top w:val="single" w:sz="4" w:space="0" w:color="000000"/>
              <w:bottom w:val="single" w:sz="4" w:space="0" w:color="000000"/>
            </w:tcBorders>
            <w:shd w:val="clear" w:color="auto" w:fill="DEEBF6"/>
          </w:tcPr>
          <w:p>
            <w:pPr>
              <w:pStyle w:val="TableParagraph"/>
              <w:spacing w:before="89"/>
              <w:ind w:left="113" w:right="120"/>
              <w:jc w:val="center"/>
              <w:rPr>
                <w:rFonts w:ascii="Microsoft JhengHei" w:eastAsia="Microsoft JhengHei" w:hint="eastAsia"/>
                <w:b/>
                <w:sz w:val="18"/>
              </w:rPr>
            </w:pPr>
            <w:r>
              <w:rPr>
                <w:rFonts w:ascii="Microsoft JhengHei" w:eastAsia="Microsoft JhengHei" w:hint="eastAsia"/>
                <w:b/>
                <w:sz w:val="18"/>
              </w:rPr>
              <w:t>灵敏性</w:t>
            </w:r>
          </w:p>
        </w:tc>
        <w:tc>
          <w:tcPr>
            <w:tcW w:w="801" w:type="dxa"/>
            <w:tcBorders>
              <w:top w:val="single" w:sz="4" w:space="0" w:color="000000"/>
              <w:bottom w:val="single" w:sz="4" w:space="0" w:color="000000"/>
            </w:tcBorders>
            <w:shd w:val="clear" w:color="auto" w:fill="DEEBF6"/>
          </w:tcPr>
          <w:p>
            <w:pPr>
              <w:pStyle w:val="TableParagraph"/>
              <w:spacing w:before="89"/>
              <w:ind w:left="119" w:right="101"/>
              <w:jc w:val="center"/>
              <w:rPr>
                <w:rFonts w:ascii="Microsoft JhengHei" w:eastAsia="Microsoft JhengHei" w:hint="eastAsia"/>
                <w:b/>
                <w:sz w:val="18"/>
              </w:rPr>
            </w:pPr>
            <w:r>
              <w:rPr>
                <w:rFonts w:ascii="Microsoft JhengHei" w:eastAsia="Microsoft JhengHei" w:hint="eastAsia"/>
                <w:b/>
                <w:sz w:val="18"/>
              </w:rPr>
              <w:t>特异性</w:t>
            </w:r>
          </w:p>
        </w:tc>
        <w:tc>
          <w:tcPr>
            <w:tcW w:w="1333" w:type="dxa"/>
            <w:tcBorders>
              <w:top w:val="single" w:sz="4" w:space="0" w:color="000000"/>
              <w:bottom w:val="single" w:sz="4" w:space="0" w:color="000000"/>
            </w:tcBorders>
            <w:shd w:val="clear" w:color="auto" w:fill="DEEBF6"/>
          </w:tcPr>
          <w:p>
            <w:pPr>
              <w:pStyle w:val="TableParagraph"/>
              <w:spacing w:before="89"/>
              <w:ind w:left="99" w:right="113"/>
              <w:jc w:val="center"/>
              <w:rPr>
                <w:rFonts w:ascii="Microsoft JhengHei" w:eastAsia="Microsoft JhengHei" w:hint="eastAsia"/>
                <w:b/>
                <w:sz w:val="18"/>
              </w:rPr>
            </w:pPr>
            <w:r>
              <w:rPr>
                <w:rFonts w:ascii="Microsoft JhengHei" w:eastAsia="Microsoft JhengHei" w:hint="eastAsia"/>
                <w:b/>
                <w:sz w:val="18"/>
              </w:rPr>
              <w:t>检测侵入性</w:t>
            </w:r>
          </w:p>
        </w:tc>
        <w:tc>
          <w:tcPr>
            <w:tcW w:w="828" w:type="dxa"/>
            <w:tcBorders>
              <w:top w:val="single" w:sz="4" w:space="0" w:color="000000"/>
              <w:bottom w:val="single" w:sz="4" w:space="0" w:color="000000"/>
            </w:tcBorders>
            <w:shd w:val="clear" w:color="auto" w:fill="DEEBF6"/>
          </w:tcPr>
          <w:p>
            <w:pPr>
              <w:pStyle w:val="TableParagraph"/>
              <w:spacing w:line="255" w:lineRule="exact"/>
              <w:ind w:left="131"/>
              <w:rPr>
                <w:rFonts w:ascii="Microsoft JhengHei" w:eastAsia="Microsoft JhengHei" w:hint="eastAsia"/>
                <w:b/>
                <w:sz w:val="18"/>
              </w:rPr>
            </w:pPr>
            <w:r>
              <w:rPr>
                <w:rFonts w:ascii="Microsoft JhengHei" w:eastAsia="Microsoft JhengHei" w:hint="eastAsia"/>
                <w:b/>
                <w:sz w:val="18"/>
              </w:rPr>
              <w:t>早期诊</w:t>
            </w:r>
          </w:p>
          <w:p>
            <w:pPr>
              <w:pStyle w:val="TableParagraph"/>
              <w:spacing w:line="308" w:lineRule="exact"/>
              <w:ind w:left="131"/>
              <w:rPr>
                <w:rFonts w:ascii="Microsoft JhengHei" w:eastAsia="Microsoft JhengHei" w:hint="eastAsia"/>
                <w:b/>
                <w:sz w:val="18"/>
              </w:rPr>
            </w:pPr>
            <w:r>
              <w:rPr>
                <w:rFonts w:ascii="Microsoft JhengHei" w:eastAsia="Microsoft JhengHei" w:hint="eastAsia"/>
                <w:b/>
                <w:sz w:val="18"/>
              </w:rPr>
              <w:t>断效果</w:t>
            </w:r>
          </w:p>
        </w:tc>
        <w:tc>
          <w:tcPr>
            <w:tcW w:w="1007" w:type="dxa"/>
            <w:tcBorders>
              <w:top w:val="single" w:sz="4" w:space="0" w:color="000000"/>
              <w:bottom w:val="single" w:sz="4" w:space="0" w:color="000000"/>
            </w:tcBorders>
            <w:shd w:val="clear" w:color="auto" w:fill="DEEBF6"/>
          </w:tcPr>
          <w:p>
            <w:pPr>
              <w:pStyle w:val="TableParagraph"/>
              <w:spacing w:line="255" w:lineRule="exact"/>
              <w:ind w:left="130" w:right="114"/>
              <w:jc w:val="center"/>
              <w:rPr>
                <w:rFonts w:ascii="Microsoft JhengHei" w:eastAsia="Microsoft JhengHei" w:hint="eastAsia"/>
                <w:b/>
                <w:sz w:val="18"/>
              </w:rPr>
            </w:pPr>
            <w:r>
              <w:rPr>
                <w:rFonts w:ascii="Microsoft JhengHei" w:eastAsia="Microsoft JhengHei" w:hint="eastAsia"/>
                <w:b/>
                <w:sz w:val="18"/>
              </w:rPr>
              <w:t>临床推广</w:t>
            </w:r>
          </w:p>
          <w:p>
            <w:pPr>
              <w:pStyle w:val="TableParagraph"/>
              <w:spacing w:line="308" w:lineRule="exact"/>
              <w:ind w:left="130" w:right="110"/>
              <w:jc w:val="center"/>
              <w:rPr>
                <w:rFonts w:ascii="Microsoft JhengHei" w:eastAsia="Microsoft JhengHei" w:hint="eastAsia"/>
                <w:b/>
                <w:sz w:val="18"/>
              </w:rPr>
            </w:pPr>
            <w:r>
              <w:rPr>
                <w:rFonts w:ascii="Microsoft JhengHei" w:eastAsia="Microsoft JhengHei" w:hint="eastAsia"/>
                <w:b/>
                <w:sz w:val="18"/>
              </w:rPr>
              <w:t>效果</w:t>
            </w:r>
          </w:p>
        </w:tc>
        <w:tc>
          <w:tcPr>
            <w:tcW w:w="1623" w:type="dxa"/>
            <w:tcBorders>
              <w:top w:val="single" w:sz="4" w:space="0" w:color="000000"/>
              <w:bottom w:val="single" w:sz="4" w:space="0" w:color="000000"/>
            </w:tcBorders>
            <w:shd w:val="clear" w:color="auto" w:fill="DEEBF6"/>
          </w:tcPr>
          <w:p>
            <w:pPr>
              <w:pStyle w:val="TableParagraph"/>
              <w:spacing w:before="89"/>
              <w:ind w:left="111" w:right="119"/>
              <w:jc w:val="center"/>
              <w:rPr>
                <w:rFonts w:ascii="Microsoft JhengHei" w:eastAsia="Microsoft JhengHei" w:hint="eastAsia"/>
                <w:b/>
                <w:sz w:val="18"/>
              </w:rPr>
            </w:pPr>
            <w:r>
              <w:rPr>
                <w:rFonts w:ascii="Microsoft JhengHei" w:eastAsia="Microsoft JhengHei" w:hint="eastAsia"/>
                <w:b/>
                <w:sz w:val="18"/>
              </w:rPr>
              <w:t>设备要求</w:t>
            </w:r>
          </w:p>
        </w:tc>
        <w:tc>
          <w:tcPr>
            <w:tcW w:w="1782" w:type="dxa"/>
            <w:tcBorders>
              <w:top w:val="single" w:sz="4" w:space="0" w:color="000000"/>
              <w:bottom w:val="single" w:sz="4" w:space="0" w:color="000000"/>
            </w:tcBorders>
            <w:shd w:val="clear" w:color="auto" w:fill="DEEBF6"/>
          </w:tcPr>
          <w:p>
            <w:pPr>
              <w:pStyle w:val="TableParagraph"/>
              <w:spacing w:before="89"/>
              <w:ind w:left="91" w:right="47"/>
              <w:jc w:val="center"/>
              <w:rPr>
                <w:rFonts w:ascii="Microsoft JhengHei" w:eastAsia="Microsoft JhengHei" w:hint="eastAsia"/>
                <w:b/>
                <w:sz w:val="18"/>
              </w:rPr>
            </w:pPr>
            <w:r>
              <w:rPr>
                <w:rFonts w:ascii="Microsoft JhengHei" w:eastAsia="Microsoft JhengHei" w:hint="eastAsia"/>
                <w:b/>
                <w:sz w:val="18"/>
              </w:rPr>
              <w:t>价格</w:t>
            </w:r>
          </w:p>
        </w:tc>
        <w:tc>
          <w:tcPr>
            <w:tcW w:w="1206" w:type="dxa"/>
            <w:tcBorders>
              <w:top w:val="single" w:sz="4" w:space="0" w:color="000000"/>
              <w:bottom w:val="single" w:sz="4" w:space="0" w:color="000000"/>
            </w:tcBorders>
            <w:shd w:val="clear" w:color="auto" w:fill="DEEBF6"/>
          </w:tcPr>
          <w:p>
            <w:pPr>
              <w:pStyle w:val="TableParagraph"/>
              <w:spacing w:before="89"/>
              <w:ind w:left="163" w:right="103"/>
              <w:jc w:val="center"/>
              <w:rPr>
                <w:rFonts w:ascii="Microsoft JhengHei" w:eastAsia="Microsoft JhengHei" w:hint="eastAsia"/>
                <w:b/>
                <w:sz w:val="18"/>
              </w:rPr>
            </w:pPr>
            <w:r>
              <w:rPr>
                <w:rFonts w:ascii="Microsoft JhengHei" w:eastAsia="Microsoft JhengHei" w:hint="eastAsia"/>
                <w:b/>
                <w:sz w:val="18"/>
              </w:rPr>
              <w:t>技术成熟度</w:t>
            </w:r>
          </w:p>
        </w:tc>
      </w:tr>
      <w:tr>
        <w:trPr>
          <w:trHeight w:val="1168" w:hRule="atLeast"/>
        </w:trPr>
        <w:tc>
          <w:tcPr>
            <w:tcW w:w="1144" w:type="dxa"/>
            <w:tcBorders>
              <w:top w:val="single" w:sz="4" w:space="0" w:color="000000"/>
              <w:bottom w:val="single" w:sz="4" w:space="0" w:color="000000"/>
            </w:tcBorders>
          </w:tcPr>
          <w:p>
            <w:pPr>
              <w:pStyle w:val="TableParagraph"/>
              <w:rPr>
                <w:sz w:val="23"/>
              </w:rPr>
            </w:pPr>
          </w:p>
          <w:p>
            <w:pPr>
              <w:pStyle w:val="TableParagraph"/>
              <w:spacing w:line="304" w:lineRule="auto"/>
              <w:ind w:left="381" w:right="129" w:hanging="269"/>
              <w:rPr>
                <w:sz w:val="18"/>
              </w:rPr>
            </w:pPr>
            <w:r>
              <w:rPr>
                <w:sz w:val="18"/>
              </w:rPr>
              <w:t>神经影像学检查</w:t>
            </w:r>
          </w:p>
        </w:tc>
        <w:tc>
          <w:tcPr>
            <w:tcW w:w="813" w:type="dxa"/>
            <w:tcBorders>
              <w:top w:val="single" w:sz="4" w:space="0" w:color="000000"/>
              <w:bottom w:val="single" w:sz="4" w:space="0" w:color="000000"/>
            </w:tcBorders>
          </w:tcPr>
          <w:p>
            <w:pPr>
              <w:pStyle w:val="TableParagraph"/>
              <w:rPr>
                <w:sz w:val="18"/>
              </w:rPr>
            </w:pPr>
          </w:p>
          <w:p>
            <w:pPr>
              <w:pStyle w:val="TableParagraph"/>
              <w:spacing w:before="5"/>
              <w:rPr>
                <w:sz w:val="16"/>
              </w:rPr>
            </w:pPr>
          </w:p>
          <w:p>
            <w:pPr>
              <w:pStyle w:val="TableParagraph"/>
              <w:ind w:right="4"/>
              <w:jc w:val="center"/>
              <w:rPr>
                <w:sz w:val="18"/>
              </w:rPr>
            </w:pPr>
            <w:r>
              <w:rPr>
                <w:sz w:val="18"/>
              </w:rPr>
              <w:t>高</w:t>
            </w:r>
          </w:p>
        </w:tc>
        <w:tc>
          <w:tcPr>
            <w:tcW w:w="801" w:type="dxa"/>
            <w:tcBorders>
              <w:top w:val="single" w:sz="4" w:space="0" w:color="000000"/>
              <w:bottom w:val="single" w:sz="4" w:space="0" w:color="000000"/>
            </w:tcBorders>
          </w:tcPr>
          <w:p>
            <w:pPr>
              <w:pStyle w:val="TableParagraph"/>
              <w:rPr>
                <w:sz w:val="18"/>
              </w:rPr>
            </w:pPr>
          </w:p>
          <w:p>
            <w:pPr>
              <w:pStyle w:val="TableParagraph"/>
              <w:spacing w:before="5"/>
              <w:rPr>
                <w:sz w:val="16"/>
              </w:rPr>
            </w:pPr>
          </w:p>
          <w:p>
            <w:pPr>
              <w:pStyle w:val="TableParagraph"/>
              <w:ind w:left="16"/>
              <w:jc w:val="center"/>
              <w:rPr>
                <w:sz w:val="18"/>
              </w:rPr>
            </w:pPr>
            <w:r>
              <w:rPr>
                <w:sz w:val="18"/>
              </w:rPr>
              <w:t>低</w:t>
            </w:r>
          </w:p>
        </w:tc>
        <w:tc>
          <w:tcPr>
            <w:tcW w:w="1333" w:type="dxa"/>
            <w:tcBorders>
              <w:top w:val="single" w:sz="4" w:space="0" w:color="000000"/>
              <w:bottom w:val="single" w:sz="4" w:space="0" w:color="000000"/>
            </w:tcBorders>
          </w:tcPr>
          <w:p>
            <w:pPr>
              <w:pStyle w:val="TableParagraph"/>
              <w:rPr>
                <w:sz w:val="18"/>
              </w:rPr>
            </w:pPr>
          </w:p>
          <w:p>
            <w:pPr>
              <w:pStyle w:val="TableParagraph"/>
              <w:spacing w:before="5"/>
              <w:rPr>
                <w:sz w:val="16"/>
              </w:rPr>
            </w:pPr>
          </w:p>
          <w:p>
            <w:pPr>
              <w:pStyle w:val="TableParagraph"/>
              <w:ind w:right="18"/>
              <w:jc w:val="center"/>
              <w:rPr>
                <w:sz w:val="18"/>
              </w:rPr>
            </w:pPr>
            <w:r>
              <w:rPr>
                <w:sz w:val="18"/>
              </w:rPr>
              <w:t>低</w:t>
            </w:r>
          </w:p>
        </w:tc>
        <w:tc>
          <w:tcPr>
            <w:tcW w:w="828" w:type="dxa"/>
            <w:tcBorders>
              <w:top w:val="single" w:sz="4" w:space="0" w:color="000000"/>
              <w:bottom w:val="single" w:sz="4" w:space="0" w:color="000000"/>
            </w:tcBorders>
          </w:tcPr>
          <w:p>
            <w:pPr>
              <w:pStyle w:val="TableParagraph"/>
              <w:rPr>
                <w:sz w:val="18"/>
              </w:rPr>
            </w:pPr>
          </w:p>
          <w:p>
            <w:pPr>
              <w:pStyle w:val="TableParagraph"/>
              <w:spacing w:before="5"/>
              <w:rPr>
                <w:sz w:val="16"/>
              </w:rPr>
            </w:pPr>
          </w:p>
          <w:p>
            <w:pPr>
              <w:pStyle w:val="TableParagraph"/>
              <w:ind w:right="19"/>
              <w:jc w:val="center"/>
              <w:rPr>
                <w:sz w:val="18"/>
              </w:rPr>
            </w:pPr>
            <w:r>
              <w:rPr>
                <w:sz w:val="18"/>
              </w:rPr>
              <w:t>差</w:t>
            </w:r>
          </w:p>
        </w:tc>
        <w:tc>
          <w:tcPr>
            <w:tcW w:w="1007" w:type="dxa"/>
            <w:tcBorders>
              <w:top w:val="single" w:sz="4" w:space="0" w:color="000000"/>
              <w:bottom w:val="single" w:sz="4" w:space="0" w:color="000000"/>
            </w:tcBorders>
          </w:tcPr>
          <w:p>
            <w:pPr>
              <w:pStyle w:val="TableParagraph"/>
              <w:rPr>
                <w:sz w:val="18"/>
              </w:rPr>
            </w:pPr>
          </w:p>
          <w:p>
            <w:pPr>
              <w:pStyle w:val="TableParagraph"/>
              <w:spacing w:before="5"/>
              <w:rPr>
                <w:sz w:val="16"/>
              </w:rPr>
            </w:pPr>
          </w:p>
          <w:p>
            <w:pPr>
              <w:pStyle w:val="TableParagraph"/>
              <w:ind w:left="129" w:right="115"/>
              <w:jc w:val="center"/>
              <w:rPr>
                <w:sz w:val="18"/>
              </w:rPr>
            </w:pPr>
            <w:r>
              <w:rPr>
                <w:sz w:val="18"/>
              </w:rPr>
              <w:t>接受度高</w:t>
            </w:r>
          </w:p>
        </w:tc>
        <w:tc>
          <w:tcPr>
            <w:tcW w:w="1623" w:type="dxa"/>
            <w:tcBorders>
              <w:top w:val="single" w:sz="4" w:space="0" w:color="000000"/>
              <w:bottom w:val="single" w:sz="4" w:space="0" w:color="000000"/>
            </w:tcBorders>
          </w:tcPr>
          <w:p>
            <w:pPr>
              <w:pStyle w:val="TableParagraph"/>
              <w:rPr>
                <w:sz w:val="23"/>
              </w:rPr>
            </w:pPr>
          </w:p>
          <w:p>
            <w:pPr>
              <w:pStyle w:val="TableParagraph"/>
              <w:ind w:right="8"/>
              <w:jc w:val="center"/>
              <w:rPr>
                <w:sz w:val="18"/>
              </w:rPr>
            </w:pPr>
            <w:r>
              <w:rPr>
                <w:sz w:val="18"/>
              </w:rPr>
              <w:t>高</w:t>
            </w:r>
          </w:p>
          <w:p>
            <w:pPr>
              <w:pStyle w:val="TableParagraph"/>
              <w:spacing w:before="62"/>
              <w:ind w:left="113" w:right="119"/>
              <w:jc w:val="center"/>
              <w:rPr>
                <w:sz w:val="18"/>
              </w:rPr>
            </w:pPr>
            <w:r>
              <w:rPr>
                <w:sz w:val="18"/>
              </w:rPr>
              <w:t>（</w:t>
            </w:r>
            <w:r>
              <w:rPr>
                <w:rFonts w:ascii="Times New Roman" w:eastAsia="Times New Roman"/>
                <w:sz w:val="18"/>
              </w:rPr>
              <w:t>PET/MRI/CT</w:t>
            </w:r>
            <w:r>
              <w:rPr>
                <w:sz w:val="18"/>
              </w:rPr>
              <w:t>）</w:t>
            </w:r>
          </w:p>
        </w:tc>
        <w:tc>
          <w:tcPr>
            <w:tcW w:w="1782" w:type="dxa"/>
            <w:tcBorders>
              <w:top w:val="single" w:sz="4" w:space="0" w:color="000000"/>
              <w:bottom w:val="single" w:sz="4" w:space="0" w:color="000000"/>
            </w:tcBorders>
          </w:tcPr>
          <w:p>
            <w:pPr>
              <w:pStyle w:val="TableParagraph"/>
              <w:spacing w:before="2"/>
              <w:ind w:left="41"/>
              <w:jc w:val="center"/>
              <w:rPr>
                <w:sz w:val="18"/>
              </w:rPr>
            </w:pPr>
            <w:r>
              <w:rPr>
                <w:sz w:val="18"/>
              </w:rPr>
              <w:t>高</w:t>
            </w:r>
          </w:p>
          <w:p>
            <w:pPr>
              <w:pStyle w:val="TableParagraph"/>
              <w:spacing w:before="62"/>
              <w:ind w:left="93" w:right="47"/>
              <w:jc w:val="center"/>
              <w:rPr>
                <w:sz w:val="18"/>
              </w:rPr>
            </w:pPr>
            <w:r>
              <w:rPr>
                <w:rFonts w:ascii="Times New Roman" w:eastAsia="Times New Roman"/>
                <w:sz w:val="18"/>
              </w:rPr>
              <w:t>PET </w:t>
            </w:r>
            <w:r>
              <w:rPr>
                <w:sz w:val="18"/>
              </w:rPr>
              <w:t>单次约 </w:t>
            </w:r>
            <w:r>
              <w:rPr>
                <w:rFonts w:ascii="Times New Roman" w:eastAsia="Times New Roman"/>
                <w:sz w:val="18"/>
              </w:rPr>
              <w:t>1 </w:t>
            </w:r>
            <w:r>
              <w:rPr>
                <w:sz w:val="18"/>
              </w:rPr>
              <w:t>万元</w:t>
            </w:r>
          </w:p>
          <w:p>
            <w:pPr>
              <w:pStyle w:val="TableParagraph"/>
              <w:spacing w:before="62"/>
              <w:ind w:left="93" w:right="47"/>
              <w:jc w:val="center"/>
              <w:rPr>
                <w:sz w:val="18"/>
              </w:rPr>
            </w:pPr>
            <w:r>
              <w:rPr>
                <w:rFonts w:ascii="Times New Roman" w:eastAsia="Times New Roman"/>
                <w:sz w:val="18"/>
              </w:rPr>
              <w:t>MRI </w:t>
            </w:r>
            <w:r>
              <w:rPr>
                <w:sz w:val="18"/>
              </w:rPr>
              <w:t>单次约 </w:t>
            </w:r>
            <w:r>
              <w:rPr>
                <w:rFonts w:ascii="Times New Roman" w:eastAsia="Times New Roman"/>
                <w:sz w:val="18"/>
              </w:rPr>
              <w:t>1500 </w:t>
            </w:r>
            <w:r>
              <w:rPr>
                <w:sz w:val="18"/>
              </w:rPr>
              <w:t>元</w:t>
            </w:r>
          </w:p>
          <w:p>
            <w:pPr>
              <w:pStyle w:val="TableParagraph"/>
              <w:spacing w:before="60"/>
              <w:ind w:left="91" w:right="47"/>
              <w:jc w:val="center"/>
              <w:rPr>
                <w:sz w:val="18"/>
              </w:rPr>
            </w:pPr>
            <w:r>
              <w:rPr>
                <w:rFonts w:ascii="Times New Roman" w:eastAsia="Times New Roman"/>
                <w:sz w:val="18"/>
              </w:rPr>
              <w:t>CT </w:t>
            </w:r>
            <w:r>
              <w:rPr>
                <w:sz w:val="18"/>
              </w:rPr>
              <w:t>单次约 </w:t>
            </w:r>
            <w:r>
              <w:rPr>
                <w:rFonts w:ascii="Times New Roman" w:eastAsia="Times New Roman"/>
                <w:sz w:val="18"/>
              </w:rPr>
              <w:t>300 </w:t>
            </w:r>
            <w:r>
              <w:rPr>
                <w:sz w:val="18"/>
              </w:rPr>
              <w:t>元</w:t>
            </w:r>
          </w:p>
        </w:tc>
        <w:tc>
          <w:tcPr>
            <w:tcW w:w="1206" w:type="dxa"/>
            <w:tcBorders>
              <w:top w:val="single" w:sz="4" w:space="0" w:color="000000"/>
              <w:bottom w:val="single" w:sz="4" w:space="0" w:color="000000"/>
            </w:tcBorders>
          </w:tcPr>
          <w:p>
            <w:pPr>
              <w:pStyle w:val="TableParagraph"/>
              <w:rPr>
                <w:sz w:val="18"/>
              </w:rPr>
            </w:pPr>
          </w:p>
          <w:p>
            <w:pPr>
              <w:pStyle w:val="TableParagraph"/>
              <w:spacing w:before="5"/>
              <w:rPr>
                <w:sz w:val="16"/>
              </w:rPr>
            </w:pPr>
          </w:p>
          <w:p>
            <w:pPr>
              <w:pStyle w:val="TableParagraph"/>
              <w:ind w:left="163" w:right="103"/>
              <w:jc w:val="center"/>
              <w:rPr>
                <w:sz w:val="18"/>
              </w:rPr>
            </w:pPr>
            <w:r>
              <w:rPr>
                <w:sz w:val="18"/>
              </w:rPr>
              <w:t>相对成熟</w:t>
            </w:r>
          </w:p>
        </w:tc>
      </w:tr>
      <w:tr>
        <w:trPr>
          <w:trHeight w:val="582" w:hRule="atLeast"/>
        </w:trPr>
        <w:tc>
          <w:tcPr>
            <w:tcW w:w="1144" w:type="dxa"/>
            <w:tcBorders>
              <w:top w:val="single" w:sz="4" w:space="0" w:color="000000"/>
              <w:bottom w:val="single" w:sz="4" w:space="0" w:color="000000"/>
            </w:tcBorders>
          </w:tcPr>
          <w:p>
            <w:pPr>
              <w:pStyle w:val="TableParagraph"/>
              <w:spacing w:before="2"/>
              <w:ind w:left="70" w:right="83"/>
              <w:jc w:val="center"/>
              <w:rPr>
                <w:rFonts w:ascii="Times New Roman" w:eastAsia="Times New Roman"/>
                <w:sz w:val="18"/>
              </w:rPr>
            </w:pPr>
            <w:r>
              <w:rPr>
                <w:sz w:val="18"/>
              </w:rPr>
              <w:t>脑脊液 </w:t>
            </w:r>
            <w:r>
              <w:rPr>
                <w:rFonts w:ascii="Times New Roman" w:eastAsia="Times New Roman"/>
                <w:sz w:val="18"/>
              </w:rPr>
              <w:t>CSF</w:t>
            </w:r>
          </w:p>
          <w:p>
            <w:pPr>
              <w:pStyle w:val="TableParagraph"/>
              <w:spacing w:before="60"/>
              <w:ind w:left="65" w:right="83"/>
              <w:jc w:val="center"/>
              <w:rPr>
                <w:sz w:val="18"/>
              </w:rPr>
            </w:pPr>
            <w:r>
              <w:rPr>
                <w:sz w:val="18"/>
              </w:rPr>
              <w:t>检查</w:t>
            </w:r>
          </w:p>
        </w:tc>
        <w:tc>
          <w:tcPr>
            <w:tcW w:w="813" w:type="dxa"/>
            <w:tcBorders>
              <w:top w:val="single" w:sz="4" w:space="0" w:color="000000"/>
              <w:bottom w:val="single" w:sz="4" w:space="0" w:color="000000"/>
            </w:tcBorders>
          </w:tcPr>
          <w:p>
            <w:pPr>
              <w:pStyle w:val="TableParagraph"/>
              <w:spacing w:before="148"/>
              <w:ind w:right="4"/>
              <w:jc w:val="center"/>
              <w:rPr>
                <w:sz w:val="18"/>
              </w:rPr>
            </w:pPr>
            <w:r>
              <w:rPr>
                <w:sz w:val="18"/>
              </w:rPr>
              <w:t>高</w:t>
            </w:r>
          </w:p>
        </w:tc>
        <w:tc>
          <w:tcPr>
            <w:tcW w:w="801" w:type="dxa"/>
            <w:tcBorders>
              <w:top w:val="single" w:sz="4" w:space="0" w:color="000000"/>
              <w:bottom w:val="single" w:sz="4" w:space="0" w:color="000000"/>
            </w:tcBorders>
          </w:tcPr>
          <w:p>
            <w:pPr>
              <w:pStyle w:val="TableParagraph"/>
              <w:spacing w:before="148"/>
              <w:ind w:left="16"/>
              <w:jc w:val="center"/>
              <w:rPr>
                <w:sz w:val="18"/>
              </w:rPr>
            </w:pPr>
            <w:r>
              <w:rPr>
                <w:sz w:val="18"/>
              </w:rPr>
              <w:t>高</w:t>
            </w:r>
          </w:p>
        </w:tc>
        <w:tc>
          <w:tcPr>
            <w:tcW w:w="1333" w:type="dxa"/>
            <w:tcBorders>
              <w:top w:val="single" w:sz="4" w:space="0" w:color="000000"/>
              <w:bottom w:val="single" w:sz="4" w:space="0" w:color="000000"/>
            </w:tcBorders>
          </w:tcPr>
          <w:p>
            <w:pPr>
              <w:pStyle w:val="TableParagraph"/>
              <w:spacing w:before="2"/>
              <w:ind w:right="18"/>
              <w:jc w:val="center"/>
              <w:rPr>
                <w:sz w:val="18"/>
              </w:rPr>
            </w:pPr>
            <w:r>
              <w:rPr>
                <w:sz w:val="18"/>
              </w:rPr>
              <w:t>高</w:t>
            </w:r>
          </w:p>
          <w:p>
            <w:pPr>
              <w:pStyle w:val="TableParagraph"/>
              <w:spacing w:before="60"/>
              <w:ind w:left="99" w:right="113"/>
              <w:jc w:val="center"/>
              <w:rPr>
                <w:sz w:val="18"/>
              </w:rPr>
            </w:pPr>
            <w:r>
              <w:rPr>
                <w:sz w:val="18"/>
              </w:rPr>
              <w:t>（腰椎穿刺）</w:t>
            </w:r>
          </w:p>
        </w:tc>
        <w:tc>
          <w:tcPr>
            <w:tcW w:w="828" w:type="dxa"/>
            <w:tcBorders>
              <w:top w:val="single" w:sz="4" w:space="0" w:color="000000"/>
              <w:bottom w:val="single" w:sz="4" w:space="0" w:color="000000"/>
            </w:tcBorders>
          </w:tcPr>
          <w:p>
            <w:pPr>
              <w:pStyle w:val="TableParagraph"/>
              <w:spacing w:before="148"/>
              <w:ind w:right="19"/>
              <w:jc w:val="center"/>
              <w:rPr>
                <w:sz w:val="18"/>
              </w:rPr>
            </w:pPr>
            <w:r>
              <w:rPr>
                <w:sz w:val="18"/>
              </w:rPr>
              <w:t>中</w:t>
            </w:r>
          </w:p>
        </w:tc>
        <w:tc>
          <w:tcPr>
            <w:tcW w:w="1007" w:type="dxa"/>
            <w:tcBorders>
              <w:top w:val="single" w:sz="4" w:space="0" w:color="000000"/>
              <w:bottom w:val="single" w:sz="4" w:space="0" w:color="000000"/>
            </w:tcBorders>
          </w:tcPr>
          <w:p>
            <w:pPr>
              <w:pStyle w:val="TableParagraph"/>
              <w:spacing w:before="148"/>
              <w:ind w:left="129" w:right="115"/>
              <w:jc w:val="center"/>
              <w:rPr>
                <w:sz w:val="18"/>
              </w:rPr>
            </w:pPr>
            <w:r>
              <w:rPr>
                <w:sz w:val="18"/>
              </w:rPr>
              <w:t>接受度高</w:t>
            </w:r>
          </w:p>
        </w:tc>
        <w:tc>
          <w:tcPr>
            <w:tcW w:w="1623" w:type="dxa"/>
            <w:tcBorders>
              <w:top w:val="single" w:sz="4" w:space="0" w:color="000000"/>
              <w:bottom w:val="single" w:sz="4" w:space="0" w:color="000000"/>
            </w:tcBorders>
          </w:tcPr>
          <w:p>
            <w:pPr>
              <w:pStyle w:val="TableParagraph"/>
              <w:spacing w:before="148"/>
              <w:ind w:right="8"/>
              <w:jc w:val="center"/>
              <w:rPr>
                <w:sz w:val="18"/>
              </w:rPr>
            </w:pPr>
            <w:r>
              <w:rPr>
                <w:sz w:val="18"/>
              </w:rPr>
              <w:t>中</w:t>
            </w:r>
          </w:p>
        </w:tc>
        <w:tc>
          <w:tcPr>
            <w:tcW w:w="1782" w:type="dxa"/>
            <w:tcBorders>
              <w:top w:val="single" w:sz="4" w:space="0" w:color="000000"/>
              <w:bottom w:val="single" w:sz="4" w:space="0" w:color="000000"/>
            </w:tcBorders>
          </w:tcPr>
          <w:p>
            <w:pPr>
              <w:pStyle w:val="TableParagraph"/>
              <w:spacing w:before="2"/>
              <w:ind w:left="41"/>
              <w:jc w:val="center"/>
              <w:rPr>
                <w:sz w:val="18"/>
              </w:rPr>
            </w:pPr>
            <w:r>
              <w:rPr>
                <w:sz w:val="18"/>
              </w:rPr>
              <w:t>中</w:t>
            </w:r>
          </w:p>
          <w:p>
            <w:pPr>
              <w:pStyle w:val="TableParagraph"/>
              <w:spacing w:before="60"/>
              <w:ind w:left="91" w:right="47"/>
              <w:jc w:val="center"/>
              <w:rPr>
                <w:sz w:val="18"/>
              </w:rPr>
            </w:pPr>
            <w:r>
              <w:rPr>
                <w:sz w:val="18"/>
              </w:rPr>
              <w:t>（</w:t>
            </w:r>
            <w:r>
              <w:rPr>
                <w:rFonts w:ascii="Times New Roman" w:eastAsia="Times New Roman"/>
                <w:sz w:val="18"/>
              </w:rPr>
              <w:t>1000-3000 </w:t>
            </w:r>
            <w:r>
              <w:rPr>
                <w:sz w:val="18"/>
              </w:rPr>
              <w:t>元）</w:t>
            </w:r>
          </w:p>
        </w:tc>
        <w:tc>
          <w:tcPr>
            <w:tcW w:w="1206" w:type="dxa"/>
            <w:tcBorders>
              <w:top w:val="single" w:sz="4" w:space="0" w:color="000000"/>
              <w:bottom w:val="single" w:sz="4" w:space="0" w:color="000000"/>
            </w:tcBorders>
          </w:tcPr>
          <w:p>
            <w:pPr>
              <w:pStyle w:val="TableParagraph"/>
              <w:spacing w:before="148"/>
              <w:ind w:left="163" w:right="103"/>
              <w:jc w:val="center"/>
              <w:rPr>
                <w:sz w:val="18"/>
              </w:rPr>
            </w:pPr>
            <w:r>
              <w:rPr>
                <w:sz w:val="18"/>
              </w:rPr>
              <w:t>相对成熟</w:t>
            </w:r>
          </w:p>
        </w:tc>
      </w:tr>
      <w:tr>
        <w:trPr>
          <w:trHeight w:val="582" w:hRule="atLeast"/>
        </w:trPr>
        <w:tc>
          <w:tcPr>
            <w:tcW w:w="1144" w:type="dxa"/>
            <w:tcBorders>
              <w:top w:val="single" w:sz="4" w:space="0" w:color="000000"/>
              <w:bottom w:val="single" w:sz="4" w:space="0" w:color="000000"/>
            </w:tcBorders>
          </w:tcPr>
          <w:p>
            <w:pPr>
              <w:pStyle w:val="TableParagraph"/>
              <w:spacing w:before="2"/>
              <w:ind w:left="67" w:right="83"/>
              <w:jc w:val="center"/>
              <w:rPr>
                <w:sz w:val="18"/>
              </w:rPr>
            </w:pPr>
            <w:r>
              <w:rPr>
                <w:sz w:val="18"/>
              </w:rPr>
              <w:t>外周血抗体</w:t>
            </w:r>
          </w:p>
          <w:p>
            <w:pPr>
              <w:pStyle w:val="TableParagraph"/>
              <w:spacing w:before="62"/>
              <w:ind w:left="65" w:right="83"/>
              <w:jc w:val="center"/>
              <w:rPr>
                <w:sz w:val="18"/>
              </w:rPr>
            </w:pPr>
            <w:r>
              <w:rPr>
                <w:sz w:val="18"/>
              </w:rPr>
              <w:t>检查</w:t>
            </w:r>
          </w:p>
        </w:tc>
        <w:tc>
          <w:tcPr>
            <w:tcW w:w="813" w:type="dxa"/>
            <w:tcBorders>
              <w:top w:val="single" w:sz="4" w:space="0" w:color="000000"/>
              <w:bottom w:val="single" w:sz="4" w:space="0" w:color="000000"/>
            </w:tcBorders>
          </w:tcPr>
          <w:p>
            <w:pPr>
              <w:pStyle w:val="TableParagraph"/>
              <w:spacing w:before="148"/>
              <w:ind w:right="4"/>
              <w:jc w:val="center"/>
              <w:rPr>
                <w:sz w:val="18"/>
              </w:rPr>
            </w:pPr>
            <w:r>
              <w:rPr>
                <w:sz w:val="18"/>
              </w:rPr>
              <w:t>低</w:t>
            </w:r>
          </w:p>
        </w:tc>
        <w:tc>
          <w:tcPr>
            <w:tcW w:w="801" w:type="dxa"/>
            <w:tcBorders>
              <w:top w:val="single" w:sz="4" w:space="0" w:color="000000"/>
              <w:bottom w:val="single" w:sz="4" w:space="0" w:color="000000"/>
            </w:tcBorders>
          </w:tcPr>
          <w:p>
            <w:pPr>
              <w:pStyle w:val="TableParagraph"/>
              <w:spacing w:before="148"/>
              <w:ind w:left="16"/>
              <w:jc w:val="center"/>
              <w:rPr>
                <w:sz w:val="18"/>
              </w:rPr>
            </w:pPr>
            <w:r>
              <w:rPr>
                <w:sz w:val="18"/>
              </w:rPr>
              <w:t>中</w:t>
            </w:r>
          </w:p>
        </w:tc>
        <w:tc>
          <w:tcPr>
            <w:tcW w:w="1333" w:type="dxa"/>
            <w:tcBorders>
              <w:top w:val="single" w:sz="4" w:space="0" w:color="000000"/>
              <w:bottom w:val="single" w:sz="4" w:space="0" w:color="000000"/>
            </w:tcBorders>
          </w:tcPr>
          <w:p>
            <w:pPr>
              <w:pStyle w:val="TableParagraph"/>
              <w:spacing w:before="148"/>
              <w:ind w:right="18"/>
              <w:jc w:val="center"/>
              <w:rPr>
                <w:sz w:val="18"/>
              </w:rPr>
            </w:pPr>
            <w:r>
              <w:rPr>
                <w:sz w:val="18"/>
              </w:rPr>
              <w:t>低</w:t>
            </w:r>
          </w:p>
        </w:tc>
        <w:tc>
          <w:tcPr>
            <w:tcW w:w="828" w:type="dxa"/>
            <w:tcBorders>
              <w:top w:val="single" w:sz="4" w:space="0" w:color="000000"/>
              <w:bottom w:val="single" w:sz="4" w:space="0" w:color="000000"/>
            </w:tcBorders>
          </w:tcPr>
          <w:p>
            <w:pPr>
              <w:pStyle w:val="TableParagraph"/>
              <w:spacing w:before="148"/>
              <w:ind w:right="19"/>
              <w:jc w:val="center"/>
              <w:rPr>
                <w:sz w:val="18"/>
              </w:rPr>
            </w:pPr>
            <w:r>
              <w:rPr>
                <w:sz w:val="18"/>
              </w:rPr>
              <w:t>高</w:t>
            </w:r>
          </w:p>
        </w:tc>
        <w:tc>
          <w:tcPr>
            <w:tcW w:w="1007" w:type="dxa"/>
            <w:tcBorders>
              <w:top w:val="single" w:sz="4" w:space="0" w:color="000000"/>
              <w:bottom w:val="single" w:sz="4" w:space="0" w:color="000000"/>
            </w:tcBorders>
          </w:tcPr>
          <w:p>
            <w:pPr>
              <w:pStyle w:val="TableParagraph"/>
              <w:spacing w:before="148"/>
              <w:ind w:left="129" w:right="115"/>
              <w:jc w:val="center"/>
              <w:rPr>
                <w:sz w:val="18"/>
              </w:rPr>
            </w:pPr>
            <w:r>
              <w:rPr>
                <w:sz w:val="18"/>
              </w:rPr>
              <w:t>接受度低</w:t>
            </w:r>
          </w:p>
        </w:tc>
        <w:tc>
          <w:tcPr>
            <w:tcW w:w="1623" w:type="dxa"/>
            <w:tcBorders>
              <w:top w:val="single" w:sz="4" w:space="0" w:color="000000"/>
              <w:bottom w:val="single" w:sz="4" w:space="0" w:color="000000"/>
            </w:tcBorders>
          </w:tcPr>
          <w:p>
            <w:pPr>
              <w:pStyle w:val="TableParagraph"/>
              <w:spacing w:before="2"/>
              <w:ind w:right="8"/>
              <w:jc w:val="center"/>
              <w:rPr>
                <w:sz w:val="18"/>
              </w:rPr>
            </w:pPr>
            <w:r>
              <w:rPr>
                <w:sz w:val="18"/>
              </w:rPr>
              <w:t>高</w:t>
            </w:r>
          </w:p>
          <w:p>
            <w:pPr>
              <w:pStyle w:val="TableParagraph"/>
              <w:spacing w:before="62"/>
              <w:ind w:left="111" w:right="119"/>
              <w:jc w:val="center"/>
              <w:rPr>
                <w:sz w:val="18"/>
              </w:rPr>
            </w:pPr>
            <w:r>
              <w:rPr>
                <w:sz w:val="18"/>
              </w:rPr>
              <w:t>（质谱仪）</w:t>
            </w:r>
          </w:p>
        </w:tc>
        <w:tc>
          <w:tcPr>
            <w:tcW w:w="1782" w:type="dxa"/>
            <w:tcBorders>
              <w:top w:val="single" w:sz="4" w:space="0" w:color="000000"/>
              <w:bottom w:val="single" w:sz="4" w:space="0" w:color="000000"/>
            </w:tcBorders>
          </w:tcPr>
          <w:p>
            <w:pPr>
              <w:pStyle w:val="TableParagraph"/>
              <w:spacing w:before="163"/>
              <w:ind w:left="41"/>
              <w:jc w:val="center"/>
              <w:rPr>
                <w:rFonts w:ascii="Times New Roman"/>
                <w:sz w:val="18"/>
              </w:rPr>
            </w:pPr>
            <w:r>
              <w:rPr>
                <w:rFonts w:ascii="Times New Roman"/>
                <w:sz w:val="18"/>
              </w:rPr>
              <w:t>-</w:t>
            </w:r>
          </w:p>
        </w:tc>
        <w:tc>
          <w:tcPr>
            <w:tcW w:w="1206" w:type="dxa"/>
            <w:tcBorders>
              <w:top w:val="single" w:sz="4" w:space="0" w:color="000000"/>
              <w:bottom w:val="single" w:sz="4" w:space="0" w:color="000000"/>
            </w:tcBorders>
          </w:tcPr>
          <w:p>
            <w:pPr>
              <w:pStyle w:val="TableParagraph"/>
              <w:spacing w:before="148"/>
              <w:ind w:left="163" w:right="103"/>
              <w:jc w:val="center"/>
              <w:rPr>
                <w:sz w:val="18"/>
              </w:rPr>
            </w:pPr>
            <w:r>
              <w:rPr>
                <w:sz w:val="18"/>
              </w:rPr>
              <w:t>初期</w:t>
            </w:r>
          </w:p>
        </w:tc>
      </w:tr>
      <w:tr>
        <w:trPr>
          <w:trHeight w:val="585" w:hRule="atLeast"/>
        </w:trPr>
        <w:tc>
          <w:tcPr>
            <w:tcW w:w="1144" w:type="dxa"/>
            <w:tcBorders>
              <w:top w:val="single" w:sz="4" w:space="0" w:color="000000"/>
              <w:bottom w:val="single" w:sz="4" w:space="0" w:color="000000"/>
            </w:tcBorders>
          </w:tcPr>
          <w:p>
            <w:pPr>
              <w:pStyle w:val="TableParagraph"/>
              <w:spacing w:before="148"/>
              <w:ind w:left="67" w:right="83"/>
              <w:jc w:val="center"/>
              <w:rPr>
                <w:sz w:val="18"/>
              </w:rPr>
            </w:pPr>
            <w:r>
              <w:rPr>
                <w:sz w:val="18"/>
              </w:rPr>
              <w:t>外泌体检查</w:t>
            </w:r>
          </w:p>
        </w:tc>
        <w:tc>
          <w:tcPr>
            <w:tcW w:w="813" w:type="dxa"/>
            <w:tcBorders>
              <w:top w:val="single" w:sz="4" w:space="0" w:color="000000"/>
              <w:bottom w:val="single" w:sz="4" w:space="0" w:color="000000"/>
            </w:tcBorders>
          </w:tcPr>
          <w:p>
            <w:pPr>
              <w:pStyle w:val="TableParagraph"/>
              <w:spacing w:before="148"/>
              <w:ind w:right="4"/>
              <w:jc w:val="center"/>
              <w:rPr>
                <w:sz w:val="18"/>
              </w:rPr>
            </w:pPr>
            <w:r>
              <w:rPr>
                <w:sz w:val="18"/>
              </w:rPr>
              <w:t>高</w:t>
            </w:r>
          </w:p>
        </w:tc>
        <w:tc>
          <w:tcPr>
            <w:tcW w:w="801" w:type="dxa"/>
            <w:tcBorders>
              <w:top w:val="single" w:sz="4" w:space="0" w:color="000000"/>
              <w:bottom w:val="single" w:sz="4" w:space="0" w:color="000000"/>
            </w:tcBorders>
          </w:tcPr>
          <w:p>
            <w:pPr>
              <w:pStyle w:val="TableParagraph"/>
              <w:spacing w:before="148"/>
              <w:ind w:left="16"/>
              <w:jc w:val="center"/>
              <w:rPr>
                <w:sz w:val="18"/>
              </w:rPr>
            </w:pPr>
            <w:r>
              <w:rPr>
                <w:sz w:val="18"/>
              </w:rPr>
              <w:t>高</w:t>
            </w:r>
          </w:p>
        </w:tc>
        <w:tc>
          <w:tcPr>
            <w:tcW w:w="1333" w:type="dxa"/>
            <w:tcBorders>
              <w:top w:val="single" w:sz="4" w:space="0" w:color="000000"/>
              <w:bottom w:val="single" w:sz="4" w:space="0" w:color="000000"/>
            </w:tcBorders>
          </w:tcPr>
          <w:p>
            <w:pPr>
              <w:pStyle w:val="TableParagraph"/>
              <w:spacing w:before="148"/>
              <w:ind w:right="18"/>
              <w:jc w:val="center"/>
              <w:rPr>
                <w:sz w:val="18"/>
              </w:rPr>
            </w:pPr>
            <w:r>
              <w:rPr>
                <w:sz w:val="18"/>
              </w:rPr>
              <w:t>低</w:t>
            </w:r>
          </w:p>
        </w:tc>
        <w:tc>
          <w:tcPr>
            <w:tcW w:w="828" w:type="dxa"/>
            <w:tcBorders>
              <w:top w:val="single" w:sz="4" w:space="0" w:color="000000"/>
              <w:bottom w:val="single" w:sz="4" w:space="0" w:color="000000"/>
            </w:tcBorders>
          </w:tcPr>
          <w:p>
            <w:pPr>
              <w:pStyle w:val="TableParagraph"/>
              <w:spacing w:before="148"/>
              <w:ind w:right="19"/>
              <w:jc w:val="center"/>
              <w:rPr>
                <w:sz w:val="18"/>
              </w:rPr>
            </w:pPr>
            <w:r>
              <w:rPr>
                <w:sz w:val="18"/>
              </w:rPr>
              <w:t>高</w:t>
            </w:r>
          </w:p>
        </w:tc>
        <w:tc>
          <w:tcPr>
            <w:tcW w:w="1007" w:type="dxa"/>
            <w:tcBorders>
              <w:top w:val="single" w:sz="4" w:space="0" w:color="000000"/>
              <w:bottom w:val="single" w:sz="4" w:space="0" w:color="000000"/>
            </w:tcBorders>
          </w:tcPr>
          <w:p>
            <w:pPr>
              <w:pStyle w:val="TableParagraph"/>
              <w:spacing w:before="148"/>
              <w:ind w:left="129" w:right="115"/>
              <w:jc w:val="center"/>
              <w:rPr>
                <w:sz w:val="18"/>
              </w:rPr>
            </w:pPr>
            <w:r>
              <w:rPr>
                <w:sz w:val="18"/>
              </w:rPr>
              <w:t>接受度低</w:t>
            </w:r>
          </w:p>
        </w:tc>
        <w:tc>
          <w:tcPr>
            <w:tcW w:w="1623" w:type="dxa"/>
            <w:tcBorders>
              <w:top w:val="single" w:sz="4" w:space="0" w:color="000000"/>
              <w:bottom w:val="single" w:sz="4" w:space="0" w:color="000000"/>
            </w:tcBorders>
          </w:tcPr>
          <w:p>
            <w:pPr>
              <w:pStyle w:val="TableParagraph"/>
              <w:spacing w:before="4"/>
              <w:ind w:right="8"/>
              <w:jc w:val="center"/>
              <w:rPr>
                <w:sz w:val="18"/>
              </w:rPr>
            </w:pPr>
            <w:r>
              <w:rPr>
                <w:sz w:val="18"/>
              </w:rPr>
              <w:t>低</w:t>
            </w:r>
          </w:p>
          <w:p>
            <w:pPr>
              <w:pStyle w:val="TableParagraph"/>
              <w:spacing w:before="60"/>
              <w:ind w:left="107" w:right="119"/>
              <w:jc w:val="center"/>
              <w:rPr>
                <w:sz w:val="18"/>
              </w:rPr>
            </w:pPr>
            <w:r>
              <w:rPr>
                <w:sz w:val="18"/>
              </w:rPr>
              <w:t>（</w:t>
            </w:r>
            <w:r>
              <w:rPr>
                <w:rFonts w:ascii="Times New Roman" w:eastAsia="Times New Roman"/>
                <w:sz w:val="18"/>
              </w:rPr>
              <w:t>QPCR</w:t>
            </w:r>
            <w:r>
              <w:rPr>
                <w:sz w:val="18"/>
              </w:rPr>
              <w:t>）</w:t>
            </w:r>
          </w:p>
        </w:tc>
        <w:tc>
          <w:tcPr>
            <w:tcW w:w="1782" w:type="dxa"/>
            <w:tcBorders>
              <w:top w:val="single" w:sz="4" w:space="0" w:color="000000"/>
              <w:bottom w:val="single" w:sz="4" w:space="0" w:color="000000"/>
            </w:tcBorders>
          </w:tcPr>
          <w:p>
            <w:pPr>
              <w:pStyle w:val="TableParagraph"/>
              <w:spacing w:before="163"/>
              <w:ind w:left="41"/>
              <w:jc w:val="center"/>
              <w:rPr>
                <w:rFonts w:ascii="Times New Roman"/>
                <w:sz w:val="18"/>
              </w:rPr>
            </w:pPr>
            <w:r>
              <w:rPr>
                <w:rFonts w:ascii="Times New Roman"/>
                <w:sz w:val="18"/>
              </w:rPr>
              <w:t>-</w:t>
            </w:r>
          </w:p>
        </w:tc>
        <w:tc>
          <w:tcPr>
            <w:tcW w:w="1206" w:type="dxa"/>
            <w:tcBorders>
              <w:top w:val="single" w:sz="4" w:space="0" w:color="000000"/>
              <w:bottom w:val="single" w:sz="4" w:space="0" w:color="000000"/>
            </w:tcBorders>
          </w:tcPr>
          <w:p>
            <w:pPr>
              <w:pStyle w:val="TableParagraph"/>
              <w:spacing w:before="148"/>
              <w:ind w:left="163" w:right="103"/>
              <w:jc w:val="center"/>
              <w:rPr>
                <w:sz w:val="18"/>
              </w:rPr>
            </w:pPr>
            <w:r>
              <w:rPr>
                <w:sz w:val="18"/>
              </w:rPr>
              <w:t>初期</w:t>
            </w:r>
          </w:p>
        </w:tc>
      </w:tr>
      <w:tr>
        <w:trPr>
          <w:trHeight w:val="345" w:hRule="atLeast"/>
        </w:trPr>
        <w:tc>
          <w:tcPr>
            <w:tcW w:w="4919" w:type="dxa"/>
            <w:gridSpan w:val="5"/>
            <w:tcBorders>
              <w:top w:val="single" w:sz="4" w:space="0" w:color="000000"/>
            </w:tcBorders>
          </w:tcPr>
          <w:p>
            <w:pPr>
              <w:pStyle w:val="TableParagraph"/>
              <w:spacing w:before="2"/>
              <w:ind w:left="105"/>
              <w:rPr>
                <w:sz w:val="18"/>
              </w:rPr>
            </w:pPr>
            <w:r>
              <w:rPr>
                <w:sz w:val="18"/>
              </w:rPr>
              <w:t>资料来源：头豹研究院，兴业证券经济与金融研究院整理</w:t>
            </w:r>
          </w:p>
        </w:tc>
        <w:tc>
          <w:tcPr>
            <w:tcW w:w="1007" w:type="dxa"/>
            <w:tcBorders>
              <w:top w:val="single" w:sz="4" w:space="0" w:color="000000"/>
            </w:tcBorders>
          </w:tcPr>
          <w:p>
            <w:pPr>
              <w:pStyle w:val="TableParagraph"/>
              <w:rPr>
                <w:rFonts w:ascii="Times New Roman"/>
                <w:sz w:val="18"/>
              </w:rPr>
            </w:pPr>
          </w:p>
        </w:tc>
        <w:tc>
          <w:tcPr>
            <w:tcW w:w="1623" w:type="dxa"/>
            <w:tcBorders>
              <w:top w:val="single" w:sz="4" w:space="0" w:color="000000"/>
            </w:tcBorders>
          </w:tcPr>
          <w:p>
            <w:pPr>
              <w:pStyle w:val="TableParagraph"/>
              <w:rPr>
                <w:rFonts w:ascii="Times New Roman"/>
                <w:sz w:val="18"/>
              </w:rPr>
            </w:pPr>
          </w:p>
        </w:tc>
        <w:tc>
          <w:tcPr>
            <w:tcW w:w="1782" w:type="dxa"/>
            <w:tcBorders>
              <w:top w:val="single" w:sz="4" w:space="0" w:color="000000"/>
            </w:tcBorders>
          </w:tcPr>
          <w:p>
            <w:pPr>
              <w:pStyle w:val="TableParagraph"/>
              <w:rPr>
                <w:rFonts w:ascii="Times New Roman"/>
                <w:sz w:val="18"/>
              </w:rPr>
            </w:pPr>
          </w:p>
        </w:tc>
        <w:tc>
          <w:tcPr>
            <w:tcW w:w="1206" w:type="dxa"/>
            <w:tcBorders>
              <w:top w:val="single" w:sz="4" w:space="0" w:color="000000"/>
            </w:tcBorders>
          </w:tcPr>
          <w:p>
            <w:pPr>
              <w:pStyle w:val="TableParagraph"/>
              <w:rPr>
                <w:rFonts w:ascii="Times New Roman"/>
                <w:sz w:val="18"/>
              </w:rPr>
            </w:pPr>
          </w:p>
        </w:tc>
      </w:tr>
    </w:tbl>
    <w:p>
      <w:pPr>
        <w:spacing w:after="0"/>
        <w:rPr>
          <w:rFonts w:ascii="Times New Roman"/>
          <w:sz w:val="18"/>
        </w:rPr>
        <w:sectPr>
          <w:pgSz w:w="11910" w:h="16840"/>
          <w:pgMar w:header="868" w:footer="1172" w:top="1400" w:bottom="1360" w:left="240" w:right="400"/>
        </w:sectPr>
      </w:pPr>
    </w:p>
    <w:p>
      <w:pPr>
        <w:pStyle w:val="BodyText"/>
        <w:spacing w:before="4"/>
        <w:rPr>
          <w:sz w:val="13"/>
        </w:rPr>
      </w:pPr>
    </w:p>
    <w:p>
      <w:pPr>
        <w:pStyle w:val="BodyText"/>
        <w:spacing w:line="20" w:lineRule="exact"/>
        <w:ind w:left="614"/>
        <w:rPr>
          <w:sz w:val="2"/>
        </w:rPr>
      </w:pPr>
      <w:r>
        <w:rPr>
          <w:sz w:val="2"/>
        </w:rPr>
        <w:pict>
          <v:group style="width:508.1pt;height:.75pt;mso-position-horizontal-relative:char;mso-position-vertical-relative:line" coordorigin="0,0" coordsize="10162,15">
            <v:rect style="position:absolute;left:0;top:0;width:10162;height:15" filled="true" fillcolor="#333366" stroked="false">
              <v:fill type="solid"/>
            </v:rect>
          </v:group>
        </w:pict>
      </w:r>
      <w:r>
        <w:rPr>
          <w:sz w:val="2"/>
        </w:rPr>
      </w:r>
    </w:p>
    <w:p>
      <w:pPr>
        <w:spacing w:line="315" w:lineRule="exact" w:before="0"/>
        <w:ind w:left="3163" w:right="0" w:firstLine="0"/>
        <w:jc w:val="left"/>
        <w:rPr>
          <w:sz w:val="21"/>
        </w:rPr>
      </w:pPr>
      <w:r>
        <w:rPr>
          <w:rFonts w:ascii="Times New Roman" w:eastAsia="Times New Roman"/>
          <w:b/>
          <w:sz w:val="21"/>
        </w:rPr>
        <w:t>AD </w:t>
      </w:r>
      <w:r>
        <w:rPr>
          <w:rFonts w:ascii="Microsoft JhengHei" w:eastAsia="Microsoft JhengHei" w:hint="eastAsia"/>
          <w:b/>
          <w:sz w:val="21"/>
        </w:rPr>
        <w:t>诊断行业上游包括设备、耗材供应商。</w:t>
      </w:r>
      <w:r>
        <w:rPr>
          <w:sz w:val="21"/>
        </w:rPr>
        <w:t>主要涵盖医学影像设备、检验分析设备</w:t>
      </w:r>
    </w:p>
    <w:p>
      <w:pPr>
        <w:pStyle w:val="BodyText"/>
        <w:spacing w:before="24"/>
        <w:ind w:left="3163"/>
      </w:pPr>
      <w:r>
        <w:rPr/>
        <w:t>和试剂耗材，进口产品竞争优势明显。</w:t>
      </w:r>
    </w:p>
    <w:p>
      <w:pPr>
        <w:pStyle w:val="BodyText"/>
        <w:rPr>
          <w:sz w:val="20"/>
        </w:rPr>
      </w:pPr>
    </w:p>
    <w:p>
      <w:pPr>
        <w:pStyle w:val="BodyText"/>
        <w:spacing w:before="9"/>
        <w:rPr>
          <w:sz w:val="10"/>
        </w:rPr>
      </w:pPr>
    </w:p>
    <w:tbl>
      <w:tblPr>
        <w:tblW w:w="0" w:type="auto"/>
        <w:jc w:val="left"/>
        <w:tblInd w:w="31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939"/>
      </w:tblGrid>
      <w:tr>
        <w:trPr>
          <w:trHeight w:val="336" w:hRule="atLeast"/>
        </w:trPr>
        <w:tc>
          <w:tcPr>
            <w:tcW w:w="7939" w:type="dxa"/>
            <w:tcBorders>
              <w:bottom w:val="single" w:sz="4" w:space="0" w:color="000000"/>
            </w:tcBorders>
          </w:tcPr>
          <w:p>
            <w:pPr>
              <w:pStyle w:val="TableParagraph"/>
              <w:spacing w:line="295" w:lineRule="exact"/>
              <w:ind w:left="108"/>
              <w:rPr>
                <w:rFonts w:ascii="Microsoft JhengHei" w:eastAsia="Microsoft JhengHei" w:hint="eastAsia"/>
                <w:b/>
                <w:sz w:val="21"/>
              </w:rPr>
            </w:pPr>
            <w:bookmarkStart w:name="_bookmark27" w:id="41"/>
            <w:bookmarkEnd w:id="41"/>
            <w:r>
              <w:rPr/>
            </w:r>
            <w:r>
              <w:rPr>
                <w:rFonts w:ascii="Microsoft JhengHei" w:eastAsia="Microsoft JhengHei" w:hint="eastAsia"/>
                <w:b/>
                <w:sz w:val="21"/>
              </w:rPr>
              <w:t>图 </w:t>
            </w:r>
            <w:r>
              <w:rPr>
                <w:rFonts w:ascii="Times New Roman" w:eastAsia="Times New Roman"/>
                <w:b/>
                <w:sz w:val="21"/>
              </w:rPr>
              <w:t>10</w:t>
            </w:r>
            <w:r>
              <w:rPr>
                <w:rFonts w:ascii="Microsoft JhengHei" w:eastAsia="Microsoft JhengHei" w:hint="eastAsia"/>
                <w:b/>
                <w:sz w:val="21"/>
              </w:rPr>
              <w:t>、</w:t>
            </w:r>
            <w:r>
              <w:rPr>
                <w:rFonts w:ascii="Times New Roman" w:eastAsia="Times New Roman"/>
                <w:b/>
                <w:sz w:val="21"/>
              </w:rPr>
              <w:t>AD </w:t>
            </w:r>
            <w:r>
              <w:rPr>
                <w:rFonts w:ascii="Microsoft JhengHei" w:eastAsia="Microsoft JhengHei" w:hint="eastAsia"/>
                <w:b/>
                <w:sz w:val="21"/>
              </w:rPr>
              <w:t>诊断行业上游</w:t>
            </w:r>
          </w:p>
        </w:tc>
      </w:tr>
      <w:tr>
        <w:trPr>
          <w:trHeight w:val="3278" w:hRule="atLeast"/>
        </w:trPr>
        <w:tc>
          <w:tcPr>
            <w:tcW w:w="7939" w:type="dxa"/>
            <w:tcBorders>
              <w:top w:val="single" w:sz="4" w:space="0" w:color="000000"/>
              <w:bottom w:val="single" w:sz="4" w:space="0" w:color="000000"/>
            </w:tcBorders>
          </w:tcPr>
          <w:p>
            <w:pPr>
              <w:pStyle w:val="TableParagraph"/>
              <w:spacing w:before="8"/>
              <w:rPr>
                <w:sz w:val="5"/>
              </w:rPr>
            </w:pPr>
          </w:p>
          <w:p>
            <w:pPr>
              <w:pStyle w:val="TableParagraph"/>
              <w:ind w:left="106"/>
              <w:rPr>
                <w:sz w:val="20"/>
              </w:rPr>
            </w:pPr>
            <w:r>
              <w:rPr>
                <w:sz w:val="20"/>
              </w:rPr>
              <w:drawing>
                <wp:inline distT="0" distB="0" distL="0" distR="0">
                  <wp:extent cx="4654004" cy="1938527"/>
                  <wp:effectExtent l="0" t="0" r="0" b="0"/>
                  <wp:docPr id="27" name="image14.jpeg"/>
                  <wp:cNvGraphicFramePr>
                    <a:graphicFrameLocks noChangeAspect="1"/>
                  </wp:cNvGraphicFramePr>
                  <a:graphic>
                    <a:graphicData uri="http://schemas.openxmlformats.org/drawingml/2006/picture">
                      <pic:pic>
                        <pic:nvPicPr>
                          <pic:cNvPr id="28" name="image14.jpeg"/>
                          <pic:cNvPicPr/>
                        </pic:nvPicPr>
                        <pic:blipFill>
                          <a:blip r:embed="rId33" cstate="print"/>
                          <a:stretch>
                            <a:fillRect/>
                          </a:stretch>
                        </pic:blipFill>
                        <pic:spPr>
                          <a:xfrm>
                            <a:off x="0" y="0"/>
                            <a:ext cx="4654004" cy="1938527"/>
                          </a:xfrm>
                          <a:prstGeom prst="rect">
                            <a:avLst/>
                          </a:prstGeom>
                        </pic:spPr>
                      </pic:pic>
                    </a:graphicData>
                  </a:graphic>
                </wp:inline>
              </w:drawing>
            </w:r>
            <w:r>
              <w:rPr>
                <w:sz w:val="20"/>
              </w:rPr>
            </w:r>
          </w:p>
        </w:tc>
      </w:tr>
      <w:tr>
        <w:trPr>
          <w:trHeight w:val="226" w:hRule="atLeast"/>
        </w:trPr>
        <w:tc>
          <w:tcPr>
            <w:tcW w:w="7939" w:type="dxa"/>
            <w:tcBorders>
              <w:top w:val="single" w:sz="4" w:space="0" w:color="000000"/>
            </w:tcBorders>
          </w:tcPr>
          <w:p>
            <w:pPr>
              <w:pStyle w:val="TableParagraph"/>
              <w:spacing w:line="185" w:lineRule="exact" w:before="21"/>
              <w:ind w:left="108"/>
              <w:rPr>
                <w:sz w:val="18"/>
              </w:rPr>
            </w:pPr>
            <w:r>
              <w:rPr>
                <w:sz w:val="18"/>
              </w:rPr>
              <w:t>资料来源：企业官网，头豹研究院，兴业证券经济与金融研究院整理</w:t>
            </w:r>
          </w:p>
        </w:tc>
      </w:tr>
    </w:tbl>
    <w:p>
      <w:pPr>
        <w:pStyle w:val="BodyText"/>
        <w:spacing w:before="7"/>
      </w:pPr>
    </w:p>
    <w:p>
      <w:pPr>
        <w:pStyle w:val="Heading3"/>
        <w:numPr>
          <w:ilvl w:val="2"/>
          <w:numId w:val="3"/>
        </w:numPr>
        <w:tabs>
          <w:tab w:pos="3858" w:val="left" w:leader="none"/>
        </w:tabs>
        <w:spacing w:line="240" w:lineRule="auto" w:before="2" w:after="0"/>
        <w:ind w:left="3857" w:right="0" w:hanging="695"/>
        <w:jc w:val="left"/>
        <w:rPr>
          <w:color w:val="333366"/>
        </w:rPr>
      </w:pPr>
      <w:bookmarkStart w:name="_bookmark28" w:id="42"/>
      <w:bookmarkEnd w:id="42"/>
      <w:r>
        <w:rPr>
          <w:b w:val="0"/>
        </w:rPr>
      </w:r>
      <w:bookmarkStart w:name="_bookmark28" w:id="43"/>
      <w:bookmarkEnd w:id="43"/>
      <w:r>
        <w:rPr>
          <w:color w:val="333366"/>
          <w:w w:val="95"/>
        </w:rPr>
        <w:t>A</w:t>
      </w:r>
      <w:r>
        <w:rPr>
          <w:color w:val="333366"/>
          <w:w w:val="95"/>
        </w:rPr>
        <w:t>D</w:t>
      </w:r>
      <w:r>
        <w:rPr>
          <w:color w:val="333366"/>
          <w:spacing w:val="1"/>
          <w:w w:val="95"/>
        </w:rPr>
        <w:t> </w:t>
      </w:r>
      <w:r>
        <w:rPr>
          <w:color w:val="333366"/>
        </w:rPr>
        <w:t>早诊试剂盒</w:t>
      </w:r>
    </w:p>
    <w:p>
      <w:pPr>
        <w:spacing w:line="232" w:lineRule="auto" w:before="155"/>
        <w:ind w:left="3163" w:right="726" w:firstLine="0"/>
        <w:jc w:val="both"/>
        <w:rPr>
          <w:sz w:val="21"/>
        </w:rPr>
      </w:pPr>
      <w:r>
        <w:rPr>
          <w:rFonts w:ascii="Times New Roman" w:eastAsia="Times New Roman"/>
          <w:b/>
          <w:sz w:val="21"/>
        </w:rPr>
        <w:t>1</w:t>
      </w:r>
      <w:r>
        <w:rPr>
          <w:rFonts w:ascii="Microsoft JhengHei" w:eastAsia="Microsoft JhengHei" w:hint="eastAsia"/>
          <w:b/>
          <w:sz w:val="21"/>
        </w:rPr>
        <w:t>）</w:t>
      </w:r>
      <w:r>
        <w:rPr>
          <w:rFonts w:ascii="Times New Roman" w:eastAsia="Times New Roman"/>
          <w:b/>
          <w:sz w:val="21"/>
        </w:rPr>
        <w:t>2023 </w:t>
      </w:r>
      <w:r>
        <w:rPr>
          <w:rFonts w:ascii="Microsoft JhengHei" w:eastAsia="Microsoft JhengHei" w:hint="eastAsia"/>
          <w:b/>
          <w:sz w:val="21"/>
        </w:rPr>
        <w:t>年 </w:t>
      </w:r>
      <w:r>
        <w:rPr>
          <w:rFonts w:ascii="Times New Roman" w:eastAsia="Times New Roman"/>
          <w:b/>
          <w:sz w:val="21"/>
        </w:rPr>
        <w:t>7 </w:t>
      </w:r>
      <w:r>
        <w:rPr>
          <w:rFonts w:ascii="Microsoft JhengHei" w:eastAsia="Microsoft JhengHei" w:hint="eastAsia"/>
          <w:b/>
          <w:sz w:val="21"/>
        </w:rPr>
        <w:t>月 </w:t>
      </w:r>
      <w:r>
        <w:rPr>
          <w:rFonts w:ascii="Times New Roman" w:eastAsia="Times New Roman"/>
          <w:b/>
          <w:sz w:val="21"/>
        </w:rPr>
        <w:t>6 </w:t>
      </w:r>
      <w:r>
        <w:rPr>
          <w:rFonts w:ascii="Microsoft JhengHei" w:eastAsia="Microsoft JhengHei" w:hint="eastAsia"/>
          <w:b/>
          <w:sz w:val="21"/>
        </w:rPr>
        <w:t>日，基因检测公司 </w:t>
      </w:r>
      <w:r>
        <w:rPr>
          <w:rFonts w:ascii="Times New Roman" w:eastAsia="Times New Roman"/>
          <w:b/>
          <w:sz w:val="21"/>
        </w:rPr>
        <w:t>Quanterix </w:t>
      </w:r>
      <w:r>
        <w:rPr>
          <w:rFonts w:ascii="Microsoft JhengHei" w:eastAsia="Microsoft JhengHei" w:hint="eastAsia"/>
          <w:b/>
          <w:sz w:val="21"/>
        </w:rPr>
        <w:t>宣布推出 </w:t>
      </w:r>
      <w:r>
        <w:rPr>
          <w:rFonts w:ascii="Times New Roman" w:eastAsia="Times New Roman"/>
          <w:b/>
          <w:sz w:val="21"/>
        </w:rPr>
        <w:t>LucentAD </w:t>
      </w:r>
      <w:r>
        <w:rPr>
          <w:rFonts w:ascii="Microsoft JhengHei" w:eastAsia="Microsoft JhengHei" w:hint="eastAsia"/>
          <w:b/>
          <w:sz w:val="21"/>
        </w:rPr>
        <w:t>生物标志物血液检测试剂盒。</w:t>
      </w:r>
      <w:r>
        <w:rPr>
          <w:sz w:val="21"/>
        </w:rPr>
        <w:t>医疗保健提供者可以订购 </w:t>
      </w:r>
      <w:r>
        <w:rPr>
          <w:rFonts w:ascii="Times New Roman" w:eastAsia="Times New Roman"/>
          <w:sz w:val="21"/>
        </w:rPr>
        <w:t>LucentAD </w:t>
      </w:r>
      <w:r>
        <w:rPr>
          <w:sz w:val="21"/>
        </w:rPr>
        <w:t>测试，但该产品尚未获得美国 </w:t>
      </w:r>
      <w:r>
        <w:rPr>
          <w:rFonts w:ascii="Times New Roman" w:eastAsia="Times New Roman"/>
          <w:sz w:val="21"/>
        </w:rPr>
        <w:t>FDA </w:t>
      </w:r>
      <w:r>
        <w:rPr>
          <w:sz w:val="21"/>
        </w:rPr>
        <w:t>的批准。</w:t>
      </w:r>
      <w:r>
        <w:rPr>
          <w:rFonts w:ascii="Times New Roman" w:eastAsia="Times New Roman"/>
          <w:sz w:val="21"/>
        </w:rPr>
        <w:t>LucentAD </w:t>
      </w:r>
      <w:r>
        <w:rPr>
          <w:sz w:val="21"/>
        </w:rPr>
        <w:t>利用 </w:t>
      </w:r>
      <w:r>
        <w:rPr>
          <w:rFonts w:ascii="Times New Roman" w:eastAsia="Times New Roman"/>
          <w:sz w:val="21"/>
        </w:rPr>
        <w:t>Simoa p-Tau 181 </w:t>
      </w:r>
      <w:r>
        <w:rPr>
          <w:sz w:val="21"/>
        </w:rPr>
        <w:t>测定法（单分子免疫阵列技</w:t>
      </w:r>
    </w:p>
    <w:p>
      <w:pPr>
        <w:pStyle w:val="BodyText"/>
        <w:spacing w:line="304" w:lineRule="auto" w:before="74"/>
        <w:ind w:left="3163" w:right="724"/>
        <w:jc w:val="both"/>
      </w:pPr>
      <w:r>
        <w:rPr>
          <w:spacing w:val="-2"/>
        </w:rPr>
        <w:t>术，</w:t>
      </w:r>
      <w:r>
        <w:rPr>
          <w:rFonts w:ascii="Times New Roman" w:hAnsi="Times New Roman" w:eastAsia="Times New Roman"/>
          <w:spacing w:val="-3"/>
        </w:rPr>
        <w:t>single⁃molecule</w:t>
      </w:r>
      <w:r>
        <w:rPr>
          <w:rFonts w:ascii="Times New Roman" w:hAnsi="Times New Roman" w:eastAsia="Times New Roman"/>
          <w:spacing w:val="-6"/>
        </w:rPr>
        <w:t> </w:t>
      </w:r>
      <w:r>
        <w:rPr>
          <w:rFonts w:ascii="Times New Roman" w:hAnsi="Times New Roman" w:eastAsia="Times New Roman"/>
          <w:spacing w:val="-7"/>
        </w:rPr>
        <w:t>array</w:t>
      </w:r>
      <w:r>
        <w:rPr>
          <w:spacing w:val="-12"/>
        </w:rPr>
        <w:t>，又称 </w:t>
      </w:r>
      <w:r>
        <w:rPr>
          <w:rFonts w:ascii="Times New Roman" w:hAnsi="Times New Roman" w:eastAsia="Times New Roman"/>
        </w:rPr>
        <w:t>Simoa</w:t>
      </w:r>
      <w:r>
        <w:rPr>
          <w:rFonts w:ascii="Times New Roman" w:hAnsi="Times New Roman" w:eastAsia="Times New Roman"/>
          <w:spacing w:val="14"/>
        </w:rPr>
        <w:t> </w:t>
      </w:r>
      <w:r>
        <w:rPr>
          <w:spacing w:val="-2"/>
        </w:rPr>
        <w:t>技术</w:t>
      </w:r>
      <w:r>
        <w:rPr>
          <w:spacing w:val="-33"/>
        </w:rPr>
        <w:t>）</w:t>
      </w:r>
      <w:r>
        <w:rPr>
          <w:spacing w:val="-7"/>
        </w:rPr>
        <w:t>，该检测已在大型纵向和横断面队列</w:t>
      </w:r>
      <w:r>
        <w:rPr>
          <w:spacing w:val="-16"/>
        </w:rPr>
        <w:t>中进行了广泛研究，通过与淀粉样蛋白正电子发射断层扫描</w:t>
      </w:r>
      <w:r>
        <w:rPr/>
        <w:t>（</w:t>
      </w:r>
      <w:r>
        <w:rPr>
          <w:rFonts w:ascii="Times New Roman" w:hAnsi="Times New Roman" w:eastAsia="Times New Roman"/>
        </w:rPr>
        <w:t>AD</w:t>
      </w:r>
      <w:r>
        <w:rPr>
          <w:rFonts w:ascii="Times New Roman" w:hAnsi="Times New Roman" w:eastAsia="Times New Roman"/>
          <w:spacing w:val="33"/>
        </w:rPr>
        <w:t> </w:t>
      </w:r>
      <w:r>
        <w:rPr>
          <w:spacing w:val="-3"/>
        </w:rPr>
        <w:t>诊断的金标准</w:t>
      </w:r>
      <w:r>
        <w:rPr/>
        <w:t>） </w:t>
      </w:r>
      <w:r>
        <w:rPr>
          <w:spacing w:val="-5"/>
        </w:rPr>
        <w:t>进行比较，其对 </w:t>
      </w:r>
      <w:r>
        <w:rPr>
          <w:rFonts w:ascii="Times New Roman" w:hAnsi="Times New Roman" w:eastAsia="Times New Roman"/>
        </w:rPr>
        <w:t>AD</w:t>
      </w:r>
      <w:r>
        <w:rPr>
          <w:rFonts w:ascii="Times New Roman" w:hAnsi="Times New Roman" w:eastAsia="Times New Roman"/>
          <w:spacing w:val="15"/>
        </w:rPr>
        <w:t> </w:t>
      </w:r>
      <w:r>
        <w:rPr>
          <w:spacing w:val="-5"/>
        </w:rPr>
        <w:t>淀粉样蛋白病理学的高度特异性已得到充分确立。</w:t>
      </w:r>
      <w:r>
        <w:rPr>
          <w:rFonts w:ascii="Times New Roman" w:hAnsi="Times New Roman" w:eastAsia="Times New Roman"/>
          <w:spacing w:val="-4"/>
        </w:rPr>
        <w:t>p-Tau</w:t>
      </w:r>
      <w:r>
        <w:rPr>
          <w:rFonts w:ascii="Times New Roman" w:hAnsi="Times New Roman" w:eastAsia="Times New Roman"/>
          <w:spacing w:val="-12"/>
        </w:rPr>
        <w:t> </w:t>
      </w:r>
      <w:r>
        <w:rPr>
          <w:rFonts w:ascii="Times New Roman" w:hAnsi="Times New Roman" w:eastAsia="Times New Roman"/>
        </w:rPr>
        <w:t>181 </w:t>
      </w:r>
      <w:r>
        <w:rPr>
          <w:spacing w:val="-3"/>
        </w:rPr>
        <w:t>是血液中低丰度的蛋白质，需要高分析灵敏度才能进行可靠的测量。该测试最近也被证明与抗淀粉样蛋白药物治疗的患者大脑中淀粉样蛋白负荷的减少有关，如</w:t>
      </w:r>
      <w:r>
        <w:rPr>
          <w:rFonts w:ascii="Times New Roman" w:hAnsi="Times New Roman" w:eastAsia="Times New Roman"/>
          <w:spacing w:val="-3"/>
        </w:rPr>
        <w:t>lecanemab</w:t>
      </w:r>
      <w:r>
        <w:rPr>
          <w:spacing w:val="-3"/>
        </w:rPr>
        <w:t>（</w:t>
      </w:r>
      <w:r>
        <w:rPr>
          <w:rFonts w:ascii="Times New Roman" w:hAnsi="Times New Roman" w:eastAsia="Times New Roman"/>
          <w:spacing w:val="-3"/>
        </w:rPr>
        <w:t>Leqembi</w:t>
      </w:r>
      <w:r>
        <w:rPr>
          <w:spacing w:val="-3"/>
        </w:rPr>
        <w:t>）</w:t>
      </w:r>
      <w:r>
        <w:rPr>
          <w:rFonts w:ascii="Times New Roman" w:hAnsi="Times New Roman" w:eastAsia="Times New Roman"/>
          <w:spacing w:val="-3"/>
        </w:rPr>
        <w:t>Clarity</w:t>
      </w:r>
      <w:r>
        <w:rPr>
          <w:rFonts w:ascii="Times New Roman" w:hAnsi="Times New Roman" w:eastAsia="Times New Roman"/>
          <w:spacing w:val="-21"/>
        </w:rPr>
        <w:t> </w:t>
      </w:r>
      <w:r>
        <w:rPr>
          <w:rFonts w:ascii="Times New Roman" w:hAnsi="Times New Roman" w:eastAsia="Times New Roman"/>
        </w:rPr>
        <w:t>AD</w:t>
      </w:r>
      <w:r>
        <w:rPr>
          <w:rFonts w:ascii="Times New Roman" w:hAnsi="Times New Roman" w:eastAsia="Times New Roman"/>
          <w:spacing w:val="5"/>
        </w:rPr>
        <w:t> </w:t>
      </w:r>
      <w:r>
        <w:rPr>
          <w:spacing w:val="-6"/>
        </w:rPr>
        <w:t>药物试验所示。</w:t>
      </w:r>
      <w:r>
        <w:rPr>
          <w:rFonts w:ascii="Times New Roman" w:hAnsi="Times New Roman" w:eastAsia="Times New Roman"/>
        </w:rPr>
        <w:t>2021</w:t>
      </w:r>
      <w:r>
        <w:rPr>
          <w:rFonts w:ascii="Times New Roman" w:hAnsi="Times New Roman" w:eastAsia="Times New Roman"/>
          <w:spacing w:val="3"/>
        </w:rPr>
        <w:t> </w:t>
      </w:r>
      <w:r>
        <w:rPr>
          <w:spacing w:val="-25"/>
        </w:rPr>
        <w:t>年 </w:t>
      </w:r>
      <w:r>
        <w:rPr>
          <w:rFonts w:ascii="Times New Roman" w:hAnsi="Times New Roman" w:eastAsia="Times New Roman"/>
        </w:rPr>
        <w:t>10</w:t>
      </w:r>
      <w:r>
        <w:rPr>
          <w:rFonts w:ascii="Times New Roman" w:hAnsi="Times New Roman" w:eastAsia="Times New Roman"/>
          <w:spacing w:val="3"/>
        </w:rPr>
        <w:t> </w:t>
      </w:r>
      <w:r>
        <w:rPr>
          <w:spacing w:val="-26"/>
        </w:rPr>
        <w:t>月 </w:t>
      </w:r>
      <w:r>
        <w:rPr>
          <w:rFonts w:ascii="Times New Roman" w:hAnsi="Times New Roman" w:eastAsia="Times New Roman"/>
          <w:spacing w:val="-4"/>
        </w:rPr>
        <w:t>11</w:t>
      </w:r>
      <w:r>
        <w:rPr>
          <w:rFonts w:ascii="Times New Roman" w:hAnsi="Times New Roman" w:eastAsia="Times New Roman"/>
        </w:rPr>
        <w:t> </w:t>
      </w:r>
      <w:r>
        <w:rPr>
          <w:spacing w:val="2"/>
        </w:rPr>
        <w:t>日 </w:t>
      </w:r>
      <w:r>
        <w:rPr>
          <w:rFonts w:ascii="Times New Roman" w:hAnsi="Times New Roman" w:eastAsia="Times New Roman"/>
        </w:rPr>
        <w:t>Quanterix</w:t>
      </w:r>
      <w:r>
        <w:rPr>
          <w:rFonts w:ascii="Times New Roman" w:hAnsi="Times New Roman" w:eastAsia="Times New Roman"/>
          <w:spacing w:val="1"/>
        </w:rPr>
        <w:t> </w:t>
      </w:r>
      <w:r>
        <w:rPr/>
        <w:t>公</w:t>
      </w:r>
      <w:r>
        <w:rPr>
          <w:spacing w:val="-13"/>
        </w:rPr>
        <w:t>司宣布 </w:t>
      </w:r>
      <w:r>
        <w:rPr>
          <w:rFonts w:ascii="Times New Roman" w:hAnsi="Times New Roman" w:eastAsia="Times New Roman"/>
        </w:rPr>
        <w:t>Simoa</w:t>
      </w:r>
      <w:r>
        <w:rPr>
          <w:rFonts w:ascii="Times New Roman" w:hAnsi="Times New Roman" w:eastAsia="Times New Roman"/>
          <w:spacing w:val="3"/>
        </w:rPr>
        <w:t> </w:t>
      </w:r>
      <w:r>
        <w:rPr>
          <w:spacing w:val="-14"/>
        </w:rPr>
        <w:t>磷酸化 </w:t>
      </w:r>
      <w:r>
        <w:rPr>
          <w:rFonts w:ascii="Times New Roman" w:hAnsi="Times New Roman" w:eastAsia="Times New Roman"/>
          <w:spacing w:val="-5"/>
        </w:rPr>
        <w:t>Tau</w:t>
      </w:r>
      <w:r>
        <w:rPr>
          <w:rFonts w:ascii="Times New Roman" w:hAnsi="Times New Roman" w:eastAsia="Times New Roman"/>
          <w:spacing w:val="25"/>
        </w:rPr>
        <w:t> </w:t>
      </w:r>
      <w:r>
        <w:rPr>
          <w:rFonts w:ascii="Times New Roman" w:hAnsi="Times New Roman" w:eastAsia="Times New Roman"/>
        </w:rPr>
        <w:t>181</w:t>
      </w:r>
      <w:r>
        <w:rPr/>
        <w:t>（</w:t>
      </w:r>
      <w:r>
        <w:rPr>
          <w:rFonts w:ascii="Times New Roman" w:hAnsi="Times New Roman" w:eastAsia="Times New Roman"/>
        </w:rPr>
        <w:t>pTau-181</w:t>
      </w:r>
      <w:r>
        <w:rPr/>
        <w:t>）</w:t>
      </w:r>
      <w:r>
        <w:rPr>
          <w:spacing w:val="-8"/>
        </w:rPr>
        <w:t>血检技术获得美国 </w:t>
      </w:r>
      <w:r>
        <w:rPr>
          <w:rFonts w:ascii="Times New Roman" w:hAnsi="Times New Roman" w:eastAsia="Times New Roman"/>
        </w:rPr>
        <w:t>FDA</w:t>
      </w:r>
      <w:r>
        <w:rPr>
          <w:rFonts w:ascii="Times New Roman" w:hAnsi="Times New Roman" w:eastAsia="Times New Roman"/>
          <w:spacing w:val="4"/>
        </w:rPr>
        <w:t> </w:t>
      </w:r>
      <w:r>
        <w:rPr>
          <w:spacing w:val="-3"/>
        </w:rPr>
        <w:t>突破性器械认</w:t>
      </w:r>
      <w:r>
        <w:rPr>
          <w:spacing w:val="-9"/>
        </w:rPr>
        <w:t>定，此方法可用于 </w:t>
      </w:r>
      <w:r>
        <w:rPr>
          <w:rFonts w:ascii="Times New Roman" w:hAnsi="Times New Roman" w:eastAsia="Times New Roman"/>
        </w:rPr>
        <w:t>50</w:t>
      </w:r>
      <w:r>
        <w:rPr>
          <w:rFonts w:ascii="Times New Roman" w:hAnsi="Times New Roman" w:eastAsia="Times New Roman"/>
          <w:spacing w:val="1"/>
        </w:rPr>
        <w:t> </w:t>
      </w:r>
      <w:r>
        <w:rPr>
          <w:spacing w:val="-7"/>
        </w:rPr>
        <w:t>岁及以上具有认知障碍的患者的 </w:t>
      </w:r>
      <w:r>
        <w:rPr>
          <w:rFonts w:ascii="Times New Roman" w:hAnsi="Times New Roman" w:eastAsia="Times New Roman"/>
        </w:rPr>
        <w:t>AD </w:t>
      </w:r>
      <w:r>
        <w:rPr>
          <w:spacing w:val="-3"/>
        </w:rPr>
        <w:t>诊断辅助。</w:t>
      </w:r>
    </w:p>
    <w:p>
      <w:pPr>
        <w:pStyle w:val="BodyText"/>
        <w:spacing w:before="11"/>
        <w:rPr>
          <w:sz w:val="19"/>
        </w:rPr>
      </w:pPr>
    </w:p>
    <w:p>
      <w:pPr>
        <w:pStyle w:val="Heading3"/>
        <w:spacing w:line="211" w:lineRule="auto"/>
        <w:ind w:left="3163" w:right="726"/>
        <w:jc w:val="both"/>
        <w:rPr>
          <w:rFonts w:ascii="Times New Roman" w:hAnsi="Times New Roman" w:eastAsia="Times New Roman"/>
          <w:b w:val="0"/>
        </w:rPr>
      </w:pPr>
      <w:r>
        <w:rPr>
          <w:rFonts w:ascii="Times New Roman" w:hAnsi="Times New Roman" w:eastAsia="Times New Roman"/>
          <w:spacing w:val="-7"/>
        </w:rPr>
        <w:t>2</w:t>
      </w:r>
      <w:r>
        <w:rPr>
          <w:spacing w:val="-7"/>
        </w:rPr>
        <w:t>）</w:t>
      </w:r>
      <w:r>
        <w:rPr>
          <w:rFonts w:ascii="Times New Roman" w:hAnsi="Times New Roman" w:eastAsia="Times New Roman"/>
          <w:spacing w:val="-7"/>
        </w:rPr>
        <w:t>2022 </w:t>
      </w:r>
      <w:r>
        <w:rPr>
          <w:spacing w:val="4"/>
        </w:rPr>
        <w:t>年 </w:t>
      </w:r>
      <w:r>
        <w:rPr>
          <w:rFonts w:ascii="Times New Roman" w:hAnsi="Times New Roman" w:eastAsia="Times New Roman"/>
        </w:rPr>
        <w:t>5 </w:t>
      </w:r>
      <w:r>
        <w:rPr>
          <w:spacing w:val="3"/>
        </w:rPr>
        <w:t>月 </w:t>
      </w:r>
      <w:r>
        <w:rPr>
          <w:rFonts w:ascii="Times New Roman" w:hAnsi="Times New Roman" w:eastAsia="Times New Roman"/>
        </w:rPr>
        <w:t>4 </w:t>
      </w:r>
      <w:r>
        <w:rPr>
          <w:spacing w:val="4"/>
        </w:rPr>
        <w:t>日 </w:t>
      </w:r>
      <w:r>
        <w:rPr>
          <w:rFonts w:ascii="Times New Roman" w:hAnsi="Times New Roman" w:eastAsia="Times New Roman"/>
        </w:rPr>
        <w:t>FDA </w:t>
      </w:r>
      <w:r>
        <w:rPr>
          <w:spacing w:val="-4"/>
        </w:rPr>
        <w:t>批准了首款阿尔茨海默病早期诊断试剂盒，该试剂盒是</w:t>
      </w:r>
      <w:r>
        <w:rPr>
          <w:spacing w:val="3"/>
        </w:rPr>
        <w:t>由 </w:t>
      </w:r>
      <w:r>
        <w:rPr>
          <w:rFonts w:ascii="Times New Roman" w:hAnsi="Times New Roman" w:eastAsia="Times New Roman"/>
        </w:rPr>
        <w:t>FUJIREBIO </w:t>
      </w:r>
      <w:r>
        <w:rPr>
          <w:spacing w:val="2"/>
        </w:rPr>
        <w:t>生产的 </w:t>
      </w:r>
      <w:r>
        <w:rPr>
          <w:rFonts w:ascii="Times New Roman" w:hAnsi="Times New Roman" w:eastAsia="Times New Roman"/>
        </w:rPr>
        <w:t>Lumipulse</w:t>
      </w:r>
      <w:r>
        <w:rPr>
          <w:rFonts w:ascii="Times New Roman" w:hAnsi="Times New Roman" w:eastAsia="Times New Roman"/>
          <w:position w:val="7"/>
          <w:sz w:val="14"/>
        </w:rPr>
        <w:t>® </w:t>
      </w:r>
      <w:r>
        <w:rPr>
          <w:rFonts w:ascii="Times New Roman" w:hAnsi="Times New Roman" w:eastAsia="Times New Roman"/>
        </w:rPr>
        <w:t>G </w:t>
      </w:r>
      <w:r>
        <w:rPr/>
        <w:t>β</w:t>
      </w:r>
      <w:r>
        <w:rPr>
          <w:rFonts w:ascii="Times New Roman" w:hAnsi="Times New Roman" w:eastAsia="Times New Roman"/>
        </w:rPr>
        <w:t>-Amyloid Ratio </w:t>
      </w:r>
      <w:r>
        <w:rPr>
          <w:spacing w:val="-7"/>
        </w:rPr>
        <w:t>（</w:t>
      </w:r>
      <w:r>
        <w:rPr>
          <w:rFonts w:ascii="Times New Roman" w:hAnsi="Times New Roman" w:eastAsia="Times New Roman"/>
          <w:spacing w:val="-7"/>
        </w:rPr>
        <w:t>1-42/1-40</w:t>
      </w:r>
      <w:r>
        <w:rPr>
          <w:spacing w:val="-7"/>
        </w:rPr>
        <w:t>）</w:t>
      </w:r>
      <w:r>
        <w:rPr>
          <w:spacing w:val="-63"/>
        </w:rPr>
        <w:t>。</w:t>
      </w:r>
      <w:r>
        <w:rPr>
          <w:rFonts w:ascii="Times New Roman" w:hAnsi="Times New Roman" w:eastAsia="Times New Roman"/>
          <w:b w:val="0"/>
        </w:rPr>
        <w:t>Lumipulse</w:t>
      </w:r>
    </w:p>
    <w:p>
      <w:pPr>
        <w:pStyle w:val="BodyText"/>
        <w:spacing w:line="302" w:lineRule="auto" w:before="38"/>
        <w:ind w:left="3163" w:right="725"/>
        <w:jc w:val="both"/>
      </w:pPr>
      <w:r>
        <w:rPr>
          <w:spacing w:val="-7"/>
        </w:rPr>
        <w:t>技术已被批准用于 </w:t>
      </w:r>
      <w:r>
        <w:rPr>
          <w:rFonts w:ascii="Times New Roman" w:hAnsi="Times New Roman" w:eastAsia="Times New Roman"/>
        </w:rPr>
        <w:t>55 </w:t>
      </w:r>
      <w:r>
        <w:rPr>
          <w:spacing w:val="-9"/>
        </w:rPr>
        <w:t>岁及以上有认知障碍的成年患者，目前也正在用于评估导致</w:t>
      </w:r>
      <w:r>
        <w:rPr>
          <w:spacing w:val="-8"/>
        </w:rPr>
        <w:t>阿尔茨海默病和其他认知衰退的原因。</w:t>
      </w:r>
      <w:r>
        <w:rPr>
          <w:rFonts w:ascii="Times New Roman" w:hAnsi="Times New Roman" w:eastAsia="Times New Roman"/>
        </w:rPr>
        <w:t>Lumipulse G </w:t>
      </w:r>
      <w:r>
        <w:rPr/>
        <w:t>β</w:t>
      </w:r>
      <w:r>
        <w:rPr>
          <w:rFonts w:ascii="Times New Roman" w:hAnsi="Times New Roman" w:eastAsia="Times New Roman"/>
        </w:rPr>
        <w:t>-</w:t>
      </w:r>
      <w:r>
        <w:rPr>
          <w:spacing w:val="-7"/>
        </w:rPr>
        <w:t>淀粉样蛋白比值 </w:t>
      </w:r>
      <w:r>
        <w:rPr/>
        <w:t>（</w:t>
      </w:r>
      <w:r>
        <w:rPr>
          <w:rFonts w:ascii="Times New Roman" w:hAnsi="Times New Roman" w:eastAsia="Times New Roman"/>
        </w:rPr>
        <w:t>1-42/1- 40</w:t>
      </w:r>
      <w:r>
        <w:rPr/>
        <w:t>）</w:t>
      </w:r>
      <w:r>
        <w:rPr>
          <w:spacing w:val="-5"/>
        </w:rPr>
        <w:t> 阳性检测结果与淀粉样蛋白斑块的存在一致，类似于 </w:t>
      </w:r>
      <w:r>
        <w:rPr>
          <w:rFonts w:ascii="Times New Roman" w:hAnsi="Times New Roman" w:eastAsia="Times New Roman"/>
        </w:rPr>
        <w:t>PET </w:t>
      </w:r>
      <w:r>
        <w:rPr>
          <w:spacing w:val="-3"/>
        </w:rPr>
        <w:t>扫描中所看到的</w:t>
      </w:r>
      <w:r>
        <w:rPr>
          <w:spacing w:val="-9"/>
        </w:rPr>
        <w:t>情况。阴性结果与阴性淀粉样蛋白 </w:t>
      </w:r>
      <w:r>
        <w:rPr>
          <w:rFonts w:ascii="Times New Roman" w:hAnsi="Times New Roman" w:eastAsia="Times New Roman"/>
        </w:rPr>
        <w:t>PET </w:t>
      </w:r>
      <w:r>
        <w:rPr>
          <w:spacing w:val="-10"/>
        </w:rPr>
        <w:t>扫描结果一致。但是在患有其他类型的神</w:t>
      </w:r>
      <w:r>
        <w:rPr>
          <w:spacing w:val="-7"/>
        </w:rPr>
        <w:t>经系统疾病的患者以及认知健康的老年人中也有可能看到阳性测试结果，因此暂</w:t>
      </w:r>
      <w:r>
        <w:rPr>
          <w:spacing w:val="-5"/>
        </w:rPr>
        <w:t>时不作为筛查或独立的诊断测定依据，还需要与其他临床评估结合使用。</w:t>
      </w:r>
    </w:p>
    <w:p>
      <w:pPr>
        <w:pStyle w:val="BodyText"/>
        <w:spacing w:before="3"/>
        <w:rPr>
          <w:sz w:val="24"/>
        </w:rPr>
      </w:pPr>
    </w:p>
    <w:p>
      <w:pPr>
        <w:pStyle w:val="BodyText"/>
        <w:ind w:left="3163"/>
      </w:pPr>
      <w:r>
        <w:rPr>
          <w:rFonts w:ascii="Times New Roman" w:eastAsia="Times New Roman"/>
        </w:rPr>
        <w:t>3)</w:t>
      </w:r>
      <w:r>
        <w:rPr>
          <w:rFonts w:ascii="Times New Roman" w:eastAsia="Times New Roman"/>
          <w:spacing w:val="7"/>
        </w:rPr>
        <w:t>  </w:t>
      </w:r>
      <w:r>
        <w:rPr>
          <w:spacing w:val="-5"/>
        </w:rPr>
        <w:t>目前国内至少有 </w:t>
      </w:r>
      <w:r>
        <w:rPr>
          <w:rFonts w:ascii="Times New Roman" w:eastAsia="Times New Roman"/>
        </w:rPr>
        <w:t>18</w:t>
      </w:r>
      <w:r>
        <w:rPr>
          <w:rFonts w:ascii="Times New Roman" w:eastAsia="Times New Roman"/>
          <w:spacing w:val="39"/>
        </w:rPr>
        <w:t> </w:t>
      </w:r>
      <w:r>
        <w:rPr>
          <w:spacing w:val="-3"/>
        </w:rPr>
        <w:t>款检测试剂盒经省级药品监督管理局批准，其中有多款于</w:t>
      </w:r>
    </w:p>
    <w:p>
      <w:pPr>
        <w:pStyle w:val="BodyText"/>
        <w:spacing w:before="72"/>
        <w:ind w:left="3163"/>
        <w:jc w:val="both"/>
      </w:pPr>
      <w:r>
        <w:rPr>
          <w:rFonts w:ascii="Times New Roman" w:eastAsia="Times New Roman"/>
        </w:rPr>
        <w:t>2021</w:t>
      </w:r>
      <w:r>
        <w:rPr>
          <w:rFonts w:ascii="Times New Roman" w:eastAsia="Times New Roman"/>
          <w:spacing w:val="9"/>
        </w:rPr>
        <w:t> </w:t>
      </w:r>
      <w:r>
        <w:rPr>
          <w:spacing w:val="-7"/>
        </w:rPr>
        <w:t>年获批，但暂无获得国家药监局批准的 </w:t>
      </w:r>
      <w:r>
        <w:rPr>
          <w:rFonts w:ascii="Times New Roman" w:eastAsia="Times New Roman"/>
        </w:rPr>
        <w:t>AD</w:t>
      </w:r>
      <w:r>
        <w:rPr>
          <w:rFonts w:ascii="Times New Roman" w:eastAsia="Times New Roman"/>
          <w:spacing w:val="15"/>
        </w:rPr>
        <w:t> </w:t>
      </w:r>
      <w:r>
        <w:rPr>
          <w:spacing w:val="-5"/>
        </w:rPr>
        <w:t>早筛试剂盒。金域医学也推出了</w:t>
      </w:r>
    </w:p>
    <w:p>
      <w:pPr>
        <w:spacing w:after="0"/>
        <w:jc w:val="both"/>
        <w:sectPr>
          <w:headerReference w:type="default" r:id="rId31"/>
          <w:footerReference w:type="default" r:id="rId32"/>
          <w:pgSz w:w="11910" w:h="16840"/>
          <w:pgMar w:header="868" w:footer="1201" w:top="1400" w:bottom="1400" w:left="240" w:right="400"/>
        </w:sectPr>
      </w:pPr>
    </w:p>
    <w:p>
      <w:pPr>
        <w:pStyle w:val="BodyText"/>
        <w:spacing w:before="4"/>
        <w:rPr>
          <w:sz w:val="13"/>
        </w:rPr>
      </w:pPr>
    </w:p>
    <w:p>
      <w:pPr>
        <w:pStyle w:val="BodyText"/>
        <w:spacing w:line="20" w:lineRule="exact"/>
        <w:ind w:left="614"/>
        <w:rPr>
          <w:sz w:val="2"/>
        </w:rPr>
      </w:pPr>
      <w:r>
        <w:rPr>
          <w:sz w:val="2"/>
        </w:rPr>
        <w:pict>
          <v:group style="width:508.1pt;height:.75pt;mso-position-horizontal-relative:char;mso-position-vertical-relative:line" coordorigin="0,0" coordsize="10162,15">
            <v:rect style="position:absolute;left:0;top:0;width:10162;height:15" filled="true" fillcolor="#333366" stroked="false">
              <v:fill type="solid"/>
            </v:rect>
          </v:group>
        </w:pict>
      </w:r>
      <w:r>
        <w:rPr>
          <w:sz w:val="2"/>
        </w:rPr>
      </w:r>
    </w:p>
    <w:p>
      <w:pPr>
        <w:pStyle w:val="BodyText"/>
        <w:spacing w:line="304" w:lineRule="auto"/>
        <w:ind w:left="3163" w:right="728"/>
      </w:pPr>
      <w:r>
        <w:rPr>
          <w:spacing w:val="-13"/>
        </w:rPr>
        <w:t>外周血 </w:t>
      </w:r>
      <w:r>
        <w:rPr>
          <w:rFonts w:ascii="Times New Roman" w:eastAsia="Times New Roman"/>
          <w:spacing w:val="-3"/>
        </w:rPr>
        <w:t>p-Tau181 </w:t>
      </w:r>
      <w:r>
        <w:rPr>
          <w:spacing w:val="-10"/>
        </w:rPr>
        <w:t>检测项目，依托超灵敏单分子免疫 </w:t>
      </w:r>
      <w:r>
        <w:rPr>
          <w:rFonts w:ascii="Times New Roman" w:eastAsia="Times New Roman"/>
        </w:rPr>
        <w:t>Simoa </w:t>
      </w:r>
      <w:r>
        <w:rPr>
          <w:spacing w:val="-7"/>
        </w:rPr>
        <w:t>平台，可用于阿尔茨海</w:t>
      </w:r>
      <w:r>
        <w:rPr>
          <w:spacing w:val="-5"/>
        </w:rPr>
        <w:t>默病高危人群早期筛查。</w:t>
      </w:r>
    </w:p>
    <w:p>
      <w:pPr>
        <w:pStyle w:val="BodyText"/>
        <w:spacing w:before="9"/>
        <w:rPr>
          <w:sz w:val="16"/>
        </w:rPr>
      </w:pPr>
    </w:p>
    <w:p>
      <w:pPr>
        <w:pStyle w:val="Heading3"/>
        <w:spacing w:before="1" w:after="20"/>
        <w:ind w:left="355"/>
      </w:pPr>
      <w:bookmarkStart w:name="_bookmark29" w:id="44"/>
      <w:bookmarkEnd w:id="44"/>
      <w:r>
        <w:rPr>
          <w:b w:val="0"/>
        </w:rPr>
      </w:r>
      <w:r>
        <w:rPr/>
        <w:t>表 </w:t>
      </w:r>
      <w:r>
        <w:rPr>
          <w:rFonts w:ascii="Times New Roman" w:eastAsia="Times New Roman"/>
        </w:rPr>
        <w:t>6</w:t>
      </w:r>
      <w:r>
        <w:rPr/>
        <w:t>、国内已获批阿尔茨海默病检测试剂盒（不完全列举）</w:t>
      </w:r>
    </w:p>
    <w:p>
      <w:pPr>
        <w:pStyle w:val="BodyText"/>
        <w:spacing w:line="309" w:lineRule="exact"/>
        <w:ind w:left="247"/>
        <w:rPr>
          <w:rFonts w:ascii="Microsoft JhengHei"/>
          <w:sz w:val="20"/>
        </w:rPr>
      </w:pPr>
      <w:r>
        <w:rPr>
          <w:rFonts w:ascii="Microsoft JhengHei"/>
          <w:position w:val="-5"/>
          <w:sz w:val="20"/>
        </w:rPr>
        <w:pict>
          <v:group style="width:524.65pt;height:15.5pt;mso-position-horizontal-relative:char;mso-position-vertical-relative:line" coordorigin="0,0" coordsize="10493,310">
            <v:shape style="position:absolute;left:0;top:9;width:10493;height:291" coordorigin="0,10" coordsize="10493,291" path="m7799,10l6381,10,1697,10,1697,10,0,10,0,300,1697,300,1697,300,6381,300,7799,300,7799,10xm10493,10l9028,10,7800,10,7800,300,9028,300,10493,300,10493,10xe" filled="true" fillcolor="#deebf6" stroked="false">
              <v:path arrowok="t"/>
              <v:fill type="solid"/>
            </v:shape>
            <v:shape style="position:absolute;left:0;top:0;width:10493;height:310" coordorigin="0,0" coordsize="10493,310" path="m7799,300l6390,300,6381,300,1707,300,1697,300,1697,300,0,300,0,310,1697,310,1697,310,1707,310,6381,310,6390,310,7799,310,7799,300xm7799,0l6390,0,6381,0,1707,0,1697,0,1697,0,0,0,0,10,1697,10,1697,10,1707,10,6381,10,6390,10,7799,10,7799,0xm10493,300l9038,300,9028,300,7809,300,7800,300,7800,310,7809,310,9028,310,9038,310,10493,310,10493,300xm10493,0l9038,0,9028,0,7809,0,7800,0,7800,10,7809,10,9028,10,9038,10,10493,10,10493,0xe" filled="true" fillcolor="#000000" stroked="false">
              <v:path arrowok="t"/>
              <v:fill type="solid"/>
            </v:shape>
            <v:shape style="position:absolute;left:0;top:9;width:10493;height:291" type="#_x0000_t202" filled="false" stroked="false">
              <v:textbox inset="0,0,0,0">
                <w:txbxContent>
                  <w:p>
                    <w:pPr>
                      <w:tabs>
                        <w:tab w:pos="3677" w:val="left" w:leader="none"/>
                        <w:tab w:pos="6546" w:val="left" w:leader="none"/>
                        <w:tab w:pos="7962" w:val="left" w:leader="none"/>
                        <w:tab w:pos="9397" w:val="left" w:leader="none"/>
                      </w:tabs>
                      <w:spacing w:line="274" w:lineRule="exact" w:before="0"/>
                      <w:ind w:left="487" w:right="0" w:firstLine="0"/>
                      <w:jc w:val="left"/>
                      <w:rPr>
                        <w:rFonts w:ascii="Microsoft JhengHei" w:eastAsia="Microsoft JhengHei" w:hint="eastAsia"/>
                        <w:b/>
                        <w:sz w:val="18"/>
                      </w:rPr>
                    </w:pPr>
                    <w:r>
                      <w:rPr>
                        <w:rFonts w:ascii="Microsoft JhengHei" w:eastAsia="Microsoft JhengHei" w:hint="eastAsia"/>
                        <w:b/>
                        <w:sz w:val="18"/>
                      </w:rPr>
                      <w:t>企业名称</w:t>
                      <w:tab/>
                      <w:t>产品名称</w:t>
                      <w:tab/>
                      <w:t>检测标本类型</w:t>
                      <w:tab/>
                      <w:t>注册证编号</w:t>
                      <w:tab/>
                      <w:t>批准日期</w:t>
                    </w:r>
                  </w:p>
                </w:txbxContent>
              </v:textbox>
              <w10:wrap type="none"/>
            </v:shape>
          </v:group>
        </w:pict>
      </w:r>
      <w:r>
        <w:rPr>
          <w:rFonts w:ascii="Microsoft JhengHei"/>
          <w:position w:val="-5"/>
          <w:sz w:val="20"/>
        </w:rPr>
      </w:r>
    </w:p>
    <w:p>
      <w:pPr>
        <w:spacing w:after="0" w:line="309" w:lineRule="exact"/>
        <w:rPr>
          <w:rFonts w:ascii="Microsoft JhengHei"/>
          <w:sz w:val="20"/>
        </w:rPr>
        <w:sectPr>
          <w:pgSz w:w="11910" w:h="16840"/>
          <w:pgMar w:header="868" w:footer="1201" w:top="1400" w:bottom="1400" w:left="240" w:right="400"/>
        </w:sectPr>
      </w:pPr>
    </w:p>
    <w:p>
      <w:pPr>
        <w:spacing w:line="304" w:lineRule="auto" w:before="3"/>
        <w:ind w:left="465" w:right="0" w:hanging="92"/>
        <w:jc w:val="left"/>
        <w:rPr>
          <w:sz w:val="18"/>
        </w:rPr>
      </w:pPr>
      <w:r>
        <w:rPr/>
        <w:pict>
          <v:shape style="position:absolute;margin-left:24.360001pt;margin-top:29.30995pt;width:524.65pt;height:.5pt;mso-position-horizontal-relative:page;mso-position-vertical-relative:paragraph;z-index:15748608" coordorigin="487,586" coordsize="10493,10" path="m8287,586l6877,586,6868,586,2194,586,2184,586,2184,586,487,586,487,596,2184,596,2184,596,2194,596,6868,596,6877,596,8287,596,8287,586xm10980,586l9525,586,9516,586,8296,586,8287,586,8287,596,8296,596,9516,596,9525,596,10980,596,10980,586xe" filled="true" fillcolor="#000000" stroked="false">
            <v:path arrowok="t"/>
            <v:fill type="solid"/>
            <w10:wrap type="none"/>
          </v:shape>
        </w:pict>
      </w:r>
      <w:r>
        <w:rPr>
          <w:spacing w:val="-3"/>
          <w:sz w:val="18"/>
        </w:rPr>
        <w:t>南京诺尔曼生物技</w:t>
      </w:r>
      <w:r>
        <w:rPr>
          <w:sz w:val="18"/>
        </w:rPr>
        <w:t>术股份有限公司</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6"/>
        <w:rPr>
          <w:sz w:val="15"/>
        </w:rPr>
      </w:pPr>
    </w:p>
    <w:p>
      <w:pPr>
        <w:spacing w:before="0"/>
        <w:ind w:left="374" w:right="0" w:firstLine="0"/>
        <w:jc w:val="left"/>
        <w:rPr>
          <w:sz w:val="18"/>
        </w:rPr>
      </w:pPr>
      <w:r>
        <w:rPr>
          <w:spacing w:val="-3"/>
          <w:sz w:val="18"/>
        </w:rPr>
        <w:t>深圳市安群生物工</w:t>
      </w:r>
    </w:p>
    <w:p>
      <w:pPr>
        <w:tabs>
          <w:tab w:pos="5031" w:val="left" w:leader="none"/>
        </w:tabs>
        <w:spacing w:before="149"/>
        <w:ind w:left="0" w:right="38" w:firstLine="0"/>
        <w:jc w:val="right"/>
        <w:rPr>
          <w:sz w:val="18"/>
        </w:rPr>
      </w:pPr>
      <w:r>
        <w:rPr/>
        <w:br w:type="column"/>
      </w:r>
      <w:r>
        <w:rPr>
          <w:sz w:val="18"/>
        </w:rPr>
        <w:t>阿尔茨海默相关神经丝蛋白检测试剂盒（化学发光法）</w:t>
        <w:tab/>
        <w:t>尿液</w:t>
      </w:r>
    </w:p>
    <w:p>
      <w:pPr>
        <w:pStyle w:val="BodyText"/>
        <w:rPr>
          <w:sz w:val="17"/>
        </w:rPr>
      </w:pPr>
    </w:p>
    <w:p>
      <w:pPr>
        <w:spacing w:line="189" w:lineRule="exact" w:before="0"/>
        <w:ind w:left="661" w:right="0" w:firstLine="0"/>
        <w:jc w:val="left"/>
        <w:rPr>
          <w:sz w:val="18"/>
        </w:rPr>
      </w:pPr>
      <w:r>
        <w:rPr>
          <w:sz w:val="18"/>
        </w:rPr>
        <w:t>人 </w:t>
      </w:r>
      <w:r>
        <w:rPr>
          <w:rFonts w:ascii="Times New Roman" w:hAnsi="Times New Roman" w:eastAsia="Times New Roman"/>
          <w:sz w:val="18"/>
        </w:rPr>
        <w:t>β </w:t>
      </w:r>
      <w:r>
        <w:rPr>
          <w:sz w:val="18"/>
        </w:rPr>
        <w:t>淀粉样蛋白 </w:t>
      </w:r>
      <w:r>
        <w:rPr>
          <w:rFonts w:ascii="Times New Roman" w:hAnsi="Times New Roman" w:eastAsia="Times New Roman"/>
          <w:sz w:val="18"/>
        </w:rPr>
        <w:t>1-42 </w:t>
      </w:r>
      <w:r>
        <w:rPr>
          <w:sz w:val="18"/>
        </w:rPr>
        <w:t>（</w:t>
      </w:r>
      <w:r>
        <w:rPr>
          <w:rFonts w:ascii="Times New Roman" w:hAnsi="Times New Roman" w:eastAsia="Times New Roman"/>
          <w:sz w:val="18"/>
        </w:rPr>
        <w:t>Aβ 1-42</w:t>
      </w:r>
      <w:r>
        <w:rPr>
          <w:sz w:val="18"/>
        </w:rPr>
        <w:t>）检测试剂盒</w:t>
      </w:r>
    </w:p>
    <w:p>
      <w:pPr>
        <w:spacing w:line="145" w:lineRule="exact" w:before="0"/>
        <w:ind w:left="5301" w:right="0" w:firstLine="0"/>
        <w:jc w:val="left"/>
        <w:rPr>
          <w:sz w:val="18"/>
        </w:rPr>
      </w:pPr>
      <w:r>
        <w:rPr>
          <w:sz w:val="18"/>
        </w:rPr>
        <w:t>血液</w:t>
      </w:r>
    </w:p>
    <w:p>
      <w:pPr>
        <w:spacing w:line="187" w:lineRule="exact" w:before="0"/>
        <w:ind w:left="1801" w:right="0" w:firstLine="0"/>
        <w:jc w:val="left"/>
        <w:rPr>
          <w:sz w:val="18"/>
        </w:rPr>
      </w:pPr>
      <w:r>
        <w:rPr>
          <w:sz w:val="18"/>
        </w:rPr>
        <w:t>（酶联免疫法）</w:t>
      </w:r>
    </w:p>
    <w:p>
      <w:pPr>
        <w:pStyle w:val="BodyText"/>
        <w:spacing w:before="1"/>
        <w:rPr>
          <w:sz w:val="17"/>
        </w:rPr>
      </w:pPr>
    </w:p>
    <w:p>
      <w:pPr>
        <w:tabs>
          <w:tab w:pos="4880" w:val="left" w:leader="none"/>
        </w:tabs>
        <w:spacing w:before="0"/>
        <w:ind w:left="0" w:right="38" w:firstLine="0"/>
        <w:jc w:val="right"/>
        <w:rPr>
          <w:sz w:val="18"/>
        </w:rPr>
      </w:pPr>
      <w:r>
        <w:rPr>
          <w:sz w:val="18"/>
        </w:rPr>
        <w:t>人磷酸化</w:t>
      </w:r>
      <w:r>
        <w:rPr>
          <w:spacing w:val="-49"/>
          <w:sz w:val="18"/>
        </w:rPr>
        <w:t> </w:t>
      </w:r>
      <w:r>
        <w:rPr>
          <w:rFonts w:ascii="Times New Roman" w:eastAsia="Times New Roman"/>
          <w:sz w:val="18"/>
        </w:rPr>
        <w:t>Tau1-181</w:t>
      </w:r>
      <w:r>
        <w:rPr>
          <w:rFonts w:ascii="Times New Roman" w:eastAsia="Times New Roman"/>
          <w:spacing w:val="-2"/>
          <w:sz w:val="18"/>
        </w:rPr>
        <w:t> </w:t>
      </w:r>
      <w:r>
        <w:rPr>
          <w:sz w:val="18"/>
        </w:rPr>
        <w:t>蛋白检测</w:t>
      </w:r>
      <w:r>
        <w:rPr>
          <w:spacing w:val="-3"/>
          <w:sz w:val="18"/>
        </w:rPr>
        <w:t>试</w:t>
      </w:r>
      <w:r>
        <w:rPr>
          <w:sz w:val="18"/>
        </w:rPr>
        <w:t>剂盒（酶联免疫法）</w:t>
        <w:tab/>
        <w:t>血液</w:t>
      </w:r>
    </w:p>
    <w:p>
      <w:pPr>
        <w:pStyle w:val="BodyText"/>
        <w:spacing w:before="11"/>
        <w:rPr>
          <w:sz w:val="16"/>
        </w:rPr>
      </w:pPr>
    </w:p>
    <w:p>
      <w:pPr>
        <w:spacing w:line="189" w:lineRule="exact" w:before="0"/>
        <w:ind w:left="773" w:right="0" w:firstLine="0"/>
        <w:jc w:val="left"/>
        <w:rPr>
          <w:sz w:val="18"/>
        </w:rPr>
      </w:pPr>
      <w:r>
        <w:rPr>
          <w:rFonts w:ascii="Times New Roman" w:hAnsi="Times New Roman" w:eastAsia="Times New Roman"/>
          <w:sz w:val="18"/>
        </w:rPr>
        <w:t>β </w:t>
      </w:r>
      <w:r>
        <w:rPr>
          <w:sz w:val="18"/>
        </w:rPr>
        <w:t>淀粉样蛋白 </w:t>
      </w:r>
      <w:r>
        <w:rPr>
          <w:rFonts w:ascii="Times New Roman" w:hAnsi="Times New Roman" w:eastAsia="Times New Roman"/>
          <w:sz w:val="18"/>
        </w:rPr>
        <w:t>1-42 </w:t>
      </w:r>
      <w:r>
        <w:rPr>
          <w:sz w:val="18"/>
        </w:rPr>
        <w:t>（</w:t>
      </w:r>
      <w:r>
        <w:rPr>
          <w:rFonts w:ascii="Times New Roman" w:hAnsi="Times New Roman" w:eastAsia="Times New Roman"/>
          <w:sz w:val="18"/>
        </w:rPr>
        <w:t>Aβ 1-42</w:t>
      </w:r>
      <w:r>
        <w:rPr>
          <w:sz w:val="18"/>
        </w:rPr>
        <w:t>）测定试剂盒</w:t>
      </w:r>
    </w:p>
    <w:p>
      <w:pPr>
        <w:spacing w:line="146" w:lineRule="exact" w:before="0"/>
        <w:ind w:left="5301" w:right="0" w:firstLine="0"/>
        <w:jc w:val="left"/>
        <w:rPr>
          <w:sz w:val="18"/>
        </w:rPr>
      </w:pPr>
      <w:r>
        <w:rPr>
          <w:sz w:val="18"/>
        </w:rPr>
        <w:t>血液</w:t>
      </w:r>
    </w:p>
    <w:p>
      <w:pPr>
        <w:spacing w:line="189" w:lineRule="exact" w:before="0"/>
        <w:ind w:left="1801" w:right="0" w:firstLine="0"/>
        <w:jc w:val="left"/>
        <w:rPr>
          <w:sz w:val="18"/>
        </w:rPr>
      </w:pPr>
      <w:r>
        <w:rPr/>
        <w:pict>
          <v:shape style="position:absolute;margin-left:109.220009pt;margin-top:12.414371pt;width:439.8pt;height:.5pt;mso-position-horizontal-relative:page;mso-position-vertical-relative:paragraph;z-index:15750144" coordorigin="2184,248" coordsize="8796,10" path="m8287,248l6877,248,6868,248,2184,248,2184,258,6868,258,6877,258,8287,258,8287,248xm10980,248l9525,248,9516,248,8296,248,8287,248,8287,258,8296,258,9516,258,9525,258,10980,258,10980,248xe" filled="true" fillcolor="#000000" stroked="false">
            <v:path arrowok="t"/>
            <v:fill type="solid"/>
            <w10:wrap type="none"/>
          </v:shape>
        </w:pict>
      </w:r>
      <w:r>
        <w:rPr>
          <w:sz w:val="18"/>
        </w:rPr>
        <w:t>（化学发光法）</w:t>
      </w:r>
    </w:p>
    <w:p>
      <w:pPr>
        <w:spacing w:before="19"/>
        <w:ind w:left="511" w:right="0" w:firstLine="0"/>
        <w:jc w:val="left"/>
        <w:rPr>
          <w:sz w:val="18"/>
        </w:rPr>
      </w:pPr>
      <w:r>
        <w:rPr/>
        <w:br w:type="column"/>
      </w:r>
      <w:r>
        <w:rPr>
          <w:sz w:val="18"/>
        </w:rPr>
        <w:t>苏械注准</w:t>
      </w:r>
    </w:p>
    <w:p>
      <w:pPr>
        <w:spacing w:before="60"/>
        <w:ind w:left="374" w:right="0" w:firstLine="0"/>
        <w:jc w:val="left"/>
        <w:rPr>
          <w:rFonts w:ascii="Times New Roman"/>
          <w:sz w:val="18"/>
        </w:rPr>
      </w:pPr>
      <w:r>
        <w:rPr>
          <w:rFonts w:ascii="Times New Roman"/>
          <w:sz w:val="18"/>
        </w:rPr>
        <w:t>20202400973</w:t>
      </w:r>
    </w:p>
    <w:p>
      <w:pPr>
        <w:spacing w:before="98"/>
        <w:ind w:left="511" w:right="0" w:firstLine="0"/>
        <w:jc w:val="left"/>
        <w:rPr>
          <w:sz w:val="18"/>
        </w:rPr>
      </w:pPr>
      <w:r>
        <w:rPr>
          <w:sz w:val="18"/>
        </w:rPr>
        <w:t>粤械注准</w:t>
      </w:r>
    </w:p>
    <w:p>
      <w:pPr>
        <w:spacing w:before="57"/>
        <w:ind w:left="374" w:right="0" w:firstLine="0"/>
        <w:jc w:val="left"/>
        <w:rPr>
          <w:rFonts w:ascii="Times New Roman"/>
          <w:sz w:val="18"/>
        </w:rPr>
      </w:pPr>
      <w:r>
        <w:rPr>
          <w:rFonts w:ascii="Times New Roman"/>
          <w:sz w:val="18"/>
        </w:rPr>
        <w:t>20152400854</w:t>
      </w:r>
    </w:p>
    <w:p>
      <w:pPr>
        <w:spacing w:before="98"/>
        <w:ind w:left="511" w:right="0" w:firstLine="0"/>
        <w:jc w:val="left"/>
        <w:rPr>
          <w:sz w:val="18"/>
        </w:rPr>
      </w:pPr>
      <w:r>
        <w:rPr/>
        <w:pict>
          <v:shape style="position:absolute;margin-left:109.220009pt;margin-top:3.459961pt;width:439.8pt;height:.5pt;mso-position-horizontal-relative:page;mso-position-vertical-relative:paragraph;z-index:-17874432" coordorigin="2184,69" coordsize="8796,10" path="m8287,69l6877,69,6868,69,2184,69,2184,79,6868,79,6877,79,8287,79,8287,69xm10980,69l9525,69,9516,69,8296,69,8287,69,8287,79,8296,79,9516,79,9525,79,10980,79,10980,69xe" filled="true" fillcolor="#000000" stroked="false">
            <v:path arrowok="t"/>
            <v:fill type="solid"/>
            <w10:wrap type="none"/>
          </v:shape>
        </w:pict>
      </w:r>
      <w:r>
        <w:rPr>
          <w:sz w:val="18"/>
        </w:rPr>
        <w:t>粤械注准</w:t>
      </w:r>
    </w:p>
    <w:p>
      <w:pPr>
        <w:spacing w:before="60"/>
        <w:ind w:left="374" w:right="0" w:firstLine="0"/>
        <w:jc w:val="left"/>
        <w:rPr>
          <w:rFonts w:ascii="Times New Roman"/>
          <w:sz w:val="18"/>
        </w:rPr>
      </w:pPr>
      <w:r>
        <w:rPr>
          <w:rFonts w:ascii="Times New Roman"/>
          <w:sz w:val="18"/>
        </w:rPr>
        <w:t>20152400855</w:t>
      </w:r>
    </w:p>
    <w:p>
      <w:pPr>
        <w:spacing w:before="96"/>
        <w:ind w:left="511" w:right="0" w:firstLine="0"/>
        <w:jc w:val="left"/>
        <w:rPr>
          <w:sz w:val="18"/>
        </w:rPr>
      </w:pPr>
      <w:r>
        <w:rPr/>
        <w:pict>
          <v:shape style="position:absolute;margin-left:109.220009pt;margin-top:3.359979pt;width:439.8pt;height:.5pt;mso-position-horizontal-relative:page;mso-position-vertical-relative:paragraph;z-index:15749632" coordorigin="2184,67" coordsize="8796,10" path="m8287,67l6877,67,6868,67,2184,67,2184,77,6868,77,6877,77,8287,77,8287,67xm10980,67l9525,67,9516,67,8296,67,8287,67,8287,77,8296,77,9516,77,9525,77,10980,77,10980,67xe" filled="true" fillcolor="#000000" stroked="false">
            <v:path arrowok="t"/>
            <v:fill type="solid"/>
            <w10:wrap type="none"/>
          </v:shape>
        </w:pict>
      </w:r>
      <w:r>
        <w:rPr>
          <w:sz w:val="18"/>
        </w:rPr>
        <w:t>粤械注准</w:t>
      </w:r>
    </w:p>
    <w:p>
      <w:pPr>
        <w:spacing w:before="60"/>
        <w:ind w:left="374" w:right="0" w:firstLine="0"/>
        <w:jc w:val="left"/>
        <w:rPr>
          <w:rFonts w:ascii="Times New Roman"/>
          <w:sz w:val="18"/>
        </w:rPr>
      </w:pPr>
      <w:r>
        <w:rPr>
          <w:rFonts w:ascii="Times New Roman"/>
          <w:sz w:val="18"/>
        </w:rPr>
        <w:t>20212400023</w:t>
      </w:r>
    </w:p>
    <w:p>
      <w:pPr>
        <w:spacing w:line="304" w:lineRule="auto" w:before="3"/>
        <w:ind w:left="199" w:right="644" w:firstLine="139"/>
        <w:jc w:val="left"/>
        <w:rPr>
          <w:rFonts w:ascii="Times New Roman" w:eastAsia="Times New Roman"/>
          <w:sz w:val="18"/>
        </w:rPr>
      </w:pPr>
      <w:r>
        <w:rPr/>
        <w:br w:type="column"/>
      </w:r>
      <w:r>
        <w:rPr>
          <w:sz w:val="18"/>
        </w:rPr>
        <w:t>首 证 </w:t>
      </w:r>
      <w:r>
        <w:rPr>
          <w:rFonts w:ascii="Times New Roman" w:eastAsia="Times New Roman"/>
          <w:sz w:val="18"/>
        </w:rPr>
        <w:t>2020</w:t>
      </w:r>
      <w:r>
        <w:rPr>
          <w:sz w:val="18"/>
        </w:rPr>
        <w:t>； </w:t>
      </w:r>
      <w:r>
        <w:rPr>
          <w:spacing w:val="-11"/>
          <w:sz w:val="18"/>
        </w:rPr>
        <w:t>新证 </w:t>
      </w:r>
      <w:r>
        <w:rPr>
          <w:rFonts w:ascii="Times New Roman" w:eastAsia="Times New Roman"/>
          <w:spacing w:val="-3"/>
          <w:sz w:val="18"/>
        </w:rPr>
        <w:t>2021/10/28</w:t>
      </w:r>
    </w:p>
    <w:p>
      <w:pPr>
        <w:spacing w:line="307" w:lineRule="auto" w:before="9"/>
        <w:ind w:left="242" w:right="689" w:firstLine="4"/>
        <w:jc w:val="center"/>
        <w:rPr>
          <w:rFonts w:ascii="Times New Roman" w:eastAsia="Times New Roman"/>
          <w:sz w:val="18"/>
        </w:rPr>
      </w:pPr>
      <w:r>
        <w:rPr>
          <w:sz w:val="18"/>
        </w:rPr>
        <w:t>首 证 </w:t>
      </w:r>
      <w:r>
        <w:rPr>
          <w:rFonts w:ascii="Times New Roman" w:eastAsia="Times New Roman"/>
          <w:sz w:val="18"/>
        </w:rPr>
        <w:t>2015</w:t>
      </w:r>
      <w:r>
        <w:rPr>
          <w:sz w:val="18"/>
        </w:rPr>
        <w:t>； </w:t>
      </w:r>
      <w:r>
        <w:rPr>
          <w:spacing w:val="-13"/>
          <w:sz w:val="18"/>
        </w:rPr>
        <w:t>新证 </w:t>
      </w:r>
      <w:r>
        <w:rPr>
          <w:rFonts w:ascii="Times New Roman" w:eastAsia="Times New Roman"/>
          <w:spacing w:val="-3"/>
          <w:sz w:val="18"/>
        </w:rPr>
        <w:t>2020/6/29 </w:t>
      </w:r>
      <w:r>
        <w:rPr>
          <w:sz w:val="18"/>
        </w:rPr>
        <w:t>首 证 </w:t>
      </w:r>
      <w:r>
        <w:rPr>
          <w:rFonts w:ascii="Times New Roman" w:eastAsia="Times New Roman"/>
          <w:sz w:val="18"/>
        </w:rPr>
        <w:t>2015</w:t>
      </w:r>
      <w:r>
        <w:rPr>
          <w:sz w:val="18"/>
        </w:rPr>
        <w:t>； </w:t>
      </w:r>
      <w:r>
        <w:rPr>
          <w:spacing w:val="-12"/>
          <w:sz w:val="18"/>
        </w:rPr>
        <w:t>新证 </w:t>
      </w:r>
      <w:r>
        <w:rPr>
          <w:rFonts w:ascii="Times New Roman" w:eastAsia="Times New Roman"/>
          <w:spacing w:val="-3"/>
          <w:sz w:val="18"/>
        </w:rPr>
        <w:t>2020/6/29</w:t>
      </w:r>
    </w:p>
    <w:p>
      <w:pPr>
        <w:spacing w:before="166"/>
        <w:ind w:left="473" w:right="920" w:firstLine="0"/>
        <w:jc w:val="center"/>
        <w:rPr>
          <w:rFonts w:ascii="Times New Roman"/>
          <w:sz w:val="18"/>
        </w:rPr>
      </w:pPr>
      <w:r>
        <w:rPr>
          <w:rFonts w:ascii="Times New Roman"/>
          <w:sz w:val="18"/>
        </w:rPr>
        <w:t>2021/1/6</w:t>
      </w:r>
    </w:p>
    <w:p>
      <w:pPr>
        <w:spacing w:after="0"/>
        <w:jc w:val="center"/>
        <w:rPr>
          <w:rFonts w:ascii="Times New Roman"/>
          <w:sz w:val="18"/>
        </w:rPr>
        <w:sectPr>
          <w:type w:val="continuous"/>
          <w:pgSz w:w="11910" w:h="16840"/>
          <w:pgMar w:top="220" w:bottom="1400" w:left="240" w:right="400"/>
          <w:cols w:num="4" w:equalWidth="0">
            <w:col w:w="1815" w:space="40"/>
            <w:col w:w="5702" w:space="233"/>
            <w:col w:w="1366" w:space="40"/>
            <w:col w:w="2074"/>
          </w:cols>
        </w:sectPr>
      </w:pPr>
    </w:p>
    <w:p>
      <w:pPr>
        <w:spacing w:before="62"/>
        <w:ind w:left="645" w:right="0" w:firstLine="0"/>
        <w:jc w:val="left"/>
        <w:rPr>
          <w:sz w:val="18"/>
        </w:rPr>
      </w:pPr>
      <w:r>
        <w:rPr>
          <w:sz w:val="18"/>
        </w:rPr>
        <w:t>程有限公司</w:t>
      </w:r>
    </w:p>
    <w:p>
      <w:pPr>
        <w:spacing w:line="158" w:lineRule="exact" w:before="0"/>
        <w:ind w:left="6445" w:right="0" w:firstLine="0"/>
        <w:jc w:val="center"/>
        <w:rPr>
          <w:sz w:val="18"/>
        </w:rPr>
      </w:pPr>
      <w:r>
        <w:rPr/>
        <w:br w:type="column"/>
      </w:r>
      <w:r>
        <w:rPr>
          <w:sz w:val="18"/>
        </w:rPr>
        <w:t>粤械注准</w:t>
      </w:r>
    </w:p>
    <w:p>
      <w:pPr>
        <w:tabs>
          <w:tab w:pos="5434" w:val="left" w:leader="none"/>
        </w:tabs>
        <w:spacing w:line="144" w:lineRule="exact" w:before="0"/>
        <w:ind w:left="645" w:right="0" w:firstLine="0"/>
        <w:jc w:val="left"/>
        <w:rPr>
          <w:sz w:val="18"/>
        </w:rPr>
      </w:pPr>
      <w:r>
        <w:rPr>
          <w:sz w:val="18"/>
        </w:rPr>
        <w:t>磷酸化</w:t>
      </w:r>
      <w:r>
        <w:rPr>
          <w:spacing w:val="-49"/>
          <w:sz w:val="18"/>
        </w:rPr>
        <w:t> </w:t>
      </w:r>
      <w:r>
        <w:rPr>
          <w:rFonts w:ascii="Times New Roman" w:eastAsia="Times New Roman"/>
          <w:sz w:val="18"/>
        </w:rPr>
        <w:t>Tau1-181</w:t>
      </w:r>
      <w:r>
        <w:rPr>
          <w:rFonts w:ascii="Times New Roman" w:eastAsia="Times New Roman"/>
          <w:spacing w:val="-2"/>
          <w:sz w:val="18"/>
        </w:rPr>
        <w:t> </w:t>
      </w:r>
      <w:r>
        <w:rPr>
          <w:sz w:val="18"/>
        </w:rPr>
        <w:t>蛋白测定试</w:t>
      </w:r>
      <w:r>
        <w:rPr>
          <w:spacing w:val="-3"/>
          <w:sz w:val="18"/>
        </w:rPr>
        <w:t>剂</w:t>
      </w:r>
      <w:r>
        <w:rPr>
          <w:sz w:val="18"/>
        </w:rPr>
        <w:t>盒（化学发光法）</w:t>
        <w:tab/>
        <w:t>血液</w:t>
      </w:r>
    </w:p>
    <w:p>
      <w:pPr>
        <w:spacing w:line="171" w:lineRule="exact" w:before="0"/>
        <w:ind w:left="6443" w:right="0" w:firstLine="0"/>
        <w:jc w:val="center"/>
        <w:rPr>
          <w:rFonts w:ascii="Times New Roman"/>
          <w:sz w:val="18"/>
        </w:rPr>
      </w:pPr>
      <w:r>
        <w:rPr/>
        <w:pict>
          <v:shape style="position:absolute;margin-left:109.220009pt;margin-top:11.1555pt;width:439.8pt;height:.5pt;mso-position-horizontal-relative:page;mso-position-vertical-relative:paragraph;z-index:15750656" coordorigin="2184,223" coordsize="8796,10" path="m8287,223l6877,223,6868,223,2184,223,2184,233,6868,233,6877,233,8287,233,8287,223xm10980,223l9525,223,9516,223,8296,223,8287,223,8287,233,8296,233,9516,233,9525,233,10980,233,10980,223xe" filled="true" fillcolor="#000000" stroked="false">
            <v:path arrowok="t"/>
            <v:fill type="solid"/>
            <w10:wrap type="none"/>
          </v:shape>
        </w:pict>
      </w:r>
      <w:r>
        <w:rPr>
          <w:rFonts w:ascii="Times New Roman"/>
          <w:sz w:val="18"/>
        </w:rPr>
        <w:t>20212400237</w:t>
      </w:r>
    </w:p>
    <w:p>
      <w:pPr>
        <w:spacing w:before="122"/>
        <w:ind w:left="490" w:right="0" w:firstLine="0"/>
        <w:jc w:val="left"/>
        <w:rPr>
          <w:rFonts w:ascii="Times New Roman"/>
          <w:sz w:val="18"/>
        </w:rPr>
      </w:pPr>
      <w:r>
        <w:rPr/>
        <w:br w:type="column"/>
      </w:r>
      <w:r>
        <w:rPr>
          <w:rFonts w:ascii="Times New Roman"/>
          <w:sz w:val="18"/>
        </w:rPr>
        <w:t>2021/2/8</w:t>
      </w:r>
    </w:p>
    <w:p>
      <w:pPr>
        <w:spacing w:after="0"/>
        <w:jc w:val="left"/>
        <w:rPr>
          <w:rFonts w:ascii="Times New Roman"/>
          <w:sz w:val="18"/>
        </w:rPr>
        <w:sectPr>
          <w:type w:val="continuous"/>
          <w:pgSz w:w="11910" w:h="16840"/>
          <w:pgMar w:top="220" w:bottom="1400" w:left="240" w:right="400"/>
          <w:cols w:num="3" w:equalWidth="0">
            <w:col w:w="1586" w:space="135"/>
            <w:col w:w="7435" w:space="40"/>
            <w:col w:w="2074"/>
          </w:cols>
        </w:sectPr>
      </w:pPr>
    </w:p>
    <w:p>
      <w:pPr>
        <w:spacing w:before="64"/>
        <w:ind w:left="2138" w:right="0" w:firstLine="0"/>
        <w:jc w:val="center"/>
        <w:rPr>
          <w:sz w:val="18"/>
        </w:rPr>
      </w:pPr>
      <w:r>
        <w:rPr>
          <w:sz w:val="18"/>
        </w:rPr>
        <w:t>阿尔茨海默相关神经丝蛋白（</w:t>
      </w:r>
      <w:r>
        <w:rPr>
          <w:rFonts w:ascii="Times New Roman" w:eastAsia="Times New Roman"/>
          <w:sz w:val="18"/>
        </w:rPr>
        <w:t>AD7C-NTP</w:t>
      </w:r>
      <w:r>
        <w:rPr>
          <w:sz w:val="18"/>
        </w:rPr>
        <w:t>）测定试剂盒</w:t>
      </w:r>
    </w:p>
    <w:p>
      <w:pPr>
        <w:spacing w:before="62"/>
        <w:ind w:left="2141" w:right="0" w:firstLine="0"/>
        <w:jc w:val="center"/>
        <w:rPr>
          <w:sz w:val="18"/>
        </w:rPr>
      </w:pPr>
      <w:r>
        <w:rPr/>
        <w:pict>
          <v:shape style="position:absolute;margin-left:109.220009pt;margin-top:17.499964pt;width:439.8pt;height:.5pt;mso-position-horizontal-relative:page;mso-position-vertical-relative:paragraph;z-index:15751168" coordorigin="2184,350" coordsize="8796,10" path="m8287,350l6877,350,6868,350,2184,350,2184,360,6868,360,6877,360,8287,360,8287,350xm10980,350l9525,350,9516,350,8296,350,8287,350,8287,360,8296,360,9516,360,9525,360,10980,360,10980,350xe" filled="true" fillcolor="#000000" stroked="false">
            <v:path arrowok="t"/>
            <v:fill type="solid"/>
            <w10:wrap type="none"/>
          </v:shape>
        </w:pict>
      </w:r>
      <w:r>
        <w:rPr>
          <w:sz w:val="18"/>
        </w:rPr>
        <w:t>（化学发光法）</w:t>
      </w:r>
    </w:p>
    <w:p>
      <w:pPr>
        <w:spacing w:line="180" w:lineRule="exact" w:before="81"/>
        <w:ind w:left="1810" w:right="115" w:firstLine="0"/>
        <w:jc w:val="center"/>
        <w:rPr>
          <w:sz w:val="18"/>
        </w:rPr>
      </w:pPr>
      <w:r>
        <w:rPr/>
        <w:br w:type="column"/>
      </w:r>
      <w:r>
        <w:rPr>
          <w:sz w:val="18"/>
        </w:rPr>
        <w:t>粤械注准</w:t>
      </w:r>
    </w:p>
    <w:p>
      <w:pPr>
        <w:spacing w:line="145" w:lineRule="exact" w:before="0"/>
        <w:ind w:left="685" w:right="0" w:firstLine="0"/>
        <w:jc w:val="left"/>
        <w:rPr>
          <w:sz w:val="18"/>
        </w:rPr>
      </w:pPr>
      <w:r>
        <w:rPr>
          <w:sz w:val="18"/>
        </w:rPr>
        <w:t>尿液</w:t>
      </w:r>
    </w:p>
    <w:p>
      <w:pPr>
        <w:spacing w:line="172" w:lineRule="exact" w:before="0"/>
        <w:ind w:left="1693" w:right="0" w:firstLine="0"/>
        <w:jc w:val="center"/>
        <w:rPr>
          <w:rFonts w:ascii="Times New Roman"/>
          <w:sz w:val="18"/>
        </w:rPr>
      </w:pPr>
      <w:r>
        <w:rPr>
          <w:rFonts w:ascii="Times New Roman"/>
          <w:sz w:val="18"/>
        </w:rPr>
        <w:t>20212400561</w:t>
      </w:r>
    </w:p>
    <w:p>
      <w:pPr>
        <w:pStyle w:val="BodyText"/>
        <w:spacing w:before="6"/>
        <w:rPr>
          <w:rFonts w:ascii="Times New Roman"/>
          <w:sz w:val="19"/>
        </w:rPr>
      </w:pPr>
      <w:r>
        <w:rPr/>
        <w:br w:type="column"/>
      </w:r>
      <w:r>
        <w:rPr>
          <w:rFonts w:ascii="Times New Roman"/>
          <w:sz w:val="19"/>
        </w:rPr>
      </w:r>
    </w:p>
    <w:p>
      <w:pPr>
        <w:spacing w:before="0"/>
        <w:ind w:left="490" w:right="0" w:firstLine="0"/>
        <w:jc w:val="left"/>
        <w:rPr>
          <w:rFonts w:ascii="Times New Roman"/>
          <w:sz w:val="18"/>
        </w:rPr>
      </w:pPr>
      <w:r>
        <w:rPr>
          <w:rFonts w:ascii="Times New Roman"/>
          <w:sz w:val="18"/>
        </w:rPr>
        <w:t>2021/4/8</w:t>
      </w:r>
    </w:p>
    <w:p>
      <w:pPr>
        <w:spacing w:after="0"/>
        <w:jc w:val="left"/>
        <w:rPr>
          <w:rFonts w:ascii="Times New Roman"/>
          <w:sz w:val="18"/>
        </w:rPr>
        <w:sectPr>
          <w:type w:val="continuous"/>
          <w:pgSz w:w="11910" w:h="16840"/>
          <w:pgMar w:top="220" w:bottom="1400" w:left="240" w:right="400"/>
          <w:cols w:num="3" w:equalWidth="0">
            <w:col w:w="6431" w:space="40"/>
            <w:col w:w="2686" w:space="39"/>
            <w:col w:w="2074"/>
          </w:cols>
        </w:sectPr>
      </w:pPr>
    </w:p>
    <w:p>
      <w:pPr>
        <w:spacing w:before="175"/>
        <w:ind w:left="2138" w:right="0" w:firstLine="0"/>
        <w:jc w:val="center"/>
        <w:rPr>
          <w:sz w:val="18"/>
        </w:rPr>
      </w:pPr>
      <w:r>
        <w:rPr>
          <w:sz w:val="18"/>
        </w:rPr>
        <w:t>阿尔茨海默相关神经丝蛋白（</w:t>
      </w:r>
      <w:r>
        <w:rPr>
          <w:rFonts w:ascii="Times New Roman" w:eastAsia="Times New Roman"/>
          <w:sz w:val="18"/>
        </w:rPr>
        <w:t>AD7C-NTP</w:t>
      </w:r>
      <w:r>
        <w:rPr>
          <w:sz w:val="18"/>
        </w:rPr>
        <w:t>）测定试剂盒</w:t>
      </w:r>
    </w:p>
    <w:p>
      <w:pPr>
        <w:spacing w:before="62"/>
        <w:ind w:left="2141" w:right="0" w:firstLine="0"/>
        <w:jc w:val="center"/>
        <w:rPr>
          <w:sz w:val="18"/>
        </w:rPr>
      </w:pPr>
      <w:r>
        <w:rPr>
          <w:sz w:val="18"/>
        </w:rPr>
        <w:t>（荧光层析法）</w:t>
      </w:r>
    </w:p>
    <w:p>
      <w:pPr>
        <w:pStyle w:val="BodyText"/>
        <w:rPr>
          <w:sz w:val="15"/>
        </w:rPr>
      </w:pPr>
      <w:r>
        <w:rPr/>
        <w:br w:type="column"/>
      </w:r>
      <w:r>
        <w:rPr>
          <w:sz w:val="15"/>
        </w:rPr>
      </w:r>
    </w:p>
    <w:p>
      <w:pPr>
        <w:spacing w:line="180" w:lineRule="exact" w:before="0"/>
        <w:ind w:left="1810" w:right="115" w:firstLine="0"/>
        <w:jc w:val="center"/>
        <w:rPr>
          <w:sz w:val="18"/>
        </w:rPr>
      </w:pPr>
      <w:r>
        <w:rPr>
          <w:sz w:val="18"/>
        </w:rPr>
        <w:t>粤械注准</w:t>
      </w:r>
    </w:p>
    <w:p>
      <w:pPr>
        <w:spacing w:line="145" w:lineRule="exact" w:before="0"/>
        <w:ind w:left="685" w:right="0" w:firstLine="0"/>
        <w:jc w:val="left"/>
        <w:rPr>
          <w:sz w:val="18"/>
        </w:rPr>
      </w:pPr>
      <w:r>
        <w:rPr>
          <w:sz w:val="18"/>
        </w:rPr>
        <w:t>尿液</w:t>
      </w:r>
    </w:p>
    <w:p>
      <w:pPr>
        <w:spacing w:line="172" w:lineRule="exact" w:before="0"/>
        <w:ind w:left="1693" w:right="0" w:firstLine="0"/>
        <w:jc w:val="center"/>
        <w:rPr>
          <w:rFonts w:ascii="Times New Roman"/>
          <w:sz w:val="18"/>
        </w:rPr>
      </w:pPr>
      <w:r>
        <w:rPr>
          <w:rFonts w:ascii="Times New Roman"/>
          <w:sz w:val="18"/>
        </w:rPr>
        <w:t>20212400562</w:t>
      </w:r>
    </w:p>
    <w:p>
      <w:pPr>
        <w:pStyle w:val="BodyText"/>
        <w:spacing w:before="2"/>
        <w:rPr>
          <w:rFonts w:ascii="Times New Roman"/>
          <w:sz w:val="29"/>
        </w:rPr>
      </w:pPr>
      <w:r>
        <w:rPr/>
        <w:br w:type="column"/>
      </w:r>
      <w:r>
        <w:rPr>
          <w:rFonts w:ascii="Times New Roman"/>
          <w:sz w:val="29"/>
        </w:rPr>
      </w:r>
    </w:p>
    <w:p>
      <w:pPr>
        <w:spacing w:before="0"/>
        <w:ind w:left="490" w:right="0" w:firstLine="0"/>
        <w:jc w:val="left"/>
        <w:rPr>
          <w:rFonts w:ascii="Times New Roman"/>
          <w:sz w:val="18"/>
        </w:rPr>
      </w:pPr>
      <w:r>
        <w:rPr>
          <w:rFonts w:ascii="Times New Roman"/>
          <w:sz w:val="18"/>
        </w:rPr>
        <w:t>2021/4/8</w:t>
      </w:r>
    </w:p>
    <w:p>
      <w:pPr>
        <w:spacing w:after="0"/>
        <w:jc w:val="left"/>
        <w:rPr>
          <w:rFonts w:ascii="Times New Roman"/>
          <w:sz w:val="18"/>
        </w:rPr>
        <w:sectPr>
          <w:type w:val="continuous"/>
          <w:pgSz w:w="11910" w:h="16840"/>
          <w:pgMar w:top="220" w:bottom="1400" w:left="240" w:right="400"/>
          <w:cols w:num="3" w:equalWidth="0">
            <w:col w:w="6431" w:space="40"/>
            <w:col w:w="2686" w:space="39"/>
            <w:col w:w="2074"/>
          </w:cols>
        </w:sectPr>
      </w:pPr>
    </w:p>
    <w:p>
      <w:pPr>
        <w:pStyle w:val="BodyText"/>
        <w:spacing w:before="2"/>
        <w:rPr>
          <w:rFonts w:ascii="Times New Roman"/>
          <w:sz w:val="14"/>
        </w:rPr>
      </w:pPr>
    </w:p>
    <w:p>
      <w:pPr>
        <w:pStyle w:val="BodyText"/>
        <w:spacing w:line="20" w:lineRule="exact"/>
        <w:ind w:left="247"/>
        <w:rPr>
          <w:rFonts w:ascii="Times New Roman"/>
          <w:sz w:val="2"/>
        </w:rPr>
      </w:pPr>
      <w:r>
        <w:rPr>
          <w:rFonts w:ascii="Times New Roman"/>
          <w:sz w:val="2"/>
        </w:rPr>
        <w:pict>
          <v:group style="width:524.65pt;height:.5pt;mso-position-horizontal-relative:char;mso-position-vertical-relative:line" coordorigin="0,0" coordsize="10493,10">
            <v:shape style="position:absolute;left:0;top:0;width:10493;height:10" coordorigin="0,0" coordsize="10493,10" path="m7799,0l6390,0,6381,0,1707,0,1697,0,1697,0,0,0,0,10,1697,10,1697,10,1707,10,6381,10,6390,10,7799,10,7799,0xm10493,0l9038,0,9028,0,7809,0,7800,0,7800,10,7809,10,9028,10,9038,10,10493,10,10493,0xe" filled="true" fillcolor="#000000" stroked="false">
              <v:path arrowok="t"/>
              <v:fill type="solid"/>
            </v:shape>
          </v:group>
        </w:pict>
      </w:r>
      <w:r>
        <w:rPr>
          <w:rFonts w:ascii="Times New Roman"/>
          <w:sz w:val="2"/>
        </w:rPr>
      </w:r>
    </w:p>
    <w:p>
      <w:pPr>
        <w:spacing w:after="0" w:line="20" w:lineRule="exact"/>
        <w:rPr>
          <w:rFonts w:ascii="Times New Roman"/>
          <w:sz w:val="2"/>
        </w:rPr>
        <w:sectPr>
          <w:type w:val="continuous"/>
          <w:pgSz w:w="11910" w:h="16840"/>
          <w:pgMar w:top="220" w:bottom="1400" w:left="240" w:right="400"/>
        </w:sectPr>
      </w:pPr>
    </w:p>
    <w:p>
      <w:pPr>
        <w:pStyle w:val="BodyText"/>
        <w:rPr>
          <w:rFonts w:ascii="Times New Roman"/>
          <w:sz w:val="18"/>
        </w:rPr>
      </w:pPr>
    </w:p>
    <w:p>
      <w:pPr>
        <w:pStyle w:val="BodyText"/>
        <w:rPr>
          <w:rFonts w:ascii="Times New Roman"/>
          <w:sz w:val="18"/>
        </w:rPr>
      </w:pPr>
    </w:p>
    <w:p>
      <w:pPr>
        <w:pStyle w:val="BodyText"/>
        <w:rPr>
          <w:rFonts w:ascii="Times New Roman"/>
          <w:sz w:val="18"/>
        </w:rPr>
      </w:pPr>
    </w:p>
    <w:p>
      <w:pPr>
        <w:pStyle w:val="BodyText"/>
        <w:spacing w:before="5"/>
        <w:rPr>
          <w:rFonts w:ascii="Times New Roman"/>
        </w:rPr>
      </w:pPr>
    </w:p>
    <w:p>
      <w:pPr>
        <w:spacing w:line="302" w:lineRule="auto" w:before="1"/>
        <w:ind w:left="374" w:right="0" w:firstLine="0"/>
        <w:jc w:val="center"/>
        <w:rPr>
          <w:sz w:val="18"/>
        </w:rPr>
      </w:pPr>
      <w:r>
        <w:rPr>
          <w:spacing w:val="-3"/>
          <w:sz w:val="18"/>
        </w:rPr>
        <w:t>福建亿彤生物科技</w:t>
      </w:r>
      <w:r>
        <w:rPr>
          <w:sz w:val="18"/>
        </w:rPr>
        <w:t>有限公司</w:t>
      </w:r>
    </w:p>
    <w:p>
      <w:pPr>
        <w:pStyle w:val="BodyText"/>
        <w:rPr>
          <w:sz w:val="18"/>
        </w:rPr>
      </w:pPr>
    </w:p>
    <w:p>
      <w:pPr>
        <w:pStyle w:val="BodyText"/>
        <w:rPr>
          <w:sz w:val="18"/>
        </w:rPr>
      </w:pPr>
    </w:p>
    <w:p>
      <w:pPr>
        <w:pStyle w:val="BodyText"/>
        <w:rPr>
          <w:sz w:val="18"/>
        </w:rPr>
      </w:pPr>
    </w:p>
    <w:p>
      <w:pPr>
        <w:pStyle w:val="BodyText"/>
        <w:spacing w:before="1"/>
        <w:rPr>
          <w:sz w:val="15"/>
        </w:rPr>
      </w:pPr>
    </w:p>
    <w:p>
      <w:pPr>
        <w:spacing w:line="304" w:lineRule="auto" w:before="0"/>
        <w:ind w:left="374" w:right="0" w:firstLine="0"/>
        <w:jc w:val="center"/>
        <w:rPr>
          <w:sz w:val="18"/>
        </w:rPr>
      </w:pPr>
      <w:r>
        <w:rPr>
          <w:spacing w:val="-3"/>
          <w:sz w:val="18"/>
        </w:rPr>
        <w:t>湖南仁迈生物科技</w:t>
      </w:r>
      <w:r>
        <w:rPr>
          <w:sz w:val="18"/>
        </w:rPr>
        <w:t>有限公司</w:t>
      </w:r>
    </w:p>
    <w:p>
      <w:pPr>
        <w:spacing w:line="307" w:lineRule="auto" w:before="9"/>
        <w:ind w:left="374" w:right="0" w:firstLine="0"/>
        <w:jc w:val="center"/>
        <w:rPr>
          <w:sz w:val="18"/>
        </w:rPr>
      </w:pPr>
      <w:r>
        <w:rPr>
          <w:spacing w:val="-3"/>
          <w:sz w:val="18"/>
        </w:rPr>
        <w:t>安徽伊普诺康生物技术股份有限公司江西赛基生物技术</w:t>
      </w:r>
      <w:r>
        <w:rPr>
          <w:sz w:val="18"/>
        </w:rPr>
        <w:t>有限公司</w:t>
      </w:r>
    </w:p>
    <w:p>
      <w:pPr>
        <w:spacing w:line="304" w:lineRule="auto" w:before="6"/>
        <w:ind w:left="374" w:right="0" w:firstLine="0"/>
        <w:jc w:val="center"/>
        <w:rPr>
          <w:sz w:val="18"/>
        </w:rPr>
      </w:pPr>
      <w:r>
        <w:rPr>
          <w:spacing w:val="-3"/>
          <w:sz w:val="18"/>
        </w:rPr>
        <w:t>南京岚煜生物科技</w:t>
      </w:r>
      <w:r>
        <w:rPr>
          <w:sz w:val="18"/>
        </w:rPr>
        <w:t>有限公司</w:t>
      </w:r>
    </w:p>
    <w:p>
      <w:pPr>
        <w:pStyle w:val="BodyText"/>
        <w:spacing w:before="5"/>
        <w:rPr>
          <w:sz w:val="23"/>
        </w:rPr>
      </w:pPr>
    </w:p>
    <w:p>
      <w:pPr>
        <w:spacing w:line="304" w:lineRule="auto" w:before="0"/>
        <w:ind w:left="374" w:right="0" w:firstLine="0"/>
        <w:jc w:val="center"/>
        <w:rPr>
          <w:sz w:val="18"/>
        </w:rPr>
      </w:pPr>
      <w:r>
        <w:rPr>
          <w:spacing w:val="-3"/>
          <w:sz w:val="18"/>
        </w:rPr>
        <w:t>长沙纽康度生物科</w:t>
      </w:r>
      <w:r>
        <w:rPr>
          <w:sz w:val="18"/>
        </w:rPr>
        <w:t>技有限公司</w:t>
      </w:r>
    </w:p>
    <w:p>
      <w:pPr>
        <w:pStyle w:val="BodyText"/>
        <w:rPr>
          <w:sz w:val="18"/>
        </w:rPr>
      </w:pPr>
    </w:p>
    <w:p>
      <w:pPr>
        <w:spacing w:line="304" w:lineRule="auto" w:before="117"/>
        <w:ind w:left="374" w:right="0" w:firstLine="0"/>
        <w:jc w:val="center"/>
        <w:rPr>
          <w:sz w:val="18"/>
        </w:rPr>
      </w:pPr>
      <w:r>
        <w:rPr/>
        <w:pict>
          <v:shape style="position:absolute;margin-left:24.360001pt;margin-top:37.290985pt;width:524.65pt;height:.5pt;mso-position-horizontal-relative:page;mso-position-vertical-relative:paragraph;z-index:15756288" coordorigin="487,746" coordsize="10493,10" path="m8287,746l6877,746,6868,746,2194,746,2184,746,2184,746,487,746,487,755,2184,755,2184,755,2194,755,6868,755,6877,755,8287,755,8287,746xm10980,746l9525,746,9516,746,8296,746,8287,746,8287,755,8296,755,9516,755,9525,755,10980,755,10980,746xe" filled="true" fillcolor="#000000" stroked="false">
            <v:path arrowok="t"/>
            <v:fill type="solid"/>
            <w10:wrap type="none"/>
          </v:shape>
        </w:pict>
      </w:r>
      <w:r>
        <w:rPr>
          <w:sz w:val="18"/>
        </w:rPr>
        <w:t>彩科（长沙）</w:t>
      </w:r>
      <w:r>
        <w:rPr>
          <w:spacing w:val="-10"/>
          <w:sz w:val="18"/>
        </w:rPr>
        <w:t>生物</w:t>
      </w:r>
      <w:r>
        <w:rPr>
          <w:sz w:val="18"/>
        </w:rPr>
        <w:t>科技有限公司</w:t>
      </w:r>
    </w:p>
    <w:p>
      <w:pPr>
        <w:tabs>
          <w:tab w:pos="5301" w:val="left" w:leader="none"/>
        </w:tabs>
        <w:spacing w:before="124"/>
        <w:ind w:left="466" w:right="0" w:firstLine="0"/>
        <w:jc w:val="left"/>
        <w:rPr>
          <w:sz w:val="18"/>
        </w:rPr>
      </w:pPr>
      <w:r>
        <w:rPr/>
        <w:br w:type="column"/>
      </w:r>
      <w:r>
        <w:rPr>
          <w:sz w:val="18"/>
        </w:rPr>
        <w:t>人磷酸化</w:t>
      </w:r>
      <w:r>
        <w:rPr>
          <w:spacing w:val="-44"/>
          <w:sz w:val="18"/>
        </w:rPr>
        <w:t> </w:t>
      </w:r>
      <w:r>
        <w:rPr>
          <w:rFonts w:ascii="Times New Roman" w:eastAsia="Times New Roman"/>
          <w:spacing w:val="-3"/>
          <w:sz w:val="18"/>
        </w:rPr>
        <w:t>Tau-181</w:t>
      </w:r>
      <w:r>
        <w:rPr>
          <w:rFonts w:ascii="Times New Roman" w:eastAsia="Times New Roman"/>
          <w:spacing w:val="2"/>
          <w:sz w:val="18"/>
        </w:rPr>
        <w:t> </w:t>
      </w:r>
      <w:r>
        <w:rPr>
          <w:sz w:val="18"/>
        </w:rPr>
        <w:t>蛋白检测</w:t>
      </w:r>
      <w:r>
        <w:rPr>
          <w:spacing w:val="-3"/>
          <w:sz w:val="18"/>
        </w:rPr>
        <w:t>试</w:t>
      </w:r>
      <w:r>
        <w:rPr>
          <w:sz w:val="18"/>
        </w:rPr>
        <w:t>剂盒（酶联免疫法）</w:t>
        <w:tab/>
        <w:t>血液</w:t>
      </w:r>
    </w:p>
    <w:p>
      <w:pPr>
        <w:pStyle w:val="BodyText"/>
        <w:spacing w:before="6"/>
        <w:rPr>
          <w:sz w:val="15"/>
        </w:rPr>
      </w:pPr>
    </w:p>
    <w:p>
      <w:pPr>
        <w:spacing w:line="189" w:lineRule="exact" w:before="0"/>
        <w:ind w:left="209" w:right="1045" w:firstLine="0"/>
        <w:jc w:val="center"/>
        <w:rPr>
          <w:sz w:val="18"/>
        </w:rPr>
      </w:pPr>
      <w:r>
        <w:rPr>
          <w:sz w:val="18"/>
        </w:rPr>
        <w:t>人 </w:t>
      </w:r>
      <w:r>
        <w:rPr>
          <w:rFonts w:ascii="Times New Roman" w:hAnsi="Times New Roman" w:eastAsia="Times New Roman"/>
          <w:sz w:val="18"/>
        </w:rPr>
        <w:t>β </w:t>
      </w:r>
      <w:r>
        <w:rPr>
          <w:sz w:val="18"/>
        </w:rPr>
        <w:t>淀粉样蛋白 </w:t>
      </w:r>
      <w:r>
        <w:rPr>
          <w:rFonts w:ascii="Times New Roman" w:hAnsi="Times New Roman" w:eastAsia="Times New Roman"/>
          <w:sz w:val="18"/>
        </w:rPr>
        <w:t>1-42 </w:t>
      </w:r>
      <w:r>
        <w:rPr>
          <w:sz w:val="18"/>
        </w:rPr>
        <w:t>（</w:t>
      </w:r>
      <w:r>
        <w:rPr>
          <w:rFonts w:ascii="Times New Roman" w:hAnsi="Times New Roman" w:eastAsia="Times New Roman"/>
          <w:sz w:val="18"/>
        </w:rPr>
        <w:t>Aβ 1-42</w:t>
      </w:r>
      <w:r>
        <w:rPr>
          <w:sz w:val="18"/>
        </w:rPr>
        <w:t>）检测试剂盒</w:t>
      </w:r>
    </w:p>
    <w:p>
      <w:pPr>
        <w:spacing w:line="147" w:lineRule="exact" w:before="0"/>
        <w:ind w:left="5281" w:right="20" w:firstLine="0"/>
        <w:jc w:val="center"/>
        <w:rPr>
          <w:sz w:val="18"/>
        </w:rPr>
      </w:pPr>
      <w:r>
        <w:rPr>
          <w:sz w:val="18"/>
        </w:rPr>
        <w:t>血液</w:t>
      </w:r>
    </w:p>
    <w:p>
      <w:pPr>
        <w:spacing w:line="189" w:lineRule="exact" w:before="0"/>
        <w:ind w:left="210" w:right="1045" w:firstLine="0"/>
        <w:jc w:val="center"/>
        <w:rPr>
          <w:sz w:val="18"/>
        </w:rPr>
      </w:pPr>
      <w:r>
        <w:rPr>
          <w:sz w:val="18"/>
        </w:rPr>
        <w:t>（酶联免疫法）</w:t>
      </w:r>
    </w:p>
    <w:p>
      <w:pPr>
        <w:spacing w:line="187" w:lineRule="exact" w:before="72"/>
        <w:ind w:left="209" w:right="1045" w:firstLine="0"/>
        <w:jc w:val="center"/>
        <w:rPr>
          <w:sz w:val="18"/>
        </w:rPr>
      </w:pPr>
      <w:r>
        <w:rPr>
          <w:sz w:val="18"/>
        </w:rPr>
        <w:t>人磷酸化 </w:t>
      </w:r>
      <w:r>
        <w:rPr>
          <w:rFonts w:ascii="Times New Roman" w:eastAsia="Times New Roman"/>
          <w:sz w:val="18"/>
        </w:rPr>
        <w:t>Tau-181 </w:t>
      </w:r>
      <w:r>
        <w:rPr>
          <w:sz w:val="18"/>
        </w:rPr>
        <w:t>蛋白检测试剂盒</w:t>
      </w:r>
    </w:p>
    <w:p>
      <w:pPr>
        <w:spacing w:line="145" w:lineRule="exact" w:before="0"/>
        <w:ind w:left="5281" w:right="20" w:firstLine="0"/>
        <w:jc w:val="center"/>
        <w:rPr>
          <w:sz w:val="18"/>
        </w:rPr>
      </w:pPr>
      <w:r>
        <w:rPr>
          <w:sz w:val="18"/>
        </w:rPr>
        <w:t>血液</w:t>
      </w:r>
    </w:p>
    <w:p>
      <w:pPr>
        <w:spacing w:line="189" w:lineRule="exact" w:before="0"/>
        <w:ind w:left="210" w:right="1045" w:firstLine="0"/>
        <w:jc w:val="center"/>
        <w:rPr>
          <w:sz w:val="18"/>
        </w:rPr>
      </w:pPr>
      <w:r>
        <w:rPr>
          <w:sz w:val="18"/>
        </w:rPr>
        <w:t>（荧光免疫层析法）</w:t>
      </w:r>
    </w:p>
    <w:p>
      <w:pPr>
        <w:spacing w:line="189" w:lineRule="exact" w:before="72"/>
        <w:ind w:left="209" w:right="1045" w:firstLine="0"/>
        <w:jc w:val="center"/>
        <w:rPr>
          <w:sz w:val="18"/>
        </w:rPr>
      </w:pPr>
      <w:r>
        <w:rPr>
          <w:sz w:val="18"/>
        </w:rPr>
        <w:t>人 </w:t>
      </w:r>
      <w:r>
        <w:rPr>
          <w:rFonts w:ascii="Times New Roman" w:hAnsi="Times New Roman" w:eastAsia="Times New Roman"/>
          <w:sz w:val="18"/>
        </w:rPr>
        <w:t>β </w:t>
      </w:r>
      <w:r>
        <w:rPr>
          <w:sz w:val="18"/>
        </w:rPr>
        <w:t>淀粉样蛋白 </w:t>
      </w:r>
      <w:r>
        <w:rPr>
          <w:rFonts w:ascii="Times New Roman" w:hAnsi="Times New Roman" w:eastAsia="Times New Roman"/>
          <w:sz w:val="18"/>
        </w:rPr>
        <w:t>1-42 </w:t>
      </w:r>
      <w:r>
        <w:rPr>
          <w:sz w:val="18"/>
        </w:rPr>
        <w:t>（</w:t>
      </w:r>
      <w:r>
        <w:rPr>
          <w:rFonts w:ascii="Times New Roman" w:hAnsi="Times New Roman" w:eastAsia="Times New Roman"/>
          <w:sz w:val="18"/>
        </w:rPr>
        <w:t>Aβ 1-42</w:t>
      </w:r>
      <w:r>
        <w:rPr>
          <w:sz w:val="18"/>
        </w:rPr>
        <w:t>）检测试剂盒</w:t>
      </w:r>
    </w:p>
    <w:p>
      <w:pPr>
        <w:spacing w:line="145" w:lineRule="exact" w:before="0"/>
        <w:ind w:left="5281" w:right="20" w:firstLine="0"/>
        <w:jc w:val="center"/>
        <w:rPr>
          <w:sz w:val="18"/>
        </w:rPr>
      </w:pPr>
      <w:r>
        <w:rPr>
          <w:sz w:val="18"/>
        </w:rPr>
        <w:t>血液</w:t>
      </w:r>
    </w:p>
    <w:p>
      <w:pPr>
        <w:spacing w:line="187" w:lineRule="exact" w:before="0"/>
        <w:ind w:left="210" w:right="1045" w:firstLine="0"/>
        <w:jc w:val="center"/>
        <w:rPr>
          <w:sz w:val="18"/>
        </w:rPr>
      </w:pPr>
      <w:r>
        <w:rPr>
          <w:sz w:val="18"/>
        </w:rPr>
        <w:t>（荧光免疫层析法）</w:t>
      </w:r>
    </w:p>
    <w:p>
      <w:pPr>
        <w:spacing w:line="189" w:lineRule="exact" w:before="72"/>
        <w:ind w:left="207" w:right="1045" w:firstLine="0"/>
        <w:jc w:val="center"/>
        <w:rPr>
          <w:sz w:val="18"/>
        </w:rPr>
      </w:pPr>
      <w:r>
        <w:rPr>
          <w:sz w:val="18"/>
        </w:rPr>
        <w:t>磷酸化 </w:t>
      </w:r>
      <w:r>
        <w:rPr>
          <w:rFonts w:ascii="Times New Roman" w:eastAsia="Times New Roman"/>
          <w:sz w:val="18"/>
        </w:rPr>
        <w:t>Tau-181 </w:t>
      </w:r>
      <w:r>
        <w:rPr>
          <w:sz w:val="18"/>
        </w:rPr>
        <w:t>蛋白检测试剂盒</w:t>
      </w:r>
    </w:p>
    <w:p>
      <w:pPr>
        <w:spacing w:line="146" w:lineRule="exact" w:before="0"/>
        <w:ind w:left="5281" w:right="20" w:firstLine="0"/>
        <w:jc w:val="center"/>
        <w:rPr>
          <w:sz w:val="18"/>
        </w:rPr>
      </w:pPr>
      <w:r>
        <w:rPr>
          <w:sz w:val="18"/>
        </w:rPr>
        <w:t>血液</w:t>
      </w:r>
    </w:p>
    <w:p>
      <w:pPr>
        <w:spacing w:line="189" w:lineRule="exact" w:before="0"/>
        <w:ind w:left="210" w:right="1045" w:firstLine="0"/>
        <w:jc w:val="center"/>
        <w:rPr>
          <w:sz w:val="18"/>
        </w:rPr>
      </w:pPr>
      <w:r>
        <w:rPr>
          <w:sz w:val="18"/>
        </w:rPr>
        <w:t>（化学发光免疫分析法）</w:t>
      </w:r>
    </w:p>
    <w:p>
      <w:pPr>
        <w:pStyle w:val="BodyText"/>
        <w:spacing w:before="10"/>
        <w:rPr>
          <w:sz w:val="16"/>
        </w:rPr>
      </w:pPr>
    </w:p>
    <w:p>
      <w:pPr>
        <w:tabs>
          <w:tab w:pos="5301" w:val="left" w:leader="none"/>
        </w:tabs>
        <w:spacing w:before="1"/>
        <w:ind w:left="466" w:right="0" w:firstLine="0"/>
        <w:jc w:val="left"/>
        <w:rPr>
          <w:sz w:val="18"/>
        </w:rPr>
      </w:pPr>
      <w:r>
        <w:rPr>
          <w:sz w:val="18"/>
        </w:rPr>
        <w:t>人磷酸化</w:t>
      </w:r>
      <w:r>
        <w:rPr>
          <w:spacing w:val="-44"/>
          <w:sz w:val="18"/>
        </w:rPr>
        <w:t> </w:t>
      </w:r>
      <w:r>
        <w:rPr>
          <w:rFonts w:ascii="Times New Roman" w:eastAsia="Times New Roman"/>
          <w:spacing w:val="-3"/>
          <w:sz w:val="18"/>
        </w:rPr>
        <w:t>Tau-181</w:t>
      </w:r>
      <w:r>
        <w:rPr>
          <w:rFonts w:ascii="Times New Roman" w:eastAsia="Times New Roman"/>
          <w:spacing w:val="2"/>
          <w:sz w:val="18"/>
        </w:rPr>
        <w:t> </w:t>
      </w:r>
      <w:r>
        <w:rPr>
          <w:sz w:val="18"/>
        </w:rPr>
        <w:t>蛋白检测</w:t>
      </w:r>
      <w:r>
        <w:rPr>
          <w:spacing w:val="-3"/>
          <w:sz w:val="18"/>
        </w:rPr>
        <w:t>试</w:t>
      </w:r>
      <w:r>
        <w:rPr>
          <w:sz w:val="18"/>
        </w:rPr>
        <w:t>剂盒（化学发光法）</w:t>
        <w:tab/>
        <w:t>血液</w:t>
      </w:r>
    </w:p>
    <w:p>
      <w:pPr>
        <w:pStyle w:val="BodyText"/>
        <w:rPr>
          <w:sz w:val="17"/>
        </w:rPr>
      </w:pPr>
    </w:p>
    <w:p>
      <w:pPr>
        <w:spacing w:line="189" w:lineRule="exact" w:before="0"/>
        <w:ind w:left="212" w:right="1045" w:firstLine="0"/>
        <w:jc w:val="center"/>
        <w:rPr>
          <w:sz w:val="18"/>
        </w:rPr>
      </w:pPr>
      <w:r>
        <w:rPr>
          <w:rFonts w:ascii="Times New Roman" w:hAnsi="Times New Roman" w:eastAsia="Times New Roman"/>
          <w:sz w:val="18"/>
        </w:rPr>
        <w:t>A</w:t>
      </w:r>
      <w:r>
        <w:rPr>
          <w:sz w:val="18"/>
        </w:rPr>
        <w:t>β</w:t>
      </w:r>
      <w:r>
        <w:rPr>
          <w:rFonts w:ascii="Times New Roman" w:hAnsi="Times New Roman" w:eastAsia="Times New Roman"/>
          <w:sz w:val="18"/>
        </w:rPr>
        <w:t>1-42/A</w:t>
      </w:r>
      <w:r>
        <w:rPr>
          <w:sz w:val="18"/>
        </w:rPr>
        <w:t>β</w:t>
      </w:r>
      <w:r>
        <w:rPr>
          <w:rFonts w:ascii="Times New Roman" w:hAnsi="Times New Roman" w:eastAsia="Times New Roman"/>
          <w:sz w:val="18"/>
        </w:rPr>
        <w:t>1-40/T-Tau/p-Tau-181/</w:t>
      </w:r>
      <w:r>
        <w:rPr>
          <w:sz w:val="18"/>
        </w:rPr>
        <w:t>α</w:t>
      </w:r>
      <w:r>
        <w:rPr>
          <w:rFonts w:ascii="Times New Roman" w:hAnsi="Times New Roman" w:eastAsia="Times New Roman"/>
          <w:sz w:val="18"/>
        </w:rPr>
        <w:t>-synuclein </w:t>
      </w:r>
      <w:r>
        <w:rPr>
          <w:sz w:val="18"/>
        </w:rPr>
        <w:t>联合检测</w:t>
      </w:r>
    </w:p>
    <w:p>
      <w:pPr>
        <w:spacing w:line="145" w:lineRule="exact" w:before="0"/>
        <w:ind w:left="5281" w:right="20" w:firstLine="0"/>
        <w:jc w:val="center"/>
        <w:rPr>
          <w:sz w:val="18"/>
        </w:rPr>
      </w:pPr>
      <w:r>
        <w:rPr>
          <w:sz w:val="18"/>
        </w:rPr>
        <w:t>血液</w:t>
      </w:r>
    </w:p>
    <w:p>
      <w:pPr>
        <w:spacing w:line="187" w:lineRule="exact" w:before="0"/>
        <w:ind w:left="207" w:right="1045" w:firstLine="0"/>
        <w:jc w:val="center"/>
        <w:rPr>
          <w:rFonts w:ascii="Times New Roman" w:eastAsia="Times New Roman"/>
          <w:sz w:val="18"/>
        </w:rPr>
      </w:pPr>
      <w:r>
        <w:rPr>
          <w:sz w:val="18"/>
        </w:rPr>
        <w:t>试剂盒</w:t>
      </w:r>
      <w:r>
        <w:rPr>
          <w:rFonts w:ascii="Times New Roman" w:eastAsia="Times New Roman"/>
          <w:sz w:val="18"/>
        </w:rPr>
        <w:t>(</w:t>
      </w:r>
      <w:r>
        <w:rPr>
          <w:sz w:val="18"/>
        </w:rPr>
        <w:t>流式荧光发光法</w:t>
      </w:r>
      <w:r>
        <w:rPr>
          <w:rFonts w:ascii="Times New Roman" w:eastAsia="Times New Roman"/>
          <w:sz w:val="18"/>
        </w:rPr>
        <w:t>)</w:t>
      </w:r>
    </w:p>
    <w:p>
      <w:pPr>
        <w:spacing w:line="189" w:lineRule="exact" w:before="72"/>
        <w:ind w:left="209" w:right="1045" w:firstLine="0"/>
        <w:jc w:val="center"/>
        <w:rPr>
          <w:sz w:val="18"/>
        </w:rPr>
      </w:pPr>
      <w:r>
        <w:rPr>
          <w:sz w:val="18"/>
        </w:rPr>
        <w:t>人磷酸化 </w:t>
      </w:r>
      <w:r>
        <w:rPr>
          <w:rFonts w:ascii="Times New Roman" w:eastAsia="Times New Roman"/>
          <w:sz w:val="18"/>
        </w:rPr>
        <w:t>tau-181 </w:t>
      </w:r>
      <w:r>
        <w:rPr>
          <w:sz w:val="18"/>
        </w:rPr>
        <w:t>蛋白检测试剂盒（干式荧光免疫层析</w:t>
      </w:r>
    </w:p>
    <w:p>
      <w:pPr>
        <w:spacing w:line="146" w:lineRule="exact" w:before="0"/>
        <w:ind w:left="5281" w:right="20" w:firstLine="0"/>
        <w:jc w:val="center"/>
        <w:rPr>
          <w:sz w:val="18"/>
        </w:rPr>
      </w:pPr>
      <w:r>
        <w:rPr>
          <w:sz w:val="18"/>
        </w:rPr>
        <w:t>血液</w:t>
      </w:r>
    </w:p>
    <w:p>
      <w:pPr>
        <w:spacing w:line="189" w:lineRule="exact" w:before="0"/>
        <w:ind w:left="207" w:right="1045" w:firstLine="0"/>
        <w:jc w:val="center"/>
        <w:rPr>
          <w:sz w:val="18"/>
        </w:rPr>
      </w:pPr>
      <w:r>
        <w:rPr>
          <w:sz w:val="18"/>
        </w:rPr>
        <w:t>法）</w:t>
      </w:r>
    </w:p>
    <w:p>
      <w:pPr>
        <w:spacing w:before="72"/>
        <w:ind w:left="209" w:right="1045" w:firstLine="0"/>
        <w:jc w:val="center"/>
        <w:rPr>
          <w:sz w:val="18"/>
        </w:rPr>
      </w:pPr>
      <w:r>
        <w:rPr>
          <w:rFonts w:ascii="Times New Roman" w:hAnsi="Times New Roman" w:eastAsia="Times New Roman"/>
          <w:sz w:val="18"/>
        </w:rPr>
        <w:t>S100-</w:t>
      </w:r>
      <w:r>
        <w:rPr>
          <w:sz w:val="18"/>
        </w:rPr>
        <w:t>β蛋白（</w:t>
      </w:r>
      <w:r>
        <w:rPr>
          <w:rFonts w:ascii="Times New Roman" w:hAnsi="Times New Roman" w:eastAsia="Times New Roman"/>
          <w:sz w:val="18"/>
        </w:rPr>
        <w:t>S100-</w:t>
      </w:r>
      <w:r>
        <w:rPr>
          <w:sz w:val="18"/>
        </w:rPr>
        <w:t>β）</w:t>
      </w:r>
      <w:r>
        <w:rPr>
          <w:rFonts w:ascii="Times New Roman" w:hAnsi="Times New Roman" w:eastAsia="Times New Roman"/>
          <w:sz w:val="18"/>
        </w:rPr>
        <w:t>/</w:t>
      </w:r>
      <w:r>
        <w:rPr>
          <w:sz w:val="18"/>
        </w:rPr>
        <w:t>神经元特异性烯醇化酶</w:t>
      </w:r>
    </w:p>
    <w:p>
      <w:pPr>
        <w:spacing w:line="189" w:lineRule="exact" w:before="60"/>
        <w:ind w:left="209" w:right="1045" w:firstLine="0"/>
        <w:jc w:val="center"/>
        <w:rPr>
          <w:sz w:val="18"/>
        </w:rPr>
      </w:pPr>
      <w:r>
        <w:rPr>
          <w:sz w:val="18"/>
        </w:rPr>
        <w:t>（</w:t>
      </w:r>
      <w:r>
        <w:rPr>
          <w:rFonts w:ascii="Times New Roman" w:eastAsia="Times New Roman"/>
          <w:sz w:val="18"/>
        </w:rPr>
        <w:t>NSE</w:t>
      </w:r>
      <w:r>
        <w:rPr>
          <w:sz w:val="18"/>
        </w:rPr>
        <w:t>）</w:t>
      </w:r>
      <w:r>
        <w:rPr>
          <w:rFonts w:ascii="Times New Roman" w:eastAsia="Times New Roman"/>
          <w:sz w:val="18"/>
        </w:rPr>
        <w:t>/</w:t>
      </w:r>
      <w:r>
        <w:rPr>
          <w:sz w:val="18"/>
        </w:rPr>
        <w:t>胶质纤维酸性蛋白（</w:t>
      </w:r>
      <w:r>
        <w:rPr>
          <w:rFonts w:ascii="Times New Roman" w:eastAsia="Times New Roman"/>
          <w:sz w:val="18"/>
        </w:rPr>
        <w:t>GFAP</w:t>
      </w:r>
      <w:r>
        <w:rPr>
          <w:sz w:val="18"/>
        </w:rPr>
        <w:t>）</w:t>
      </w:r>
      <w:r>
        <w:rPr>
          <w:rFonts w:ascii="Times New Roman" w:eastAsia="Times New Roman"/>
          <w:sz w:val="18"/>
        </w:rPr>
        <w:t>/</w:t>
      </w:r>
      <w:r>
        <w:rPr>
          <w:sz w:val="18"/>
        </w:rPr>
        <w:t>泛素羧基末端水</w:t>
      </w:r>
    </w:p>
    <w:p>
      <w:pPr>
        <w:spacing w:line="146" w:lineRule="exact" w:before="0"/>
        <w:ind w:left="5281" w:right="20" w:firstLine="0"/>
        <w:jc w:val="center"/>
        <w:rPr>
          <w:sz w:val="18"/>
        </w:rPr>
      </w:pPr>
      <w:r>
        <w:rPr>
          <w:sz w:val="18"/>
        </w:rPr>
        <w:t>血液</w:t>
      </w:r>
    </w:p>
    <w:p>
      <w:pPr>
        <w:spacing w:line="189" w:lineRule="exact" w:before="0"/>
        <w:ind w:left="212" w:right="1045" w:firstLine="0"/>
        <w:jc w:val="center"/>
        <w:rPr>
          <w:sz w:val="18"/>
        </w:rPr>
      </w:pPr>
      <w:r>
        <w:rPr>
          <w:sz w:val="18"/>
        </w:rPr>
        <w:t>解酶 </w:t>
      </w:r>
      <w:r>
        <w:rPr>
          <w:rFonts w:ascii="Times New Roman" w:eastAsia="Times New Roman"/>
          <w:sz w:val="18"/>
        </w:rPr>
        <w:t>L1</w:t>
      </w:r>
      <w:r>
        <w:rPr>
          <w:sz w:val="18"/>
        </w:rPr>
        <w:t>（</w:t>
      </w:r>
      <w:r>
        <w:rPr>
          <w:rFonts w:ascii="Times New Roman" w:eastAsia="Times New Roman"/>
          <w:sz w:val="18"/>
        </w:rPr>
        <w:t>UCH-L1</w:t>
      </w:r>
      <w:r>
        <w:rPr>
          <w:sz w:val="18"/>
        </w:rPr>
        <w:t>）</w:t>
      </w:r>
      <w:r>
        <w:rPr>
          <w:rFonts w:ascii="Times New Roman" w:eastAsia="Times New Roman"/>
          <w:sz w:val="18"/>
        </w:rPr>
        <w:t>/</w:t>
      </w:r>
      <w:r>
        <w:rPr>
          <w:sz w:val="18"/>
        </w:rPr>
        <w:t>白介素 </w:t>
      </w:r>
      <w:r>
        <w:rPr>
          <w:rFonts w:ascii="Times New Roman" w:eastAsia="Times New Roman"/>
          <w:sz w:val="18"/>
        </w:rPr>
        <w:t>6</w:t>
      </w:r>
      <w:r>
        <w:rPr>
          <w:sz w:val="18"/>
        </w:rPr>
        <w:t>（</w:t>
      </w:r>
      <w:r>
        <w:rPr>
          <w:rFonts w:ascii="Times New Roman" w:eastAsia="Times New Roman"/>
          <w:sz w:val="18"/>
        </w:rPr>
        <w:t>IL-6</w:t>
      </w:r>
      <w:r>
        <w:rPr>
          <w:sz w:val="18"/>
        </w:rPr>
        <w:t>）</w:t>
      </w:r>
      <w:r>
        <w:rPr>
          <w:rFonts w:ascii="Times New Roman" w:eastAsia="Times New Roman"/>
          <w:sz w:val="18"/>
        </w:rPr>
        <w:t>/</w:t>
      </w:r>
      <w:r>
        <w:rPr>
          <w:sz w:val="18"/>
        </w:rPr>
        <w:t>磷酸化 </w:t>
      </w:r>
      <w:r>
        <w:rPr>
          <w:rFonts w:ascii="Times New Roman" w:eastAsia="Times New Roman"/>
          <w:sz w:val="18"/>
        </w:rPr>
        <w:t>tau </w:t>
      </w:r>
      <w:r>
        <w:rPr>
          <w:sz w:val="18"/>
        </w:rPr>
        <w:t>蛋白</w:t>
      </w:r>
    </w:p>
    <w:p>
      <w:pPr>
        <w:spacing w:before="60"/>
        <w:ind w:left="206" w:right="1045" w:firstLine="0"/>
        <w:jc w:val="center"/>
        <w:rPr>
          <w:sz w:val="18"/>
        </w:rPr>
      </w:pPr>
      <w:r>
        <w:rPr>
          <w:sz w:val="18"/>
        </w:rPr>
        <w:t>（</w:t>
      </w:r>
      <w:r>
        <w:rPr>
          <w:rFonts w:ascii="Times New Roman" w:eastAsia="Times New Roman"/>
          <w:sz w:val="18"/>
        </w:rPr>
        <w:t>P-tau)</w:t>
      </w:r>
      <w:r>
        <w:rPr>
          <w:sz w:val="18"/>
        </w:rPr>
        <w:t>联合检测试剂盒（免疫荧光层析法）</w:t>
      </w:r>
    </w:p>
    <w:p>
      <w:pPr>
        <w:spacing w:line="189" w:lineRule="exact" w:before="119"/>
        <w:ind w:left="209" w:right="1045" w:firstLine="0"/>
        <w:jc w:val="center"/>
        <w:rPr>
          <w:sz w:val="18"/>
        </w:rPr>
      </w:pPr>
      <w:r>
        <w:rPr>
          <w:sz w:val="18"/>
        </w:rPr>
        <w:t>人磷酸化 </w:t>
      </w:r>
      <w:r>
        <w:rPr>
          <w:rFonts w:ascii="Times New Roman" w:eastAsia="Times New Roman"/>
          <w:sz w:val="18"/>
        </w:rPr>
        <w:t>Tau-181 </w:t>
      </w:r>
      <w:r>
        <w:rPr>
          <w:sz w:val="18"/>
        </w:rPr>
        <w:t>蛋白（</w:t>
      </w:r>
      <w:r>
        <w:rPr>
          <w:rFonts w:ascii="Times New Roman" w:eastAsia="Times New Roman"/>
          <w:sz w:val="18"/>
        </w:rPr>
        <w:t>pTau-181</w:t>
      </w:r>
      <w:r>
        <w:rPr>
          <w:sz w:val="18"/>
        </w:rPr>
        <w:t>）检测试剂盒</w:t>
      </w:r>
    </w:p>
    <w:p>
      <w:pPr>
        <w:spacing w:line="146" w:lineRule="exact" w:before="0"/>
        <w:ind w:left="5281" w:right="20" w:firstLine="0"/>
        <w:jc w:val="center"/>
        <w:rPr>
          <w:sz w:val="18"/>
        </w:rPr>
      </w:pPr>
      <w:r>
        <w:rPr>
          <w:sz w:val="18"/>
        </w:rPr>
        <w:t>血液</w:t>
      </w:r>
    </w:p>
    <w:p>
      <w:pPr>
        <w:spacing w:line="189" w:lineRule="exact" w:before="0"/>
        <w:ind w:left="210" w:right="1045" w:firstLine="0"/>
        <w:jc w:val="center"/>
        <w:rPr>
          <w:sz w:val="18"/>
        </w:rPr>
      </w:pPr>
      <w:r>
        <w:rPr>
          <w:sz w:val="18"/>
        </w:rPr>
        <w:t>（数字酶联免疫法）</w:t>
      </w:r>
    </w:p>
    <w:p>
      <w:pPr>
        <w:spacing w:line="225" w:lineRule="exact" w:before="0"/>
        <w:ind w:left="511" w:right="0" w:firstLine="0"/>
        <w:jc w:val="left"/>
        <w:rPr>
          <w:sz w:val="18"/>
        </w:rPr>
      </w:pPr>
      <w:r>
        <w:rPr/>
        <w:br w:type="column"/>
      </w:r>
      <w:r>
        <w:rPr>
          <w:sz w:val="18"/>
        </w:rPr>
        <w:t>闽械注准</w:t>
      </w:r>
    </w:p>
    <w:p>
      <w:pPr>
        <w:spacing w:before="57"/>
        <w:ind w:left="379" w:right="0" w:firstLine="0"/>
        <w:jc w:val="left"/>
        <w:rPr>
          <w:rFonts w:ascii="Times New Roman"/>
          <w:sz w:val="18"/>
        </w:rPr>
      </w:pPr>
      <w:r>
        <w:rPr>
          <w:rFonts w:ascii="Times New Roman"/>
          <w:spacing w:val="-1"/>
          <w:sz w:val="18"/>
        </w:rPr>
        <w:t>20212400119</w:t>
      </w:r>
    </w:p>
    <w:p>
      <w:pPr>
        <w:spacing w:before="81"/>
        <w:ind w:left="511" w:right="0" w:firstLine="0"/>
        <w:jc w:val="left"/>
        <w:rPr>
          <w:sz w:val="18"/>
        </w:rPr>
      </w:pPr>
      <w:r>
        <w:rPr/>
        <w:pict>
          <v:shape style="position:absolute;margin-left:109.220009pt;margin-top:2.589983pt;width:439.8pt;height:.5pt;mso-position-horizontal-relative:page;mso-position-vertical-relative:paragraph;z-index:15751680" coordorigin="2184,52" coordsize="8796,10" path="m8287,52l6877,52,6868,52,2184,52,2184,61,6868,61,6877,61,8287,61,8287,52xm10980,52l9525,52,9516,52,8296,52,8287,52,8287,61,8296,61,9516,61,9525,61,10980,61,10980,52xe" filled="true" fillcolor="#000000" stroked="false">
            <v:path arrowok="t"/>
            <v:fill type="solid"/>
            <w10:wrap type="none"/>
          </v:shape>
        </w:pict>
      </w:r>
      <w:r>
        <w:rPr>
          <w:sz w:val="18"/>
        </w:rPr>
        <w:t>闽械注准</w:t>
      </w:r>
    </w:p>
    <w:p>
      <w:pPr>
        <w:spacing w:before="60"/>
        <w:ind w:left="379" w:right="0" w:firstLine="0"/>
        <w:jc w:val="left"/>
        <w:rPr>
          <w:rFonts w:ascii="Times New Roman"/>
          <w:sz w:val="18"/>
        </w:rPr>
      </w:pPr>
      <w:r>
        <w:rPr>
          <w:rFonts w:ascii="Times New Roman"/>
          <w:spacing w:val="-1"/>
          <w:sz w:val="18"/>
        </w:rPr>
        <w:t>20212400117</w:t>
      </w:r>
    </w:p>
    <w:p>
      <w:pPr>
        <w:spacing w:before="96"/>
        <w:ind w:left="511" w:right="0" w:firstLine="0"/>
        <w:jc w:val="left"/>
        <w:rPr>
          <w:sz w:val="18"/>
        </w:rPr>
      </w:pPr>
      <w:r>
        <w:rPr/>
        <w:pict>
          <v:shape style="position:absolute;margin-left:109.220009pt;margin-top:3.35997pt;width:439.8pt;height:.5pt;mso-position-horizontal-relative:page;mso-position-vertical-relative:paragraph;z-index:15752192" coordorigin="2184,67" coordsize="8796,10" path="m8287,67l6877,67,6868,67,2184,67,2184,77,6868,77,6877,77,8287,77,8287,67xm10980,67l9525,67,9516,67,8296,67,8287,67,8287,77,8296,77,9516,77,9525,77,10980,77,10980,67xe" filled="true" fillcolor="#000000" stroked="false">
            <v:path arrowok="t"/>
            <v:fill type="solid"/>
            <w10:wrap type="none"/>
          </v:shape>
        </w:pict>
      </w:r>
      <w:r>
        <w:rPr>
          <w:sz w:val="18"/>
        </w:rPr>
        <w:t>闽械注准</w:t>
      </w:r>
    </w:p>
    <w:p>
      <w:pPr>
        <w:spacing w:before="59"/>
        <w:ind w:left="374" w:right="0" w:firstLine="0"/>
        <w:jc w:val="left"/>
        <w:rPr>
          <w:rFonts w:ascii="Times New Roman"/>
          <w:sz w:val="18"/>
        </w:rPr>
      </w:pPr>
      <w:r>
        <w:rPr>
          <w:rFonts w:ascii="Times New Roman"/>
          <w:sz w:val="18"/>
        </w:rPr>
        <w:t>20212400264</w:t>
      </w:r>
    </w:p>
    <w:p>
      <w:pPr>
        <w:spacing w:before="98"/>
        <w:ind w:left="511" w:right="0" w:firstLine="0"/>
        <w:jc w:val="left"/>
        <w:rPr>
          <w:sz w:val="18"/>
        </w:rPr>
      </w:pPr>
      <w:r>
        <w:rPr/>
        <w:pict>
          <v:shape style="position:absolute;margin-left:109.220009pt;margin-top:3.460992pt;width:439.8pt;height:.5pt;mso-position-horizontal-relative:page;mso-position-vertical-relative:paragraph;z-index:15752704" coordorigin="2184,69" coordsize="8796,10" path="m8287,69l6877,69,6868,69,2184,69,2184,79,6868,79,6877,79,8287,79,8287,69xm10980,69l9525,69,9516,69,8296,69,8287,69,8287,79,8296,79,9516,79,9525,79,10980,79,10980,69xe" filled="true" fillcolor="#000000" stroked="false">
            <v:path arrowok="t"/>
            <v:fill type="solid"/>
            <w10:wrap type="none"/>
          </v:shape>
        </w:pict>
      </w:r>
      <w:r>
        <w:rPr>
          <w:sz w:val="18"/>
        </w:rPr>
        <w:t>闽械注准</w:t>
      </w:r>
    </w:p>
    <w:p>
      <w:pPr>
        <w:spacing w:before="58"/>
        <w:ind w:left="374" w:right="0" w:firstLine="0"/>
        <w:jc w:val="left"/>
        <w:rPr>
          <w:rFonts w:ascii="Times New Roman"/>
          <w:sz w:val="18"/>
        </w:rPr>
      </w:pPr>
      <w:r>
        <w:rPr>
          <w:rFonts w:ascii="Times New Roman"/>
          <w:sz w:val="18"/>
        </w:rPr>
        <w:t>20212400265</w:t>
      </w:r>
    </w:p>
    <w:p>
      <w:pPr>
        <w:spacing w:before="97"/>
        <w:ind w:left="511" w:right="0" w:firstLine="0"/>
        <w:jc w:val="left"/>
        <w:rPr>
          <w:sz w:val="18"/>
        </w:rPr>
      </w:pPr>
      <w:r>
        <w:rPr/>
        <w:pict>
          <v:shape style="position:absolute;margin-left:24.360001pt;margin-top:3.409979pt;width:524.65pt;height:.5pt;mso-position-horizontal-relative:page;mso-position-vertical-relative:paragraph;z-index:15753216" coordorigin="487,68" coordsize="10493,10" path="m8287,68l6877,68,6868,68,2194,68,2184,68,2184,68,487,68,487,78,2184,78,2184,78,2194,78,6868,78,6877,78,8287,78,8287,68xm10980,68l9525,68,9516,68,8296,68,8287,68,8287,78,8296,78,9516,78,9525,78,10980,78,10980,68xe" filled="true" fillcolor="#000000" stroked="false">
            <v:path arrowok="t"/>
            <v:fill type="solid"/>
            <w10:wrap type="none"/>
          </v:shape>
        </w:pict>
      </w:r>
      <w:r>
        <w:rPr>
          <w:sz w:val="18"/>
        </w:rPr>
        <w:t>湘械注准</w:t>
      </w:r>
    </w:p>
    <w:p>
      <w:pPr>
        <w:spacing w:before="60"/>
        <w:ind w:left="374" w:right="0" w:firstLine="0"/>
        <w:jc w:val="left"/>
        <w:rPr>
          <w:rFonts w:ascii="Times New Roman"/>
          <w:sz w:val="18"/>
        </w:rPr>
      </w:pPr>
      <w:r>
        <w:rPr>
          <w:rFonts w:ascii="Times New Roman"/>
          <w:sz w:val="18"/>
        </w:rPr>
        <w:t>20212400825</w:t>
      </w:r>
    </w:p>
    <w:p>
      <w:pPr>
        <w:spacing w:before="96"/>
        <w:ind w:left="511" w:right="0" w:firstLine="0"/>
        <w:jc w:val="left"/>
        <w:rPr>
          <w:sz w:val="18"/>
        </w:rPr>
      </w:pPr>
      <w:r>
        <w:rPr/>
        <w:pict>
          <v:shape style="position:absolute;margin-left:24.360001pt;margin-top:3.360996pt;width:524.65pt;height:.5pt;mso-position-horizontal-relative:page;mso-position-vertical-relative:paragraph;z-index:15753728" coordorigin="487,67" coordsize="10493,10" path="m8287,67l6877,67,6868,67,2194,67,2184,67,2184,67,487,67,487,77,2184,77,2184,77,2194,77,6868,77,6877,77,8287,77,8287,67xm10980,67l9525,67,9516,67,8296,67,8287,67,8287,77,8296,77,9516,77,9525,77,10980,77,10980,67xe" filled="true" fillcolor="#000000" stroked="false">
            <v:path arrowok="t"/>
            <v:fill type="solid"/>
            <w10:wrap type="none"/>
          </v:shape>
        </w:pict>
      </w:r>
      <w:r>
        <w:rPr>
          <w:sz w:val="18"/>
        </w:rPr>
        <w:t>皖械注准</w:t>
      </w:r>
    </w:p>
    <w:p>
      <w:pPr>
        <w:spacing w:before="59"/>
        <w:ind w:left="374" w:right="0" w:firstLine="0"/>
        <w:jc w:val="left"/>
        <w:rPr>
          <w:rFonts w:ascii="Times New Roman"/>
          <w:sz w:val="18"/>
        </w:rPr>
      </w:pPr>
      <w:r>
        <w:rPr>
          <w:rFonts w:ascii="Times New Roman"/>
          <w:sz w:val="18"/>
        </w:rPr>
        <w:t>20212400388</w:t>
      </w:r>
    </w:p>
    <w:p>
      <w:pPr>
        <w:spacing w:before="98"/>
        <w:ind w:left="511" w:right="0" w:firstLine="0"/>
        <w:jc w:val="left"/>
        <w:rPr>
          <w:sz w:val="18"/>
        </w:rPr>
      </w:pPr>
      <w:r>
        <w:rPr/>
        <w:pict>
          <v:shape style="position:absolute;margin-left:24.360001pt;margin-top:3.460988pt;width:524.65pt;height:.5pt;mso-position-horizontal-relative:page;mso-position-vertical-relative:paragraph;z-index:-17869312" coordorigin="487,69" coordsize="10493,10" path="m8287,69l6877,69,6868,69,2194,69,2184,69,2184,69,487,69,487,79,2184,79,2184,79,2194,79,6868,79,6877,79,8287,79,8287,69xm10980,69l9525,69,9516,69,8296,69,8287,69,8287,79,8296,79,9516,79,9525,79,10980,79,10980,69xe" filled="true" fillcolor="#000000" stroked="false">
            <v:path arrowok="t"/>
            <v:fill type="solid"/>
            <w10:wrap type="none"/>
          </v:shape>
        </w:pict>
      </w:r>
      <w:r>
        <w:rPr>
          <w:sz w:val="18"/>
        </w:rPr>
        <w:t>赣械注准</w:t>
      </w:r>
    </w:p>
    <w:p>
      <w:pPr>
        <w:spacing w:before="58"/>
        <w:ind w:left="374" w:right="0" w:firstLine="0"/>
        <w:jc w:val="left"/>
        <w:rPr>
          <w:rFonts w:ascii="Times New Roman"/>
          <w:sz w:val="18"/>
        </w:rPr>
      </w:pPr>
      <w:r>
        <w:rPr>
          <w:rFonts w:ascii="Times New Roman"/>
          <w:sz w:val="18"/>
        </w:rPr>
        <w:t>20232400002</w:t>
      </w:r>
    </w:p>
    <w:p>
      <w:pPr>
        <w:spacing w:before="98"/>
        <w:ind w:left="511" w:right="0" w:firstLine="0"/>
        <w:jc w:val="left"/>
        <w:rPr>
          <w:sz w:val="18"/>
        </w:rPr>
      </w:pPr>
      <w:r>
        <w:rPr/>
        <w:pict>
          <v:shape style="position:absolute;margin-left:24.360001pt;margin-top:3.429991pt;width:524.65pt;height:.5pt;mso-position-horizontal-relative:page;mso-position-vertical-relative:paragraph;z-index:15754752" coordorigin="487,69" coordsize="10493,10" path="m8287,69l6877,69,6868,69,2194,69,2184,69,2184,69,487,69,487,78,2184,78,2184,78,2194,78,6868,78,6877,78,8287,78,8287,69xm10980,69l9525,69,9516,69,8296,69,8287,69,8287,78,8296,78,9516,78,9525,78,10980,78,10980,69xe" filled="true" fillcolor="#000000" stroked="false">
            <v:path arrowok="t"/>
            <v:fill type="solid"/>
            <w10:wrap type="none"/>
          </v:shape>
        </w:pict>
      </w:r>
      <w:r>
        <w:rPr>
          <w:sz w:val="18"/>
        </w:rPr>
        <w:t>苏械注准</w:t>
      </w:r>
    </w:p>
    <w:p>
      <w:pPr>
        <w:spacing w:before="60"/>
        <w:ind w:left="374" w:right="0" w:firstLine="0"/>
        <w:jc w:val="left"/>
        <w:rPr>
          <w:rFonts w:ascii="Times New Roman"/>
          <w:sz w:val="18"/>
        </w:rPr>
      </w:pPr>
      <w:r>
        <w:rPr/>
        <w:pict>
          <v:shape style="position:absolute;margin-left:24.360001pt;margin-top:16.682337pt;width:524.65pt;height:.5pt;mso-position-horizontal-relative:page;mso-position-vertical-relative:paragraph;z-index:15755264" coordorigin="487,334" coordsize="10493,10" path="m8287,334l6877,334,6868,334,2194,334,2184,334,2184,334,487,334,487,343,2184,343,2184,343,2194,343,6868,343,6877,343,8287,343,8287,334xm10980,334l9525,334,9516,334,8296,334,8287,334,8287,343,8296,343,9516,343,9525,343,10980,343,10980,334xe" filled="true" fillcolor="#000000" stroked="false">
            <v:path arrowok="t"/>
            <v:fill type="solid"/>
            <w10:wrap type="none"/>
          </v:shape>
        </w:pict>
      </w:r>
      <w:r>
        <w:rPr>
          <w:rFonts w:ascii="Times New Roman"/>
          <w:sz w:val="18"/>
        </w:rPr>
        <w:t>20232400086</w:t>
      </w:r>
    </w:p>
    <w:p>
      <w:pPr>
        <w:pStyle w:val="BodyText"/>
        <w:rPr>
          <w:rFonts w:ascii="Times New Roman"/>
          <w:sz w:val="20"/>
        </w:rPr>
      </w:pPr>
    </w:p>
    <w:p>
      <w:pPr>
        <w:spacing w:before="158"/>
        <w:ind w:left="511" w:right="0" w:firstLine="0"/>
        <w:jc w:val="left"/>
        <w:rPr>
          <w:sz w:val="18"/>
        </w:rPr>
      </w:pPr>
      <w:r>
        <w:rPr>
          <w:sz w:val="18"/>
        </w:rPr>
        <w:t>湘械注准</w:t>
      </w:r>
    </w:p>
    <w:p>
      <w:pPr>
        <w:spacing w:before="60"/>
        <w:ind w:left="374" w:right="0" w:firstLine="0"/>
        <w:jc w:val="left"/>
        <w:rPr>
          <w:rFonts w:ascii="Times New Roman"/>
          <w:sz w:val="18"/>
        </w:rPr>
      </w:pPr>
      <w:r>
        <w:rPr>
          <w:rFonts w:ascii="Times New Roman"/>
          <w:sz w:val="18"/>
        </w:rPr>
        <w:t>20232400284</w:t>
      </w:r>
    </w:p>
    <w:p>
      <w:pPr>
        <w:pStyle w:val="BodyText"/>
        <w:rPr>
          <w:rFonts w:ascii="Times New Roman"/>
          <w:sz w:val="20"/>
        </w:rPr>
      </w:pPr>
    </w:p>
    <w:p>
      <w:pPr>
        <w:pStyle w:val="BodyText"/>
        <w:spacing w:before="10"/>
        <w:rPr>
          <w:rFonts w:ascii="Times New Roman"/>
          <w:sz w:val="17"/>
        </w:rPr>
      </w:pPr>
    </w:p>
    <w:p>
      <w:pPr>
        <w:spacing w:before="1"/>
        <w:ind w:left="511" w:right="0" w:firstLine="0"/>
        <w:jc w:val="left"/>
        <w:rPr>
          <w:sz w:val="18"/>
        </w:rPr>
      </w:pPr>
      <w:r>
        <w:rPr/>
        <w:pict>
          <v:shape style="position:absolute;margin-left:24.360001pt;margin-top:-3.789012pt;width:524.65pt;height:.5pt;mso-position-horizontal-relative:page;mso-position-vertical-relative:paragraph;z-index:15755776" coordorigin="487,-76" coordsize="10493,10" path="m8287,-76l6877,-76,6868,-76,2194,-76,2184,-76,2184,-76,487,-76,487,-66,2184,-66,2184,-66,2194,-66,6868,-66,6877,-66,8287,-66,8287,-76xm10980,-76l9525,-76,9516,-76,8296,-76,8287,-76,8287,-66,8296,-66,9516,-66,9525,-66,10980,-66,10980,-76xe" filled="true" fillcolor="#000000" stroked="false">
            <v:path arrowok="t"/>
            <v:fill type="solid"/>
            <w10:wrap type="none"/>
          </v:shape>
        </w:pict>
      </w:r>
      <w:r>
        <w:rPr>
          <w:sz w:val="18"/>
        </w:rPr>
        <w:t>湘械注准</w:t>
      </w:r>
    </w:p>
    <w:p>
      <w:pPr>
        <w:spacing w:before="59"/>
        <w:ind w:left="374" w:right="0" w:firstLine="0"/>
        <w:jc w:val="left"/>
        <w:rPr>
          <w:rFonts w:ascii="Times New Roman"/>
          <w:sz w:val="18"/>
        </w:rPr>
      </w:pPr>
      <w:r>
        <w:rPr>
          <w:rFonts w:ascii="Times New Roman"/>
          <w:sz w:val="18"/>
        </w:rPr>
        <w:t>20232400417</w:t>
      </w:r>
    </w:p>
    <w:p>
      <w:pPr>
        <w:spacing w:before="136"/>
        <w:ind w:left="420" w:right="0" w:firstLine="0"/>
        <w:jc w:val="left"/>
        <w:rPr>
          <w:rFonts w:ascii="Times New Roman"/>
          <w:sz w:val="18"/>
        </w:rPr>
      </w:pPr>
      <w:r>
        <w:rPr/>
        <w:br w:type="column"/>
      </w:r>
      <w:r>
        <w:rPr>
          <w:rFonts w:ascii="Times New Roman"/>
          <w:sz w:val="18"/>
        </w:rPr>
        <w:t>2021/4/20</w:t>
      </w:r>
    </w:p>
    <w:p>
      <w:pPr>
        <w:pStyle w:val="BodyText"/>
        <w:rPr>
          <w:rFonts w:ascii="Times New Roman"/>
          <w:sz w:val="20"/>
        </w:rPr>
      </w:pPr>
    </w:p>
    <w:p>
      <w:pPr>
        <w:spacing w:before="141"/>
        <w:ind w:left="420" w:right="0" w:firstLine="0"/>
        <w:jc w:val="left"/>
        <w:rPr>
          <w:rFonts w:ascii="Times New Roman"/>
          <w:sz w:val="18"/>
        </w:rPr>
      </w:pPr>
      <w:r>
        <w:rPr>
          <w:rFonts w:ascii="Times New Roman"/>
          <w:sz w:val="18"/>
        </w:rPr>
        <w:t>2021/4/20</w:t>
      </w:r>
    </w:p>
    <w:p>
      <w:pPr>
        <w:pStyle w:val="BodyText"/>
        <w:rPr>
          <w:rFonts w:ascii="Times New Roman"/>
          <w:sz w:val="20"/>
        </w:rPr>
      </w:pPr>
    </w:p>
    <w:p>
      <w:pPr>
        <w:spacing w:before="156"/>
        <w:ind w:left="374" w:right="0" w:firstLine="0"/>
        <w:jc w:val="left"/>
        <w:rPr>
          <w:rFonts w:ascii="Times New Roman"/>
          <w:sz w:val="18"/>
        </w:rPr>
      </w:pPr>
      <w:r>
        <w:rPr>
          <w:rFonts w:ascii="Times New Roman"/>
          <w:sz w:val="18"/>
        </w:rPr>
        <w:t>2021/12/29</w:t>
      </w:r>
    </w:p>
    <w:p>
      <w:pPr>
        <w:pStyle w:val="BodyText"/>
        <w:rPr>
          <w:rFonts w:ascii="Times New Roman"/>
          <w:sz w:val="20"/>
        </w:rPr>
      </w:pPr>
    </w:p>
    <w:p>
      <w:pPr>
        <w:spacing w:before="159"/>
        <w:ind w:left="374" w:right="0" w:firstLine="0"/>
        <w:jc w:val="left"/>
        <w:rPr>
          <w:rFonts w:ascii="Times New Roman"/>
          <w:sz w:val="18"/>
        </w:rPr>
      </w:pPr>
      <w:r>
        <w:rPr>
          <w:rFonts w:ascii="Times New Roman"/>
          <w:sz w:val="18"/>
        </w:rPr>
        <w:t>2021/12/29</w:t>
      </w:r>
    </w:p>
    <w:p>
      <w:pPr>
        <w:pStyle w:val="BodyText"/>
        <w:rPr>
          <w:rFonts w:ascii="Times New Roman"/>
          <w:sz w:val="20"/>
        </w:rPr>
      </w:pPr>
    </w:p>
    <w:p>
      <w:pPr>
        <w:spacing w:before="155"/>
        <w:ind w:left="420" w:right="0" w:firstLine="0"/>
        <w:jc w:val="left"/>
        <w:rPr>
          <w:rFonts w:ascii="Times New Roman"/>
          <w:sz w:val="18"/>
        </w:rPr>
      </w:pPr>
      <w:r>
        <w:rPr>
          <w:rFonts w:ascii="Times New Roman"/>
          <w:sz w:val="18"/>
        </w:rPr>
        <w:t>2021/5/26</w:t>
      </w:r>
    </w:p>
    <w:p>
      <w:pPr>
        <w:pStyle w:val="BodyText"/>
        <w:rPr>
          <w:rFonts w:ascii="Times New Roman"/>
          <w:sz w:val="20"/>
        </w:rPr>
      </w:pPr>
    </w:p>
    <w:p>
      <w:pPr>
        <w:spacing w:before="156"/>
        <w:ind w:left="420" w:right="0" w:firstLine="0"/>
        <w:jc w:val="left"/>
        <w:rPr>
          <w:rFonts w:ascii="Times New Roman"/>
          <w:sz w:val="18"/>
        </w:rPr>
      </w:pPr>
      <w:r>
        <w:rPr>
          <w:rFonts w:ascii="Times New Roman"/>
          <w:sz w:val="18"/>
        </w:rPr>
        <w:t>2021/12/2</w:t>
      </w:r>
    </w:p>
    <w:p>
      <w:pPr>
        <w:pStyle w:val="BodyText"/>
        <w:rPr>
          <w:rFonts w:ascii="Times New Roman"/>
          <w:sz w:val="20"/>
        </w:rPr>
      </w:pPr>
    </w:p>
    <w:p>
      <w:pPr>
        <w:spacing w:before="158"/>
        <w:ind w:left="420" w:right="0" w:firstLine="0"/>
        <w:jc w:val="left"/>
        <w:rPr>
          <w:rFonts w:ascii="Times New Roman"/>
          <w:sz w:val="18"/>
        </w:rPr>
      </w:pPr>
      <w:r>
        <w:rPr>
          <w:rFonts w:ascii="Times New Roman"/>
          <w:sz w:val="18"/>
        </w:rPr>
        <w:t>2023/1/10</w:t>
      </w:r>
    </w:p>
    <w:p>
      <w:pPr>
        <w:pStyle w:val="BodyText"/>
        <w:rPr>
          <w:rFonts w:ascii="Times New Roman"/>
          <w:sz w:val="20"/>
        </w:rPr>
      </w:pPr>
    </w:p>
    <w:p>
      <w:pPr>
        <w:spacing w:before="157"/>
        <w:ind w:left="420" w:right="0" w:firstLine="0"/>
        <w:jc w:val="left"/>
        <w:rPr>
          <w:rFonts w:ascii="Times New Roman"/>
          <w:sz w:val="18"/>
        </w:rPr>
      </w:pPr>
      <w:r>
        <w:rPr>
          <w:rFonts w:ascii="Times New Roman"/>
          <w:sz w:val="18"/>
        </w:rPr>
        <w:t>2023/1/13</w:t>
      </w:r>
    </w:p>
    <w:p>
      <w:pPr>
        <w:pStyle w:val="BodyText"/>
        <w:rPr>
          <w:rFonts w:ascii="Times New Roman"/>
          <w:sz w:val="20"/>
        </w:rPr>
      </w:pPr>
    </w:p>
    <w:p>
      <w:pPr>
        <w:pStyle w:val="BodyText"/>
        <w:rPr>
          <w:rFonts w:ascii="Times New Roman"/>
          <w:sz w:val="20"/>
        </w:rPr>
      </w:pPr>
    </w:p>
    <w:p>
      <w:pPr>
        <w:pStyle w:val="BodyText"/>
        <w:rPr>
          <w:rFonts w:ascii="Times New Roman"/>
          <w:sz w:val="19"/>
        </w:rPr>
      </w:pPr>
    </w:p>
    <w:p>
      <w:pPr>
        <w:spacing w:before="0"/>
        <w:ind w:left="420" w:right="0" w:firstLine="0"/>
        <w:jc w:val="left"/>
        <w:rPr>
          <w:rFonts w:ascii="Times New Roman"/>
          <w:sz w:val="18"/>
        </w:rPr>
      </w:pPr>
      <w:r>
        <w:rPr>
          <w:rFonts w:ascii="Times New Roman"/>
          <w:sz w:val="18"/>
        </w:rPr>
        <w:t>2023/3/27</w:t>
      </w:r>
    </w:p>
    <w:p>
      <w:pPr>
        <w:pStyle w:val="BodyText"/>
        <w:rPr>
          <w:rFonts w:ascii="Times New Roman"/>
          <w:sz w:val="20"/>
        </w:rPr>
      </w:pPr>
    </w:p>
    <w:p>
      <w:pPr>
        <w:pStyle w:val="BodyText"/>
        <w:rPr>
          <w:rFonts w:ascii="Times New Roman"/>
          <w:sz w:val="20"/>
        </w:rPr>
      </w:pPr>
    </w:p>
    <w:p>
      <w:pPr>
        <w:pStyle w:val="BodyText"/>
        <w:spacing w:before="2"/>
        <w:rPr>
          <w:rFonts w:ascii="Times New Roman"/>
          <w:sz w:val="23"/>
        </w:rPr>
      </w:pPr>
    </w:p>
    <w:p>
      <w:pPr>
        <w:spacing w:before="0"/>
        <w:ind w:left="420" w:right="0" w:firstLine="0"/>
        <w:jc w:val="left"/>
        <w:rPr>
          <w:rFonts w:ascii="Times New Roman"/>
          <w:sz w:val="18"/>
        </w:rPr>
      </w:pPr>
      <w:r>
        <w:rPr>
          <w:rFonts w:ascii="Times New Roman"/>
          <w:sz w:val="18"/>
        </w:rPr>
        <w:t>2023/5/15</w:t>
      </w:r>
    </w:p>
    <w:p>
      <w:pPr>
        <w:spacing w:after="0"/>
        <w:jc w:val="left"/>
        <w:rPr>
          <w:rFonts w:ascii="Times New Roman"/>
          <w:sz w:val="18"/>
        </w:rPr>
        <w:sectPr>
          <w:type w:val="continuous"/>
          <w:pgSz w:w="11910" w:h="16840"/>
          <w:pgMar w:top="220" w:bottom="1400" w:left="240" w:right="400"/>
          <w:cols w:num="4" w:equalWidth="0">
            <w:col w:w="1815" w:space="40"/>
            <w:col w:w="5702" w:space="233"/>
            <w:col w:w="1366" w:space="66"/>
            <w:col w:w="2048"/>
          </w:cols>
        </w:sectPr>
      </w:pPr>
    </w:p>
    <w:p>
      <w:pPr>
        <w:spacing w:line="304" w:lineRule="auto" w:before="132"/>
        <w:ind w:left="734" w:right="0" w:hanging="360"/>
        <w:jc w:val="left"/>
        <w:rPr>
          <w:sz w:val="18"/>
        </w:rPr>
      </w:pPr>
      <w:r>
        <w:rPr>
          <w:sz w:val="18"/>
        </w:rPr>
        <w:t>广西艾珉生物科技有限公司</w:t>
      </w:r>
    </w:p>
    <w:p>
      <w:pPr>
        <w:pStyle w:val="BodyText"/>
        <w:spacing w:before="9"/>
      </w:pPr>
      <w:r>
        <w:rPr/>
        <w:br w:type="column"/>
      </w:r>
      <w:r>
        <w:rPr/>
      </w:r>
    </w:p>
    <w:p>
      <w:pPr>
        <w:tabs>
          <w:tab w:pos="5301" w:val="left" w:leader="none"/>
        </w:tabs>
        <w:spacing w:before="0"/>
        <w:ind w:left="310" w:right="0" w:firstLine="0"/>
        <w:jc w:val="left"/>
        <w:rPr>
          <w:sz w:val="18"/>
        </w:rPr>
      </w:pPr>
      <w:r>
        <w:rPr>
          <w:sz w:val="18"/>
        </w:rPr>
        <w:t>人磷酸化</w:t>
      </w:r>
      <w:r>
        <w:rPr>
          <w:spacing w:val="-46"/>
          <w:sz w:val="18"/>
        </w:rPr>
        <w:t> </w:t>
      </w:r>
      <w:r>
        <w:rPr>
          <w:rFonts w:ascii="Times New Roman" w:eastAsia="Times New Roman"/>
          <w:sz w:val="18"/>
        </w:rPr>
        <w:t>tau-181</w:t>
      </w:r>
      <w:r>
        <w:rPr>
          <w:rFonts w:ascii="Times New Roman" w:eastAsia="Times New Roman"/>
          <w:spacing w:val="2"/>
          <w:sz w:val="18"/>
        </w:rPr>
        <w:t> </w:t>
      </w:r>
      <w:r>
        <w:rPr>
          <w:sz w:val="18"/>
        </w:rPr>
        <w:t>检测试剂盒</w:t>
      </w:r>
      <w:r>
        <w:rPr>
          <w:spacing w:val="-3"/>
          <w:sz w:val="18"/>
        </w:rPr>
        <w:t>（</w:t>
      </w:r>
      <w:r>
        <w:rPr>
          <w:sz w:val="18"/>
        </w:rPr>
        <w:t>化学发光免疫分析法）</w:t>
        <w:tab/>
        <w:t>血液</w:t>
      </w:r>
    </w:p>
    <w:p>
      <w:pPr>
        <w:spacing w:before="149"/>
        <w:ind w:left="355" w:right="19" w:firstLine="0"/>
        <w:jc w:val="center"/>
        <w:rPr>
          <w:sz w:val="18"/>
        </w:rPr>
      </w:pPr>
      <w:r>
        <w:rPr/>
        <w:br w:type="column"/>
      </w:r>
      <w:r>
        <w:rPr>
          <w:sz w:val="18"/>
        </w:rPr>
        <w:t>桂械注准</w:t>
      </w:r>
    </w:p>
    <w:p>
      <w:pPr>
        <w:spacing w:before="59"/>
        <w:ind w:left="355" w:right="21" w:firstLine="0"/>
        <w:jc w:val="center"/>
        <w:rPr>
          <w:rFonts w:ascii="Times New Roman"/>
          <w:sz w:val="18"/>
        </w:rPr>
      </w:pPr>
      <w:r>
        <w:rPr>
          <w:rFonts w:ascii="Times New Roman"/>
          <w:sz w:val="18"/>
        </w:rPr>
        <w:t>20232400139</w:t>
      </w:r>
    </w:p>
    <w:p>
      <w:pPr>
        <w:pStyle w:val="BodyText"/>
        <w:spacing w:before="5"/>
        <w:rPr>
          <w:rFonts w:ascii="Times New Roman"/>
          <w:sz w:val="25"/>
        </w:rPr>
      </w:pPr>
      <w:r>
        <w:rPr/>
        <w:br w:type="column"/>
      </w:r>
      <w:r>
        <w:rPr>
          <w:rFonts w:ascii="Times New Roman"/>
          <w:sz w:val="25"/>
        </w:rPr>
      </w:r>
    </w:p>
    <w:p>
      <w:pPr>
        <w:spacing w:before="0"/>
        <w:ind w:left="374" w:right="0" w:firstLine="0"/>
        <w:jc w:val="left"/>
        <w:rPr>
          <w:rFonts w:ascii="Times New Roman"/>
          <w:sz w:val="18"/>
        </w:rPr>
      </w:pPr>
      <w:r>
        <w:rPr>
          <w:rFonts w:ascii="Times New Roman"/>
          <w:sz w:val="18"/>
        </w:rPr>
        <w:t>2023/7/5</w:t>
      </w:r>
    </w:p>
    <w:p>
      <w:pPr>
        <w:spacing w:after="0"/>
        <w:jc w:val="left"/>
        <w:rPr>
          <w:rFonts w:ascii="Times New Roman"/>
          <w:sz w:val="18"/>
        </w:rPr>
        <w:sectPr>
          <w:type w:val="continuous"/>
          <w:pgSz w:w="11910" w:h="16840"/>
          <w:pgMar w:top="220" w:bottom="1400" w:left="240" w:right="400"/>
          <w:cols w:num="4" w:equalWidth="0">
            <w:col w:w="1815" w:space="40"/>
            <w:col w:w="5702" w:space="233"/>
            <w:col w:w="1406" w:space="115"/>
            <w:col w:w="1959"/>
          </w:cols>
        </w:sectPr>
      </w:pPr>
    </w:p>
    <w:p>
      <w:pPr>
        <w:pStyle w:val="BodyText"/>
        <w:spacing w:before="5"/>
        <w:rPr>
          <w:rFonts w:ascii="Times New Roman"/>
          <w:sz w:val="6"/>
        </w:rPr>
      </w:pPr>
    </w:p>
    <w:p>
      <w:pPr>
        <w:pStyle w:val="BodyText"/>
        <w:spacing w:line="20" w:lineRule="exact"/>
        <w:ind w:left="247"/>
        <w:rPr>
          <w:rFonts w:ascii="Times New Roman"/>
          <w:sz w:val="2"/>
        </w:rPr>
      </w:pPr>
      <w:r>
        <w:rPr>
          <w:rFonts w:ascii="Times New Roman"/>
          <w:sz w:val="2"/>
        </w:rPr>
        <w:pict>
          <v:group style="width:546pt;height:.5pt;mso-position-horizontal-relative:char;mso-position-vertical-relative:line" coordorigin="0,0" coordsize="10920,10">
            <v:shape style="position:absolute;left:0;top:0;width:10920;height:10" coordorigin="0,0" coordsize="10920,10" path="m7799,0l6390,0,6381,0,1707,0,1697,0,1697,0,0,0,0,10,1697,10,1697,10,1707,10,6381,10,6390,10,7799,10,7799,0xm10502,0l10493,0,10493,0,9038,0,9028,0,7809,0,7800,0,7800,10,7809,10,9028,10,9038,10,10493,10,10493,10,10502,10,10502,0xm10517,0l10507,0,10502,0,10502,10,10507,10,10517,10,10517,0xm10920,0l10517,0,10517,10,10920,10,10920,0xe" filled="true" fillcolor="#000000" stroked="false">
              <v:path arrowok="t"/>
              <v:fill type="solid"/>
            </v:shape>
          </v:group>
        </w:pict>
      </w:r>
      <w:r>
        <w:rPr>
          <w:rFonts w:ascii="Times New Roman"/>
          <w:sz w:val="2"/>
        </w:rPr>
      </w:r>
    </w:p>
    <w:p>
      <w:pPr>
        <w:spacing w:before="0"/>
        <w:ind w:left="355" w:right="0" w:firstLine="0"/>
        <w:jc w:val="left"/>
        <w:rPr>
          <w:sz w:val="18"/>
        </w:rPr>
      </w:pPr>
      <w:r>
        <w:rPr>
          <w:sz w:val="18"/>
        </w:rPr>
        <w:t>资料来源：早筛网，国家药品监督管理局，兴业证券经济与金融研究院整理</w:t>
      </w:r>
    </w:p>
    <w:p>
      <w:pPr>
        <w:spacing w:after="0"/>
        <w:jc w:val="left"/>
        <w:rPr>
          <w:sz w:val="18"/>
        </w:rPr>
        <w:sectPr>
          <w:type w:val="continuous"/>
          <w:pgSz w:w="11910" w:h="16840"/>
          <w:pgMar w:top="220" w:bottom="1400" w:left="240" w:right="400"/>
        </w:sectPr>
      </w:pPr>
    </w:p>
    <w:p>
      <w:pPr>
        <w:pStyle w:val="BodyText"/>
        <w:spacing w:before="4"/>
        <w:rPr>
          <w:sz w:val="13"/>
        </w:rPr>
      </w:pPr>
    </w:p>
    <w:p>
      <w:pPr>
        <w:pStyle w:val="BodyText"/>
        <w:spacing w:line="20" w:lineRule="exact"/>
        <w:ind w:left="614"/>
        <w:rPr>
          <w:sz w:val="2"/>
        </w:rPr>
      </w:pPr>
      <w:r>
        <w:rPr>
          <w:sz w:val="2"/>
        </w:rPr>
        <w:pict>
          <v:group style="width:508.1pt;height:.75pt;mso-position-horizontal-relative:char;mso-position-vertical-relative:line" coordorigin="0,0" coordsize="10162,15">
            <v:rect style="position:absolute;left:0;top:0;width:10162;height:15" filled="true" fillcolor="#333366" stroked="false">
              <v:fill type="solid"/>
            </v:rect>
          </v:group>
        </w:pict>
      </w:r>
      <w:r>
        <w:rPr>
          <w:sz w:val="2"/>
        </w:rPr>
      </w:r>
    </w:p>
    <w:p>
      <w:pPr>
        <w:pStyle w:val="Heading3"/>
        <w:numPr>
          <w:ilvl w:val="2"/>
          <w:numId w:val="3"/>
        </w:numPr>
        <w:tabs>
          <w:tab w:pos="3858" w:val="left" w:leader="none"/>
        </w:tabs>
        <w:spacing w:line="315" w:lineRule="exact" w:before="0" w:after="0"/>
        <w:ind w:left="3857" w:right="0" w:hanging="695"/>
        <w:jc w:val="left"/>
        <w:rPr>
          <w:color w:val="333366"/>
        </w:rPr>
      </w:pPr>
      <w:bookmarkStart w:name="_bookmark30" w:id="45"/>
      <w:bookmarkEnd w:id="45"/>
      <w:r>
        <w:rPr>
          <w:b w:val="0"/>
        </w:rPr>
      </w:r>
      <w:bookmarkStart w:name="_bookmark30" w:id="46"/>
      <w:bookmarkEnd w:id="46"/>
      <w:r>
        <w:rPr>
          <w:color w:val="333366"/>
        </w:rPr>
        <w:t>PET</w:t>
      </w:r>
      <w:r>
        <w:rPr>
          <w:color w:val="333366"/>
          <w:spacing w:val="-1"/>
        </w:rPr>
        <w:t> 成像</w:t>
      </w:r>
    </w:p>
    <w:p>
      <w:pPr>
        <w:pStyle w:val="BodyText"/>
        <w:spacing w:before="13"/>
        <w:rPr>
          <w:rFonts w:ascii="Microsoft JhengHei"/>
          <w:b/>
          <w:sz w:val="11"/>
        </w:rPr>
      </w:pPr>
    </w:p>
    <w:p>
      <w:pPr>
        <w:pStyle w:val="BodyText"/>
        <w:spacing w:line="302" w:lineRule="auto"/>
        <w:ind w:left="3163" w:right="733"/>
      </w:pPr>
      <w:r>
        <w:rPr>
          <w:spacing w:val="-8"/>
        </w:rPr>
        <w:t>当常规检查不能明确 </w:t>
      </w:r>
      <w:r>
        <w:rPr>
          <w:rFonts w:ascii="Times New Roman" w:hAnsi="Times New Roman" w:eastAsia="Times New Roman"/>
        </w:rPr>
        <w:t>AD</w:t>
      </w:r>
      <w:r>
        <w:rPr>
          <w:rFonts w:ascii="Times New Roman" w:hAnsi="Times New Roman" w:eastAsia="Times New Roman"/>
          <w:spacing w:val="2"/>
        </w:rPr>
        <w:t> </w:t>
      </w:r>
      <w:r>
        <w:rPr>
          <w:spacing w:val="-2"/>
        </w:rPr>
        <w:t>痴呆诊断时，</w:t>
      </w:r>
      <w:r>
        <w:rPr>
          <w:rFonts w:ascii="Times New Roman" w:hAnsi="Times New Roman" w:eastAsia="Times New Roman"/>
        </w:rPr>
        <w:t>PET</w:t>
      </w:r>
      <w:r>
        <w:rPr>
          <w:rFonts w:ascii="Times New Roman" w:hAnsi="Times New Roman" w:eastAsia="Times New Roman"/>
          <w:spacing w:val="5"/>
        </w:rPr>
        <w:t> </w:t>
      </w:r>
      <w:r>
        <w:rPr>
          <w:spacing w:val="-3"/>
        </w:rPr>
        <w:t>生物标志物应是最佳选择之一，但</w:t>
      </w:r>
      <w:r>
        <w:rPr>
          <w:rFonts w:ascii="Times New Roman" w:hAnsi="Times New Roman" w:eastAsia="Times New Roman"/>
          <w:spacing w:val="-3"/>
        </w:rPr>
        <w:t>PET</w:t>
      </w:r>
      <w:r>
        <w:rPr>
          <w:rFonts w:ascii="Times New Roman" w:hAnsi="Times New Roman" w:eastAsia="Times New Roman"/>
          <w:spacing w:val="10"/>
        </w:rPr>
        <w:t> </w:t>
      </w:r>
      <w:r>
        <w:rPr>
          <w:spacing w:val="-3"/>
        </w:rPr>
        <w:t>显影在视觉读取上都存在主观性</w:t>
      </w:r>
      <w:r>
        <w:rPr>
          <w:rFonts w:ascii="Times New Roman" w:hAnsi="Times New Roman" w:eastAsia="Times New Roman"/>
        </w:rPr>
        <w:t>,</w:t>
      </w:r>
      <w:r>
        <w:rPr>
          <w:spacing w:val="-3"/>
        </w:rPr>
        <w:t>各项研究使用的诊断阈值之间也有差异， </w:t>
      </w:r>
      <w:r>
        <w:rPr>
          <w:spacing w:val="-2"/>
        </w:rPr>
        <w:t>期待建立统一的本土化诊断阈值共识，以获得更好的诊断价值。其中</w:t>
      </w:r>
      <w:r>
        <w:rPr>
          <w:rFonts w:ascii="Times New Roman" w:hAnsi="Times New Roman" w:eastAsia="Times New Roman"/>
        </w:rPr>
        <w:t>A</w:t>
      </w:r>
      <w:r>
        <w:rPr/>
        <w:t>β</w:t>
      </w:r>
      <w:r>
        <w:rPr>
          <w:rFonts w:ascii="Times New Roman" w:hAnsi="Times New Roman" w:eastAsia="Times New Roman"/>
        </w:rPr>
        <w:t>-PET </w:t>
      </w:r>
      <w:r>
        <w:rPr>
          <w:spacing w:val="6"/>
        </w:rPr>
        <w:t>负荷增加定义</w:t>
      </w:r>
      <w:r>
        <w:rPr>
          <w:rFonts w:ascii="Times New Roman" w:hAnsi="Times New Roman" w:eastAsia="Times New Roman"/>
        </w:rPr>
        <w:t>AD</w:t>
      </w:r>
      <w:r>
        <w:rPr>
          <w:rFonts w:ascii="Times New Roman" w:hAnsi="Times New Roman" w:eastAsia="Times New Roman"/>
          <w:spacing w:val="5"/>
        </w:rPr>
        <w:t> </w:t>
      </w:r>
      <w:r>
        <w:rPr>
          <w:spacing w:val="-3"/>
        </w:rPr>
        <w:t>痴呆的性能较高</w:t>
      </w:r>
      <w:r>
        <w:rPr>
          <w:rFonts w:ascii="Times New Roman" w:hAnsi="Times New Roman" w:eastAsia="Times New Roman"/>
        </w:rPr>
        <w:t>, </w:t>
      </w:r>
      <w:r>
        <w:rPr>
          <w:spacing w:val="2"/>
        </w:rPr>
        <w:t>对 </w:t>
      </w:r>
      <w:r>
        <w:rPr>
          <w:rFonts w:ascii="Times New Roman" w:hAnsi="Times New Roman" w:eastAsia="Times New Roman"/>
        </w:rPr>
        <w:t>MCI</w:t>
      </w:r>
      <w:r>
        <w:rPr>
          <w:rFonts w:ascii="Times New Roman" w:hAnsi="Times New Roman" w:eastAsia="Times New Roman"/>
          <w:spacing w:val="1"/>
        </w:rPr>
        <w:t> </w:t>
      </w:r>
      <w:r>
        <w:rPr>
          <w:spacing w:val="-3"/>
        </w:rPr>
        <w:t>的特异度很低</w:t>
      </w:r>
      <w:r>
        <w:rPr>
          <w:rFonts w:ascii="Times New Roman" w:hAnsi="Times New Roman" w:eastAsia="Times New Roman"/>
        </w:rPr>
        <w:t>(2B)</w:t>
      </w:r>
      <w:r>
        <w:rPr/>
        <w:t>。</w:t>
      </w:r>
      <w:r>
        <w:rPr>
          <w:rFonts w:ascii="Times New Roman" w:hAnsi="Times New Roman" w:eastAsia="Times New Roman"/>
        </w:rPr>
        <w:t>FDG-PET</w:t>
      </w:r>
      <w:r>
        <w:rPr>
          <w:rFonts w:ascii="Times New Roman" w:hAnsi="Times New Roman" w:eastAsia="Times New Roman"/>
          <w:spacing w:val="2"/>
        </w:rPr>
        <w:t> </w:t>
      </w:r>
      <w:r>
        <w:rPr>
          <w:spacing w:val="-3"/>
        </w:rPr>
        <w:t>代谢</w:t>
      </w:r>
      <w:r>
        <w:rPr>
          <w:spacing w:val="-12"/>
        </w:rPr>
        <w:t>降低定义 </w:t>
      </w:r>
      <w:r>
        <w:rPr>
          <w:rFonts w:ascii="Times New Roman" w:hAnsi="Times New Roman" w:eastAsia="Times New Roman"/>
        </w:rPr>
        <w:t>AD</w:t>
      </w:r>
      <w:r>
        <w:rPr>
          <w:rFonts w:ascii="Times New Roman" w:hAnsi="Times New Roman" w:eastAsia="Times New Roman"/>
          <w:spacing w:val="4"/>
        </w:rPr>
        <w:t> </w:t>
      </w:r>
      <w:r>
        <w:rPr>
          <w:spacing w:val="-3"/>
        </w:rPr>
        <w:t>痴呆的性能较高</w:t>
      </w:r>
      <w:r>
        <w:rPr>
          <w:rFonts w:ascii="Times New Roman" w:hAnsi="Times New Roman" w:eastAsia="Times New Roman"/>
          <w:spacing w:val="2"/>
        </w:rPr>
        <w:t>, </w:t>
      </w:r>
      <w:r>
        <w:rPr>
          <w:spacing w:val="-17"/>
        </w:rPr>
        <w:t>分辨 </w:t>
      </w:r>
      <w:r>
        <w:rPr>
          <w:rFonts w:ascii="Times New Roman" w:hAnsi="Times New Roman" w:eastAsia="Times New Roman"/>
        </w:rPr>
        <w:t>AD</w:t>
      </w:r>
      <w:r>
        <w:rPr>
          <w:rFonts w:ascii="Times New Roman" w:hAnsi="Times New Roman" w:eastAsia="Times New Roman"/>
          <w:spacing w:val="1"/>
        </w:rPr>
        <w:t> </w:t>
      </w:r>
      <w:r>
        <w:rPr>
          <w:spacing w:val="50"/>
        </w:rPr>
        <w:t>与</w:t>
      </w:r>
      <w:r>
        <w:rPr>
          <w:rFonts w:ascii="Times New Roman" w:hAnsi="Times New Roman" w:eastAsia="Times New Roman"/>
        </w:rPr>
        <w:t>DLB</w:t>
      </w:r>
      <w:r>
        <w:rPr>
          <w:rFonts w:ascii="Times New Roman" w:hAnsi="Times New Roman" w:eastAsia="Times New Roman"/>
          <w:spacing w:val="4"/>
        </w:rPr>
        <w:t> </w:t>
      </w:r>
      <w:r>
        <w:rPr>
          <w:spacing w:val="-3"/>
        </w:rPr>
        <w:t>的性能较高</w:t>
      </w:r>
      <w:r>
        <w:rPr>
          <w:rFonts w:ascii="Times New Roman" w:hAnsi="Times New Roman" w:eastAsia="Times New Roman"/>
        </w:rPr>
        <w:t>(2B)</w:t>
      </w:r>
      <w:r>
        <w:rPr>
          <w:spacing w:val="-3"/>
        </w:rPr>
        <w:t>。</w:t>
      </w:r>
      <w:r>
        <w:rPr>
          <w:rFonts w:ascii="Times New Roman" w:hAnsi="Times New Roman" w:eastAsia="Times New Roman"/>
          <w:spacing w:val="-3"/>
        </w:rPr>
        <w:t>Tau-PET</w:t>
      </w:r>
      <w:r>
        <w:rPr>
          <w:rFonts w:ascii="Times New Roman" w:hAnsi="Times New Roman" w:eastAsia="Times New Roman"/>
          <w:spacing w:val="3"/>
        </w:rPr>
        <w:t> </w:t>
      </w:r>
      <w:r>
        <w:rPr/>
        <w:t>负荷</w:t>
      </w:r>
      <w:r>
        <w:rPr>
          <w:spacing w:val="-12"/>
        </w:rPr>
        <w:t>增加定义 </w:t>
      </w:r>
      <w:r>
        <w:rPr>
          <w:rFonts w:ascii="Times New Roman" w:hAnsi="Times New Roman" w:eastAsia="Times New Roman"/>
        </w:rPr>
        <w:t>AD</w:t>
      </w:r>
      <w:r>
        <w:rPr>
          <w:rFonts w:ascii="Times New Roman" w:hAnsi="Times New Roman" w:eastAsia="Times New Roman"/>
          <w:spacing w:val="1"/>
        </w:rPr>
        <w:t> </w:t>
      </w:r>
      <w:r>
        <w:rPr>
          <w:spacing w:val="-3"/>
        </w:rPr>
        <w:t>痴呆的性能高</w:t>
      </w:r>
      <w:r>
        <w:rPr>
          <w:rFonts w:ascii="Times New Roman" w:hAnsi="Times New Roman" w:eastAsia="Times New Roman"/>
        </w:rPr>
        <w:t>, </w:t>
      </w:r>
      <w:r>
        <w:rPr>
          <w:spacing w:val="-28"/>
        </w:rPr>
        <w:t>对 </w:t>
      </w:r>
      <w:r>
        <w:rPr>
          <w:rFonts w:ascii="Times New Roman" w:hAnsi="Times New Roman" w:eastAsia="Times New Roman"/>
        </w:rPr>
        <w:t>MCI</w:t>
      </w:r>
      <w:r>
        <w:rPr>
          <w:rFonts w:ascii="Times New Roman" w:hAnsi="Times New Roman" w:eastAsia="Times New Roman"/>
          <w:spacing w:val="-2"/>
        </w:rPr>
        <w:t> </w:t>
      </w:r>
      <w:r>
        <w:rPr>
          <w:spacing w:val="-3"/>
        </w:rPr>
        <w:t>的敏感度低</w:t>
      </w:r>
      <w:r>
        <w:rPr>
          <w:rFonts w:ascii="Times New Roman" w:hAnsi="Times New Roman" w:eastAsia="Times New Roman"/>
        </w:rPr>
        <w:t>(2B)</w:t>
      </w:r>
      <w:r>
        <w:rPr/>
        <w:t>。</w:t>
      </w:r>
    </w:p>
    <w:p>
      <w:pPr>
        <w:pStyle w:val="BodyText"/>
        <w:spacing w:before="3"/>
        <w:rPr>
          <w:sz w:val="24"/>
        </w:rPr>
      </w:pPr>
    </w:p>
    <w:p>
      <w:pPr>
        <w:pStyle w:val="BodyText"/>
        <w:spacing w:line="304" w:lineRule="auto" w:before="1"/>
        <w:ind w:left="3163" w:right="810"/>
      </w:pPr>
      <w:r>
        <w:rPr>
          <w:spacing w:val="-6"/>
        </w:rPr>
        <w:t>根据医药魔方数据库，目前全球已有 </w:t>
      </w:r>
      <w:r>
        <w:rPr>
          <w:rFonts w:ascii="Times New Roman" w:hAnsi="Times New Roman" w:eastAsia="Times New Roman"/>
        </w:rPr>
        <w:t>4 </w:t>
      </w:r>
      <w:r>
        <w:rPr>
          <w:spacing w:val="-25"/>
        </w:rPr>
        <w:t>款 </w:t>
      </w:r>
      <w:r>
        <w:rPr>
          <w:rFonts w:ascii="Times New Roman" w:hAnsi="Times New Roman" w:eastAsia="Times New Roman"/>
        </w:rPr>
        <w:t>A</w:t>
      </w:r>
      <w:r>
        <w:rPr/>
        <w:t>β</w:t>
      </w:r>
      <w:r>
        <w:rPr>
          <w:spacing w:val="-14"/>
        </w:rPr>
        <w:t>靶向和 </w:t>
      </w:r>
      <w:r>
        <w:rPr>
          <w:rFonts w:ascii="Times New Roman" w:hAnsi="Times New Roman" w:eastAsia="Times New Roman"/>
        </w:rPr>
        <w:t>1</w:t>
      </w:r>
      <w:r>
        <w:rPr>
          <w:rFonts w:ascii="Times New Roman" w:hAnsi="Times New Roman" w:eastAsia="Times New Roman"/>
          <w:spacing w:val="1"/>
        </w:rPr>
        <w:t> </w:t>
      </w:r>
      <w:r>
        <w:rPr>
          <w:spacing w:val="-25"/>
        </w:rPr>
        <w:t>款 </w:t>
      </w:r>
      <w:r>
        <w:rPr>
          <w:rFonts w:ascii="Times New Roman" w:hAnsi="Times New Roman" w:eastAsia="Times New Roman"/>
          <w:spacing w:val="-6"/>
        </w:rPr>
        <w:t>Tau</w:t>
      </w:r>
      <w:r>
        <w:rPr>
          <w:rFonts w:ascii="Times New Roman" w:hAnsi="Times New Roman" w:eastAsia="Times New Roman"/>
          <w:spacing w:val="3"/>
        </w:rPr>
        <w:t> </w:t>
      </w:r>
      <w:r>
        <w:rPr>
          <w:spacing w:val="7"/>
        </w:rPr>
        <w:t>蛋白靶向的</w:t>
      </w:r>
      <w:r>
        <w:rPr>
          <w:rFonts w:ascii="Times New Roman" w:hAnsi="Times New Roman" w:eastAsia="Times New Roman"/>
        </w:rPr>
        <w:t>PET </w:t>
      </w:r>
      <w:r>
        <w:rPr>
          <w:spacing w:val="-5"/>
        </w:rPr>
        <w:t>成像剂获批上市。其中国内进度最快的产品为处于临床 </w:t>
      </w:r>
      <w:r>
        <w:rPr>
          <w:rFonts w:ascii="Times New Roman" w:hAnsi="Times New Roman" w:eastAsia="Times New Roman"/>
        </w:rPr>
        <w:t>III</w:t>
      </w:r>
      <w:r>
        <w:rPr>
          <w:rFonts w:ascii="Times New Roman" w:hAnsi="Times New Roman" w:eastAsia="Times New Roman"/>
          <w:spacing w:val="4"/>
        </w:rPr>
        <w:t> </w:t>
      </w:r>
      <w:r>
        <w:rPr>
          <w:spacing w:val="-12"/>
        </w:rPr>
        <w:t>期阶段的 </w:t>
      </w:r>
      <w:r>
        <w:rPr>
          <w:rFonts w:ascii="Times New Roman" w:hAnsi="Times New Roman" w:eastAsia="Times New Roman"/>
        </w:rPr>
        <w:t>florzolotau (18F)</w:t>
      </w:r>
      <w:r>
        <w:rPr>
          <w:spacing w:val="-10"/>
        </w:rPr>
        <w:t>，亦称 </w:t>
      </w:r>
      <w:r>
        <w:rPr>
          <w:rFonts w:ascii="Times New Roman" w:hAnsi="Times New Roman" w:eastAsia="Times New Roman"/>
        </w:rPr>
        <w:t>18F-APN-1607</w:t>
      </w:r>
      <w:r>
        <w:rPr>
          <w:spacing w:val="-3"/>
        </w:rPr>
        <w:t>，目前东诚药业已获得该药品在中国大陆地区临床开发、生产和市场销售的独家权利。</w:t>
      </w:r>
    </w:p>
    <w:p>
      <w:pPr>
        <w:pStyle w:val="BodyText"/>
        <w:spacing w:before="9"/>
        <w:rPr>
          <w:sz w:val="17"/>
        </w:rPr>
      </w:pPr>
    </w:p>
    <w:p>
      <w:pPr>
        <w:pStyle w:val="Heading3"/>
        <w:spacing w:after="21"/>
        <w:ind w:left="1344"/>
      </w:pPr>
      <w:bookmarkStart w:name="_bookmark31" w:id="47"/>
      <w:bookmarkEnd w:id="47"/>
      <w:r>
        <w:rPr>
          <w:b w:val="0"/>
        </w:rPr>
      </w:r>
      <w:r>
        <w:rPr/>
        <w:t>表 </w:t>
      </w:r>
      <w:r>
        <w:rPr>
          <w:rFonts w:ascii="Times New Roman" w:eastAsia="Times New Roman"/>
        </w:rPr>
        <w:t>7</w:t>
      </w:r>
      <w:r>
        <w:rPr/>
        <w:t>、全球用于 </w:t>
      </w:r>
      <w:r>
        <w:rPr>
          <w:rFonts w:ascii="Times New Roman" w:eastAsia="Times New Roman"/>
        </w:rPr>
        <w:t>AD </w:t>
      </w:r>
      <w:r>
        <w:rPr/>
        <w:t>患者影像识别的 </w:t>
      </w:r>
      <w:r>
        <w:rPr>
          <w:rFonts w:ascii="Times New Roman" w:eastAsia="Times New Roman"/>
        </w:rPr>
        <w:t>PET </w:t>
      </w:r>
      <w:r>
        <w:rPr/>
        <w:t>成像剂的临床研发进展</w:t>
      </w:r>
    </w:p>
    <w:tbl>
      <w:tblPr>
        <w:tblW w:w="0" w:type="auto"/>
        <w:jc w:val="left"/>
        <w:tblInd w:w="12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07"/>
        <w:gridCol w:w="2784"/>
        <w:gridCol w:w="1372"/>
        <w:gridCol w:w="1375"/>
        <w:gridCol w:w="1516"/>
      </w:tblGrid>
      <w:tr>
        <w:trPr>
          <w:trHeight w:val="582" w:hRule="atLeast"/>
        </w:trPr>
        <w:tc>
          <w:tcPr>
            <w:tcW w:w="2307" w:type="dxa"/>
            <w:tcBorders>
              <w:left w:val="nil"/>
            </w:tcBorders>
            <w:shd w:val="clear" w:color="auto" w:fill="DEEAF6"/>
          </w:tcPr>
          <w:p>
            <w:pPr>
              <w:pStyle w:val="TableParagraph"/>
              <w:spacing w:before="148"/>
              <w:ind w:left="108"/>
              <w:rPr>
                <w:sz w:val="18"/>
              </w:rPr>
            </w:pPr>
            <w:r>
              <w:rPr>
                <w:sz w:val="18"/>
              </w:rPr>
              <w:t>药品名称</w:t>
            </w:r>
          </w:p>
        </w:tc>
        <w:tc>
          <w:tcPr>
            <w:tcW w:w="2784" w:type="dxa"/>
            <w:shd w:val="clear" w:color="auto" w:fill="DEEAF6"/>
          </w:tcPr>
          <w:p>
            <w:pPr>
              <w:pStyle w:val="TableParagraph"/>
              <w:spacing w:before="148"/>
              <w:ind w:left="100"/>
              <w:rPr>
                <w:sz w:val="18"/>
              </w:rPr>
            </w:pPr>
            <w:r>
              <w:rPr>
                <w:sz w:val="18"/>
              </w:rPr>
              <w:t>研发机构</w:t>
            </w:r>
          </w:p>
        </w:tc>
        <w:tc>
          <w:tcPr>
            <w:tcW w:w="1372" w:type="dxa"/>
            <w:shd w:val="clear" w:color="auto" w:fill="DEEAF6"/>
          </w:tcPr>
          <w:p>
            <w:pPr>
              <w:pStyle w:val="TableParagraph"/>
              <w:spacing w:before="2"/>
              <w:ind w:left="100"/>
              <w:rPr>
                <w:sz w:val="18"/>
              </w:rPr>
            </w:pPr>
            <w:r>
              <w:rPr>
                <w:sz w:val="18"/>
              </w:rPr>
              <w:t>最高研发阶段</w:t>
            </w:r>
          </w:p>
          <w:p>
            <w:pPr>
              <w:pStyle w:val="TableParagraph"/>
              <w:spacing w:before="62"/>
              <w:ind w:left="100"/>
              <w:rPr>
                <w:rFonts w:ascii="Times New Roman" w:eastAsia="Times New Roman"/>
                <w:sz w:val="18"/>
              </w:rPr>
            </w:pPr>
            <w:r>
              <w:rPr>
                <w:rFonts w:ascii="Times New Roman" w:eastAsia="Times New Roman"/>
                <w:sz w:val="18"/>
              </w:rPr>
              <w:t>(</w:t>
            </w:r>
            <w:r>
              <w:rPr>
                <w:sz w:val="18"/>
              </w:rPr>
              <w:t>全球</w:t>
            </w:r>
            <w:r>
              <w:rPr>
                <w:rFonts w:ascii="Times New Roman" w:eastAsia="Times New Roman"/>
                <w:sz w:val="18"/>
              </w:rPr>
              <w:t>)</w:t>
            </w:r>
          </w:p>
        </w:tc>
        <w:tc>
          <w:tcPr>
            <w:tcW w:w="1375" w:type="dxa"/>
            <w:shd w:val="clear" w:color="auto" w:fill="DEEAF6"/>
          </w:tcPr>
          <w:p>
            <w:pPr>
              <w:pStyle w:val="TableParagraph"/>
              <w:spacing w:before="2"/>
              <w:ind w:left="104"/>
              <w:rPr>
                <w:sz w:val="18"/>
              </w:rPr>
            </w:pPr>
            <w:r>
              <w:rPr>
                <w:sz w:val="18"/>
              </w:rPr>
              <w:t>最高研发阶段</w:t>
            </w:r>
          </w:p>
          <w:p>
            <w:pPr>
              <w:pStyle w:val="TableParagraph"/>
              <w:spacing w:before="62"/>
              <w:ind w:left="104"/>
              <w:rPr>
                <w:rFonts w:ascii="Times New Roman" w:eastAsia="Times New Roman"/>
                <w:sz w:val="18"/>
              </w:rPr>
            </w:pPr>
            <w:r>
              <w:rPr>
                <w:rFonts w:ascii="Times New Roman" w:eastAsia="Times New Roman"/>
                <w:sz w:val="18"/>
              </w:rPr>
              <w:t>(</w:t>
            </w:r>
            <w:r>
              <w:rPr>
                <w:sz w:val="18"/>
              </w:rPr>
              <w:t>中国</w:t>
            </w:r>
            <w:r>
              <w:rPr>
                <w:rFonts w:ascii="Times New Roman" w:eastAsia="Times New Roman"/>
                <w:sz w:val="18"/>
              </w:rPr>
              <w:t>)</w:t>
            </w:r>
          </w:p>
        </w:tc>
        <w:tc>
          <w:tcPr>
            <w:tcW w:w="1516" w:type="dxa"/>
            <w:tcBorders>
              <w:right w:val="nil"/>
            </w:tcBorders>
            <w:shd w:val="clear" w:color="auto" w:fill="DEEAF6"/>
          </w:tcPr>
          <w:p>
            <w:pPr>
              <w:pStyle w:val="TableParagraph"/>
              <w:spacing w:before="148"/>
              <w:ind w:left="102"/>
              <w:rPr>
                <w:sz w:val="18"/>
              </w:rPr>
            </w:pPr>
            <w:r>
              <w:rPr>
                <w:sz w:val="18"/>
              </w:rPr>
              <w:t>靶点</w:t>
            </w:r>
          </w:p>
        </w:tc>
      </w:tr>
      <w:tr>
        <w:trPr>
          <w:trHeight w:val="292" w:hRule="atLeast"/>
        </w:trPr>
        <w:tc>
          <w:tcPr>
            <w:tcW w:w="2307" w:type="dxa"/>
            <w:tcBorders>
              <w:left w:val="nil"/>
            </w:tcBorders>
          </w:tcPr>
          <w:p>
            <w:pPr>
              <w:pStyle w:val="TableParagraph"/>
              <w:spacing w:before="16"/>
              <w:ind w:left="108"/>
              <w:rPr>
                <w:rFonts w:ascii="Times New Roman"/>
                <w:sz w:val="18"/>
              </w:rPr>
            </w:pPr>
            <w:r>
              <w:rPr>
                <w:rFonts w:ascii="Times New Roman"/>
                <w:sz w:val="18"/>
              </w:rPr>
              <w:t>18F-FC119S</w:t>
            </w:r>
          </w:p>
        </w:tc>
        <w:tc>
          <w:tcPr>
            <w:tcW w:w="2784" w:type="dxa"/>
          </w:tcPr>
          <w:p>
            <w:pPr>
              <w:pStyle w:val="TableParagraph"/>
              <w:spacing w:before="16"/>
              <w:ind w:left="100"/>
              <w:rPr>
                <w:rFonts w:ascii="Times New Roman"/>
                <w:sz w:val="18"/>
              </w:rPr>
            </w:pPr>
            <w:r>
              <w:rPr>
                <w:rFonts w:ascii="Times New Roman"/>
                <w:sz w:val="18"/>
              </w:rPr>
              <w:t>FutureChem</w:t>
            </w:r>
          </w:p>
        </w:tc>
        <w:tc>
          <w:tcPr>
            <w:tcW w:w="1372" w:type="dxa"/>
          </w:tcPr>
          <w:p>
            <w:pPr>
              <w:pStyle w:val="TableParagraph"/>
              <w:spacing w:before="4"/>
              <w:ind w:left="100"/>
              <w:rPr>
                <w:sz w:val="18"/>
              </w:rPr>
            </w:pPr>
            <w:r>
              <w:rPr>
                <w:sz w:val="18"/>
              </w:rPr>
              <w:t>批准上市</w:t>
            </w:r>
          </w:p>
        </w:tc>
        <w:tc>
          <w:tcPr>
            <w:tcW w:w="1375" w:type="dxa"/>
          </w:tcPr>
          <w:p>
            <w:pPr>
              <w:pStyle w:val="TableParagraph"/>
              <w:spacing w:before="4"/>
              <w:ind w:left="104"/>
              <w:rPr>
                <w:sz w:val="18"/>
              </w:rPr>
            </w:pPr>
            <w:r>
              <w:rPr>
                <w:sz w:val="18"/>
              </w:rPr>
              <w:t>无申报</w:t>
            </w:r>
          </w:p>
        </w:tc>
        <w:tc>
          <w:tcPr>
            <w:tcW w:w="1516" w:type="dxa"/>
            <w:tcBorders>
              <w:right w:val="nil"/>
            </w:tcBorders>
          </w:tcPr>
          <w:p>
            <w:pPr>
              <w:pStyle w:val="TableParagraph"/>
              <w:spacing w:before="16"/>
              <w:ind w:left="102"/>
              <w:rPr>
                <w:rFonts w:ascii="Times New Roman" w:hAnsi="Times New Roman"/>
                <w:sz w:val="18"/>
              </w:rPr>
            </w:pPr>
            <w:r>
              <w:rPr>
                <w:rFonts w:ascii="Times New Roman" w:hAnsi="Times New Roman"/>
                <w:sz w:val="18"/>
              </w:rPr>
              <w:t>Aβ</w:t>
            </w:r>
          </w:p>
        </w:tc>
      </w:tr>
      <w:tr>
        <w:trPr>
          <w:trHeight w:val="518" w:hRule="atLeast"/>
        </w:trPr>
        <w:tc>
          <w:tcPr>
            <w:tcW w:w="2307" w:type="dxa"/>
            <w:tcBorders>
              <w:left w:val="nil"/>
            </w:tcBorders>
          </w:tcPr>
          <w:p>
            <w:pPr>
              <w:pStyle w:val="TableParagraph"/>
              <w:spacing w:before="129"/>
              <w:ind w:left="108"/>
              <w:rPr>
                <w:rFonts w:ascii="Times New Roman"/>
                <w:sz w:val="18"/>
              </w:rPr>
            </w:pPr>
            <w:r>
              <w:rPr>
                <w:rFonts w:ascii="Times New Roman"/>
                <w:sz w:val="18"/>
              </w:rPr>
              <w:t>flutemetamol F-18</w:t>
            </w:r>
          </w:p>
        </w:tc>
        <w:tc>
          <w:tcPr>
            <w:tcW w:w="2784" w:type="dxa"/>
          </w:tcPr>
          <w:p>
            <w:pPr>
              <w:pStyle w:val="TableParagraph"/>
              <w:spacing w:line="207" w:lineRule="exact"/>
              <w:ind w:left="100"/>
              <w:rPr>
                <w:rFonts w:ascii="Times New Roman"/>
                <w:sz w:val="18"/>
              </w:rPr>
            </w:pPr>
            <w:r>
              <w:rPr>
                <w:rFonts w:ascii="Times New Roman"/>
                <w:sz w:val="18"/>
              </w:rPr>
              <w:t>University of Pittsburgh; GE</w:t>
            </w:r>
          </w:p>
          <w:p>
            <w:pPr>
              <w:pStyle w:val="TableParagraph"/>
              <w:spacing w:before="52"/>
              <w:ind w:left="100"/>
              <w:rPr>
                <w:rFonts w:ascii="Times New Roman"/>
                <w:sz w:val="18"/>
              </w:rPr>
            </w:pPr>
            <w:r>
              <w:rPr>
                <w:rFonts w:ascii="Times New Roman"/>
                <w:sz w:val="18"/>
              </w:rPr>
              <w:t>Healthcare</w:t>
            </w:r>
          </w:p>
        </w:tc>
        <w:tc>
          <w:tcPr>
            <w:tcW w:w="1372" w:type="dxa"/>
          </w:tcPr>
          <w:p>
            <w:pPr>
              <w:pStyle w:val="TableParagraph"/>
              <w:spacing w:before="115"/>
              <w:ind w:left="100"/>
              <w:rPr>
                <w:sz w:val="18"/>
              </w:rPr>
            </w:pPr>
            <w:r>
              <w:rPr>
                <w:sz w:val="18"/>
              </w:rPr>
              <w:t>批准上市</w:t>
            </w:r>
          </w:p>
        </w:tc>
        <w:tc>
          <w:tcPr>
            <w:tcW w:w="1375" w:type="dxa"/>
          </w:tcPr>
          <w:p>
            <w:pPr>
              <w:pStyle w:val="TableParagraph"/>
              <w:spacing w:before="115"/>
              <w:ind w:left="104"/>
              <w:rPr>
                <w:sz w:val="18"/>
              </w:rPr>
            </w:pPr>
            <w:r>
              <w:rPr>
                <w:sz w:val="18"/>
              </w:rPr>
              <w:t>申报临床</w:t>
            </w:r>
          </w:p>
        </w:tc>
        <w:tc>
          <w:tcPr>
            <w:tcW w:w="1516" w:type="dxa"/>
            <w:tcBorders>
              <w:right w:val="nil"/>
            </w:tcBorders>
          </w:tcPr>
          <w:p>
            <w:pPr>
              <w:pStyle w:val="TableParagraph"/>
              <w:spacing w:before="129"/>
              <w:ind w:left="102"/>
              <w:rPr>
                <w:rFonts w:ascii="Times New Roman" w:hAnsi="Times New Roman"/>
                <w:sz w:val="18"/>
              </w:rPr>
            </w:pPr>
            <w:r>
              <w:rPr>
                <w:rFonts w:ascii="Times New Roman" w:hAnsi="Times New Roman"/>
                <w:sz w:val="18"/>
              </w:rPr>
              <w:t>Aβ</w:t>
            </w:r>
          </w:p>
        </w:tc>
      </w:tr>
      <w:tr>
        <w:trPr>
          <w:trHeight w:val="292" w:hRule="atLeast"/>
        </w:trPr>
        <w:tc>
          <w:tcPr>
            <w:tcW w:w="2307" w:type="dxa"/>
            <w:tcBorders>
              <w:left w:val="nil"/>
            </w:tcBorders>
          </w:tcPr>
          <w:p>
            <w:pPr>
              <w:pStyle w:val="TableParagraph"/>
              <w:spacing w:before="2"/>
              <w:ind w:left="108"/>
              <w:rPr>
                <w:sz w:val="18"/>
              </w:rPr>
            </w:pPr>
            <w:r>
              <w:rPr>
                <w:sz w:val="18"/>
              </w:rPr>
              <w:t>氟</w:t>
            </w:r>
            <w:r>
              <w:rPr>
                <w:rFonts w:ascii="Times New Roman" w:eastAsia="Times New Roman"/>
                <w:sz w:val="18"/>
              </w:rPr>
              <w:t>[18F]</w:t>
            </w:r>
            <w:r>
              <w:rPr>
                <w:sz w:val="18"/>
              </w:rPr>
              <w:t>洛贝平</w:t>
            </w:r>
          </w:p>
        </w:tc>
        <w:tc>
          <w:tcPr>
            <w:tcW w:w="2784" w:type="dxa"/>
          </w:tcPr>
          <w:p>
            <w:pPr>
              <w:pStyle w:val="TableParagraph"/>
              <w:spacing w:before="16"/>
              <w:ind w:left="100"/>
              <w:rPr>
                <w:rFonts w:ascii="Times New Roman"/>
                <w:sz w:val="18"/>
              </w:rPr>
            </w:pPr>
            <w:r>
              <w:rPr>
                <w:rFonts w:ascii="Times New Roman"/>
                <w:sz w:val="18"/>
              </w:rPr>
              <w:t>Avid Radiopharmaceuticals</w:t>
            </w:r>
          </w:p>
        </w:tc>
        <w:tc>
          <w:tcPr>
            <w:tcW w:w="1372" w:type="dxa"/>
          </w:tcPr>
          <w:p>
            <w:pPr>
              <w:pStyle w:val="TableParagraph"/>
              <w:spacing w:before="2"/>
              <w:ind w:left="100"/>
              <w:rPr>
                <w:sz w:val="18"/>
              </w:rPr>
            </w:pPr>
            <w:r>
              <w:rPr>
                <w:sz w:val="18"/>
              </w:rPr>
              <w:t>批准上市</w:t>
            </w:r>
          </w:p>
        </w:tc>
        <w:tc>
          <w:tcPr>
            <w:tcW w:w="1375" w:type="dxa"/>
          </w:tcPr>
          <w:p>
            <w:pPr>
              <w:pStyle w:val="TableParagraph"/>
              <w:spacing w:before="2"/>
              <w:ind w:left="104"/>
              <w:rPr>
                <w:sz w:val="18"/>
              </w:rPr>
            </w:pPr>
            <w:r>
              <w:rPr>
                <w:sz w:val="18"/>
              </w:rPr>
              <w:t>无申报</w:t>
            </w:r>
          </w:p>
        </w:tc>
        <w:tc>
          <w:tcPr>
            <w:tcW w:w="1516" w:type="dxa"/>
            <w:tcBorders>
              <w:right w:val="nil"/>
            </w:tcBorders>
          </w:tcPr>
          <w:p>
            <w:pPr>
              <w:pStyle w:val="TableParagraph"/>
              <w:spacing w:before="16"/>
              <w:ind w:left="102"/>
              <w:rPr>
                <w:rFonts w:ascii="Times New Roman" w:hAnsi="Times New Roman"/>
                <w:sz w:val="18"/>
              </w:rPr>
            </w:pPr>
            <w:r>
              <w:rPr>
                <w:rFonts w:ascii="Times New Roman" w:hAnsi="Times New Roman"/>
                <w:sz w:val="18"/>
              </w:rPr>
              <w:t>Aβ</w:t>
            </w:r>
          </w:p>
        </w:tc>
      </w:tr>
      <w:tr>
        <w:trPr>
          <w:trHeight w:val="1068" w:hRule="atLeast"/>
        </w:trPr>
        <w:tc>
          <w:tcPr>
            <w:tcW w:w="2307" w:type="dxa"/>
            <w:tcBorders>
              <w:left w:val="nil"/>
            </w:tcBorders>
          </w:tcPr>
          <w:p>
            <w:pPr>
              <w:pStyle w:val="TableParagraph"/>
              <w:spacing w:before="5"/>
              <w:rPr>
                <w:rFonts w:ascii="Microsoft JhengHei"/>
                <w:b/>
                <w:sz w:val="21"/>
              </w:rPr>
            </w:pPr>
          </w:p>
          <w:p>
            <w:pPr>
              <w:pStyle w:val="TableParagraph"/>
              <w:ind w:left="108"/>
              <w:rPr>
                <w:sz w:val="18"/>
              </w:rPr>
            </w:pPr>
            <w:r>
              <w:rPr>
                <w:sz w:val="18"/>
              </w:rPr>
              <w:t>氟比他班</w:t>
            </w:r>
          </w:p>
        </w:tc>
        <w:tc>
          <w:tcPr>
            <w:tcW w:w="2784" w:type="dxa"/>
          </w:tcPr>
          <w:p>
            <w:pPr>
              <w:pStyle w:val="TableParagraph"/>
              <w:spacing w:line="300" w:lineRule="auto" w:before="2"/>
              <w:ind w:left="100" w:right="319"/>
              <w:rPr>
                <w:rFonts w:ascii="Times New Roman" w:eastAsia="Times New Roman"/>
                <w:sz w:val="18"/>
              </w:rPr>
            </w:pPr>
            <w:r>
              <w:rPr>
                <w:rFonts w:ascii="Times New Roman" w:eastAsia="Times New Roman"/>
                <w:sz w:val="18"/>
              </w:rPr>
              <w:t>Bayer;</w:t>
            </w:r>
            <w:r>
              <w:rPr>
                <w:sz w:val="18"/>
              </w:rPr>
              <w:t>先通医药</w:t>
            </w:r>
            <w:r>
              <w:rPr>
                <w:rFonts w:ascii="Times New Roman" w:eastAsia="Times New Roman"/>
                <w:sz w:val="18"/>
              </w:rPr>
              <w:t>;Life Molecular Imaging (formerly Piramal Imaging);University of</w:t>
            </w:r>
          </w:p>
          <w:p>
            <w:pPr>
              <w:pStyle w:val="TableParagraph"/>
              <w:spacing w:before="1"/>
              <w:ind w:left="100"/>
              <w:rPr>
                <w:rFonts w:ascii="Times New Roman"/>
                <w:sz w:val="18"/>
              </w:rPr>
            </w:pPr>
            <w:r>
              <w:rPr>
                <w:rFonts w:ascii="Times New Roman"/>
                <w:sz w:val="18"/>
              </w:rPr>
              <w:t>Pennsylvania</w:t>
            </w:r>
          </w:p>
        </w:tc>
        <w:tc>
          <w:tcPr>
            <w:tcW w:w="1372" w:type="dxa"/>
          </w:tcPr>
          <w:p>
            <w:pPr>
              <w:pStyle w:val="TableParagraph"/>
              <w:spacing w:before="5"/>
              <w:rPr>
                <w:rFonts w:ascii="Microsoft JhengHei"/>
                <w:b/>
                <w:sz w:val="21"/>
              </w:rPr>
            </w:pPr>
          </w:p>
          <w:p>
            <w:pPr>
              <w:pStyle w:val="TableParagraph"/>
              <w:ind w:left="100"/>
              <w:rPr>
                <w:sz w:val="18"/>
              </w:rPr>
            </w:pPr>
            <w:r>
              <w:rPr>
                <w:sz w:val="18"/>
              </w:rPr>
              <w:t>批准上市</w:t>
            </w:r>
          </w:p>
        </w:tc>
        <w:tc>
          <w:tcPr>
            <w:tcW w:w="1375" w:type="dxa"/>
          </w:tcPr>
          <w:p>
            <w:pPr>
              <w:pStyle w:val="TableParagraph"/>
              <w:spacing w:before="5"/>
              <w:rPr>
                <w:rFonts w:ascii="Microsoft JhengHei"/>
                <w:b/>
                <w:sz w:val="21"/>
              </w:rPr>
            </w:pPr>
          </w:p>
          <w:p>
            <w:pPr>
              <w:pStyle w:val="TableParagraph"/>
              <w:ind w:left="104"/>
              <w:rPr>
                <w:sz w:val="18"/>
              </w:rPr>
            </w:pPr>
            <w:r>
              <w:rPr>
                <w:sz w:val="18"/>
              </w:rPr>
              <w:t>无申报</w:t>
            </w:r>
          </w:p>
        </w:tc>
        <w:tc>
          <w:tcPr>
            <w:tcW w:w="1516" w:type="dxa"/>
            <w:tcBorders>
              <w:right w:val="nil"/>
            </w:tcBorders>
          </w:tcPr>
          <w:p>
            <w:pPr>
              <w:pStyle w:val="TableParagraph"/>
              <w:spacing w:before="17"/>
              <w:rPr>
                <w:rFonts w:ascii="Microsoft JhengHei"/>
                <w:b/>
                <w:sz w:val="21"/>
              </w:rPr>
            </w:pPr>
          </w:p>
          <w:p>
            <w:pPr>
              <w:pStyle w:val="TableParagraph"/>
              <w:ind w:left="102"/>
              <w:rPr>
                <w:rFonts w:ascii="Times New Roman" w:hAnsi="Times New Roman"/>
                <w:sz w:val="18"/>
              </w:rPr>
            </w:pPr>
            <w:r>
              <w:rPr>
                <w:rFonts w:ascii="Times New Roman" w:hAnsi="Times New Roman"/>
                <w:sz w:val="18"/>
              </w:rPr>
              <w:t>Aβ</w:t>
            </w:r>
          </w:p>
        </w:tc>
      </w:tr>
      <w:tr>
        <w:trPr>
          <w:trHeight w:val="808" w:hRule="atLeast"/>
        </w:trPr>
        <w:tc>
          <w:tcPr>
            <w:tcW w:w="2307" w:type="dxa"/>
            <w:tcBorders>
              <w:left w:val="nil"/>
            </w:tcBorders>
          </w:tcPr>
          <w:p>
            <w:pPr>
              <w:pStyle w:val="TableParagraph"/>
              <w:spacing w:before="18"/>
              <w:rPr>
                <w:rFonts w:ascii="Microsoft JhengHei"/>
                <w:b/>
                <w:sz w:val="14"/>
              </w:rPr>
            </w:pPr>
          </w:p>
          <w:p>
            <w:pPr>
              <w:pStyle w:val="TableParagraph"/>
              <w:ind w:left="108"/>
              <w:rPr>
                <w:rFonts w:ascii="Times New Roman"/>
                <w:sz w:val="18"/>
              </w:rPr>
            </w:pPr>
            <w:r>
              <w:rPr>
                <w:rFonts w:ascii="Times New Roman"/>
                <w:sz w:val="18"/>
              </w:rPr>
              <w:t>flutafuranol (18F)</w:t>
            </w:r>
          </w:p>
        </w:tc>
        <w:tc>
          <w:tcPr>
            <w:tcW w:w="2784" w:type="dxa"/>
          </w:tcPr>
          <w:p>
            <w:pPr>
              <w:pStyle w:val="TableParagraph"/>
              <w:spacing w:before="2"/>
              <w:ind w:left="100"/>
              <w:rPr>
                <w:rFonts w:ascii="Times New Roman" w:eastAsia="Times New Roman"/>
                <w:sz w:val="18"/>
              </w:rPr>
            </w:pPr>
            <w:r>
              <w:rPr>
                <w:sz w:val="18"/>
              </w:rPr>
              <w:t>先通医药</w:t>
            </w:r>
            <w:r>
              <w:rPr>
                <w:rFonts w:ascii="Times New Roman" w:eastAsia="Times New Roman"/>
                <w:sz w:val="18"/>
              </w:rPr>
              <w:t>; Cerveau Technologies;</w:t>
            </w:r>
          </w:p>
          <w:p>
            <w:pPr>
              <w:pStyle w:val="TableParagraph"/>
              <w:spacing w:line="250" w:lineRule="atLeast" w:before="17"/>
              <w:ind w:left="100" w:right="1049"/>
              <w:rPr>
                <w:rFonts w:ascii="Times New Roman"/>
                <w:sz w:val="18"/>
              </w:rPr>
            </w:pPr>
            <w:r>
              <w:rPr>
                <w:rFonts w:ascii="Times New Roman"/>
                <w:sz w:val="18"/>
              </w:rPr>
              <w:t>AstraZeneca; Navidea Biopharmaceuticals</w:t>
            </w:r>
          </w:p>
        </w:tc>
        <w:tc>
          <w:tcPr>
            <w:tcW w:w="1372" w:type="dxa"/>
          </w:tcPr>
          <w:p>
            <w:pPr>
              <w:pStyle w:val="TableParagraph"/>
              <w:spacing w:before="3"/>
              <w:rPr>
                <w:rFonts w:ascii="Microsoft JhengHei"/>
                <w:b/>
                <w:sz w:val="14"/>
              </w:rPr>
            </w:pPr>
          </w:p>
          <w:p>
            <w:pPr>
              <w:pStyle w:val="TableParagraph"/>
              <w:spacing w:before="1"/>
              <w:ind w:left="100"/>
              <w:rPr>
                <w:sz w:val="18"/>
              </w:rPr>
            </w:pPr>
            <w:r>
              <w:rPr>
                <w:rFonts w:ascii="Times New Roman" w:eastAsia="Times New Roman"/>
                <w:sz w:val="18"/>
              </w:rPr>
              <w:t>III </w:t>
            </w:r>
            <w:r>
              <w:rPr>
                <w:sz w:val="18"/>
              </w:rPr>
              <w:t>期临床</w:t>
            </w:r>
          </w:p>
        </w:tc>
        <w:tc>
          <w:tcPr>
            <w:tcW w:w="1375" w:type="dxa"/>
          </w:tcPr>
          <w:p>
            <w:pPr>
              <w:pStyle w:val="TableParagraph"/>
              <w:spacing w:before="3"/>
              <w:rPr>
                <w:rFonts w:ascii="Microsoft JhengHei"/>
                <w:b/>
                <w:sz w:val="14"/>
              </w:rPr>
            </w:pPr>
          </w:p>
          <w:p>
            <w:pPr>
              <w:pStyle w:val="TableParagraph"/>
              <w:spacing w:before="1"/>
              <w:ind w:left="104"/>
              <w:rPr>
                <w:sz w:val="18"/>
              </w:rPr>
            </w:pPr>
            <w:r>
              <w:rPr>
                <w:sz w:val="18"/>
              </w:rPr>
              <w:t>无申报</w:t>
            </w:r>
          </w:p>
        </w:tc>
        <w:tc>
          <w:tcPr>
            <w:tcW w:w="1516" w:type="dxa"/>
            <w:tcBorders>
              <w:right w:val="nil"/>
            </w:tcBorders>
          </w:tcPr>
          <w:p>
            <w:pPr>
              <w:pStyle w:val="TableParagraph"/>
              <w:spacing w:before="18"/>
              <w:rPr>
                <w:rFonts w:ascii="Microsoft JhengHei"/>
                <w:b/>
                <w:sz w:val="14"/>
              </w:rPr>
            </w:pPr>
          </w:p>
          <w:p>
            <w:pPr>
              <w:pStyle w:val="TableParagraph"/>
              <w:ind w:left="102"/>
              <w:rPr>
                <w:rFonts w:ascii="Times New Roman" w:hAnsi="Times New Roman"/>
                <w:sz w:val="18"/>
              </w:rPr>
            </w:pPr>
            <w:r>
              <w:rPr>
                <w:rFonts w:ascii="Times New Roman" w:hAnsi="Times New Roman"/>
                <w:sz w:val="18"/>
              </w:rPr>
              <w:t>Aβ</w:t>
            </w:r>
          </w:p>
        </w:tc>
      </w:tr>
      <w:tr>
        <w:trPr>
          <w:trHeight w:val="292" w:hRule="atLeast"/>
        </w:trPr>
        <w:tc>
          <w:tcPr>
            <w:tcW w:w="2307" w:type="dxa"/>
            <w:tcBorders>
              <w:left w:val="nil"/>
            </w:tcBorders>
          </w:tcPr>
          <w:p>
            <w:pPr>
              <w:pStyle w:val="TableParagraph"/>
              <w:spacing w:before="16"/>
              <w:ind w:left="108"/>
              <w:rPr>
                <w:rFonts w:ascii="Times New Roman"/>
                <w:sz w:val="18"/>
              </w:rPr>
            </w:pPr>
            <w:r>
              <w:rPr>
                <w:rFonts w:ascii="Times New Roman"/>
                <w:sz w:val="18"/>
              </w:rPr>
              <w:t>[11C]PIB</w:t>
            </w:r>
          </w:p>
        </w:tc>
        <w:tc>
          <w:tcPr>
            <w:tcW w:w="2784" w:type="dxa"/>
          </w:tcPr>
          <w:p>
            <w:pPr>
              <w:pStyle w:val="TableParagraph"/>
              <w:spacing w:before="16"/>
              <w:ind w:left="100"/>
              <w:rPr>
                <w:rFonts w:ascii="Times New Roman"/>
                <w:sz w:val="18"/>
              </w:rPr>
            </w:pPr>
            <w:r>
              <w:rPr>
                <w:rFonts w:ascii="Times New Roman"/>
                <w:sz w:val="18"/>
              </w:rPr>
              <w:t>University of Pittsburgh</w:t>
            </w:r>
          </w:p>
        </w:tc>
        <w:tc>
          <w:tcPr>
            <w:tcW w:w="1372" w:type="dxa"/>
          </w:tcPr>
          <w:p>
            <w:pPr>
              <w:pStyle w:val="TableParagraph"/>
              <w:spacing w:before="2"/>
              <w:ind w:left="100"/>
              <w:rPr>
                <w:sz w:val="18"/>
              </w:rPr>
            </w:pPr>
            <w:r>
              <w:rPr>
                <w:rFonts w:ascii="Times New Roman" w:eastAsia="Times New Roman"/>
                <w:sz w:val="18"/>
              </w:rPr>
              <w:t>II </w:t>
            </w:r>
            <w:r>
              <w:rPr>
                <w:sz w:val="18"/>
              </w:rPr>
              <w:t>期临床</w:t>
            </w:r>
          </w:p>
        </w:tc>
        <w:tc>
          <w:tcPr>
            <w:tcW w:w="1375" w:type="dxa"/>
          </w:tcPr>
          <w:p>
            <w:pPr>
              <w:pStyle w:val="TableParagraph"/>
              <w:spacing w:before="2"/>
              <w:ind w:left="104"/>
              <w:rPr>
                <w:sz w:val="18"/>
              </w:rPr>
            </w:pPr>
            <w:r>
              <w:rPr>
                <w:sz w:val="18"/>
              </w:rPr>
              <w:t>无申报</w:t>
            </w:r>
          </w:p>
        </w:tc>
        <w:tc>
          <w:tcPr>
            <w:tcW w:w="1516" w:type="dxa"/>
            <w:tcBorders>
              <w:right w:val="nil"/>
            </w:tcBorders>
          </w:tcPr>
          <w:p>
            <w:pPr>
              <w:pStyle w:val="TableParagraph"/>
              <w:spacing w:before="16"/>
              <w:ind w:left="102"/>
              <w:rPr>
                <w:rFonts w:ascii="Times New Roman" w:hAnsi="Times New Roman"/>
                <w:sz w:val="18"/>
              </w:rPr>
            </w:pPr>
            <w:r>
              <w:rPr>
                <w:rFonts w:ascii="Times New Roman" w:hAnsi="Times New Roman"/>
                <w:sz w:val="18"/>
              </w:rPr>
              <w:t>Aβ</w:t>
            </w:r>
          </w:p>
        </w:tc>
      </w:tr>
      <w:tr>
        <w:trPr>
          <w:trHeight w:val="292" w:hRule="atLeast"/>
        </w:trPr>
        <w:tc>
          <w:tcPr>
            <w:tcW w:w="2307" w:type="dxa"/>
            <w:tcBorders>
              <w:left w:val="nil"/>
            </w:tcBorders>
          </w:tcPr>
          <w:p>
            <w:pPr>
              <w:pStyle w:val="TableParagraph"/>
              <w:spacing w:before="16"/>
              <w:ind w:left="108"/>
              <w:rPr>
                <w:rFonts w:ascii="Times New Roman"/>
                <w:sz w:val="18"/>
              </w:rPr>
            </w:pPr>
            <w:r>
              <w:rPr>
                <w:rFonts w:ascii="Times New Roman"/>
                <w:sz w:val="18"/>
              </w:rPr>
              <w:t>18F-92</w:t>
            </w:r>
          </w:p>
        </w:tc>
        <w:tc>
          <w:tcPr>
            <w:tcW w:w="2784" w:type="dxa"/>
          </w:tcPr>
          <w:p>
            <w:pPr>
              <w:pStyle w:val="TableParagraph"/>
              <w:spacing w:before="2"/>
              <w:ind w:left="100"/>
              <w:rPr>
                <w:sz w:val="18"/>
              </w:rPr>
            </w:pPr>
            <w:r>
              <w:rPr>
                <w:sz w:val="18"/>
              </w:rPr>
              <w:t>福建医科大学附属第一医院</w:t>
            </w:r>
          </w:p>
        </w:tc>
        <w:tc>
          <w:tcPr>
            <w:tcW w:w="1372" w:type="dxa"/>
          </w:tcPr>
          <w:p>
            <w:pPr>
              <w:pStyle w:val="TableParagraph"/>
              <w:spacing w:before="2"/>
              <w:ind w:left="100"/>
              <w:rPr>
                <w:sz w:val="18"/>
              </w:rPr>
            </w:pPr>
            <w:r>
              <w:rPr>
                <w:rFonts w:ascii="Times New Roman" w:eastAsia="Times New Roman"/>
                <w:sz w:val="18"/>
              </w:rPr>
              <w:t>I </w:t>
            </w:r>
            <w:r>
              <w:rPr>
                <w:sz w:val="18"/>
              </w:rPr>
              <w:t>期临床</w:t>
            </w:r>
          </w:p>
        </w:tc>
        <w:tc>
          <w:tcPr>
            <w:tcW w:w="1375" w:type="dxa"/>
          </w:tcPr>
          <w:p>
            <w:pPr>
              <w:pStyle w:val="TableParagraph"/>
              <w:spacing w:before="2"/>
              <w:ind w:left="104"/>
              <w:rPr>
                <w:sz w:val="18"/>
              </w:rPr>
            </w:pPr>
            <w:r>
              <w:rPr>
                <w:sz w:val="18"/>
              </w:rPr>
              <w:t>无申报</w:t>
            </w:r>
          </w:p>
        </w:tc>
        <w:tc>
          <w:tcPr>
            <w:tcW w:w="1516" w:type="dxa"/>
            <w:tcBorders>
              <w:right w:val="nil"/>
            </w:tcBorders>
          </w:tcPr>
          <w:p>
            <w:pPr>
              <w:pStyle w:val="TableParagraph"/>
              <w:spacing w:before="16"/>
              <w:ind w:left="102"/>
              <w:rPr>
                <w:rFonts w:ascii="Times New Roman" w:hAnsi="Times New Roman"/>
                <w:sz w:val="18"/>
              </w:rPr>
            </w:pPr>
            <w:r>
              <w:rPr>
                <w:rFonts w:ascii="Times New Roman" w:hAnsi="Times New Roman"/>
                <w:sz w:val="18"/>
              </w:rPr>
              <w:t>Aβ</w:t>
            </w:r>
          </w:p>
        </w:tc>
      </w:tr>
      <w:tr>
        <w:trPr>
          <w:trHeight w:val="290" w:hRule="atLeast"/>
        </w:trPr>
        <w:tc>
          <w:tcPr>
            <w:tcW w:w="2307" w:type="dxa"/>
            <w:tcBorders>
              <w:left w:val="nil"/>
            </w:tcBorders>
          </w:tcPr>
          <w:p>
            <w:pPr>
              <w:pStyle w:val="TableParagraph"/>
              <w:spacing w:before="16"/>
              <w:ind w:left="108"/>
              <w:rPr>
                <w:rFonts w:ascii="Times New Roman"/>
                <w:sz w:val="18"/>
              </w:rPr>
            </w:pPr>
            <w:r>
              <w:rPr>
                <w:rFonts w:ascii="Times New Roman"/>
                <w:sz w:val="18"/>
              </w:rPr>
              <w:t>[18F]P16-129</w:t>
            </w:r>
          </w:p>
        </w:tc>
        <w:tc>
          <w:tcPr>
            <w:tcW w:w="2784" w:type="dxa"/>
          </w:tcPr>
          <w:p>
            <w:pPr>
              <w:pStyle w:val="TableParagraph"/>
              <w:spacing w:before="16"/>
              <w:ind w:left="100"/>
              <w:rPr>
                <w:rFonts w:ascii="Times New Roman"/>
                <w:sz w:val="18"/>
              </w:rPr>
            </w:pPr>
            <w:r>
              <w:rPr>
                <w:rFonts w:ascii="Times New Roman"/>
                <w:sz w:val="18"/>
              </w:rPr>
              <w:t>Five Eleven Pharma</w:t>
            </w:r>
          </w:p>
        </w:tc>
        <w:tc>
          <w:tcPr>
            <w:tcW w:w="1372" w:type="dxa"/>
          </w:tcPr>
          <w:p>
            <w:pPr>
              <w:pStyle w:val="TableParagraph"/>
              <w:spacing w:before="2"/>
              <w:ind w:left="100"/>
              <w:rPr>
                <w:sz w:val="18"/>
              </w:rPr>
            </w:pPr>
            <w:r>
              <w:rPr>
                <w:rFonts w:ascii="Times New Roman" w:eastAsia="Times New Roman"/>
                <w:sz w:val="18"/>
              </w:rPr>
              <w:t>I </w:t>
            </w:r>
            <w:r>
              <w:rPr>
                <w:sz w:val="18"/>
              </w:rPr>
              <w:t>期临床</w:t>
            </w:r>
          </w:p>
        </w:tc>
        <w:tc>
          <w:tcPr>
            <w:tcW w:w="1375" w:type="dxa"/>
          </w:tcPr>
          <w:p>
            <w:pPr>
              <w:pStyle w:val="TableParagraph"/>
              <w:spacing w:before="2"/>
              <w:ind w:left="104"/>
              <w:rPr>
                <w:sz w:val="18"/>
              </w:rPr>
            </w:pPr>
            <w:r>
              <w:rPr>
                <w:sz w:val="18"/>
              </w:rPr>
              <w:t>无申报</w:t>
            </w:r>
          </w:p>
        </w:tc>
        <w:tc>
          <w:tcPr>
            <w:tcW w:w="1516" w:type="dxa"/>
            <w:tcBorders>
              <w:right w:val="nil"/>
            </w:tcBorders>
          </w:tcPr>
          <w:p>
            <w:pPr>
              <w:pStyle w:val="TableParagraph"/>
              <w:spacing w:before="16"/>
              <w:ind w:left="102"/>
              <w:rPr>
                <w:rFonts w:ascii="Times New Roman" w:hAnsi="Times New Roman"/>
                <w:sz w:val="18"/>
              </w:rPr>
            </w:pPr>
            <w:r>
              <w:rPr>
                <w:rFonts w:ascii="Times New Roman" w:hAnsi="Times New Roman"/>
                <w:sz w:val="18"/>
              </w:rPr>
              <w:t>Aβ</w:t>
            </w:r>
          </w:p>
        </w:tc>
      </w:tr>
      <w:tr>
        <w:trPr>
          <w:trHeight w:val="292" w:hRule="atLeast"/>
        </w:trPr>
        <w:tc>
          <w:tcPr>
            <w:tcW w:w="2307" w:type="dxa"/>
            <w:tcBorders>
              <w:left w:val="nil"/>
            </w:tcBorders>
          </w:tcPr>
          <w:p>
            <w:pPr>
              <w:pStyle w:val="TableParagraph"/>
              <w:spacing w:before="4"/>
              <w:ind w:left="108"/>
              <w:rPr>
                <w:sz w:val="18"/>
              </w:rPr>
            </w:pPr>
            <w:r>
              <w:rPr>
                <w:sz w:val="18"/>
              </w:rPr>
              <w:t>氟</w:t>
            </w:r>
            <w:r>
              <w:rPr>
                <w:rFonts w:ascii="Times New Roman" w:eastAsia="Times New Roman"/>
                <w:sz w:val="18"/>
              </w:rPr>
              <w:t>[18F]</w:t>
            </w:r>
            <w:r>
              <w:rPr>
                <w:sz w:val="18"/>
              </w:rPr>
              <w:t>贝他嗪</w:t>
            </w:r>
          </w:p>
        </w:tc>
        <w:tc>
          <w:tcPr>
            <w:tcW w:w="2784" w:type="dxa"/>
          </w:tcPr>
          <w:p>
            <w:pPr>
              <w:pStyle w:val="TableParagraph"/>
              <w:spacing w:before="4"/>
              <w:ind w:left="100"/>
              <w:rPr>
                <w:sz w:val="18"/>
              </w:rPr>
            </w:pPr>
            <w:r>
              <w:rPr>
                <w:sz w:val="18"/>
              </w:rPr>
              <w:t>原子高科</w:t>
            </w:r>
          </w:p>
        </w:tc>
        <w:tc>
          <w:tcPr>
            <w:tcW w:w="1372" w:type="dxa"/>
          </w:tcPr>
          <w:p>
            <w:pPr>
              <w:pStyle w:val="TableParagraph"/>
              <w:spacing w:before="4"/>
              <w:ind w:left="100"/>
              <w:rPr>
                <w:sz w:val="18"/>
              </w:rPr>
            </w:pPr>
            <w:r>
              <w:rPr>
                <w:sz w:val="18"/>
              </w:rPr>
              <w:t>申报临床</w:t>
            </w:r>
          </w:p>
        </w:tc>
        <w:tc>
          <w:tcPr>
            <w:tcW w:w="1375" w:type="dxa"/>
          </w:tcPr>
          <w:p>
            <w:pPr>
              <w:pStyle w:val="TableParagraph"/>
              <w:spacing w:before="4"/>
              <w:ind w:left="104"/>
              <w:rPr>
                <w:sz w:val="18"/>
              </w:rPr>
            </w:pPr>
            <w:r>
              <w:rPr>
                <w:sz w:val="18"/>
              </w:rPr>
              <w:t>申报临床</w:t>
            </w:r>
          </w:p>
        </w:tc>
        <w:tc>
          <w:tcPr>
            <w:tcW w:w="1516" w:type="dxa"/>
            <w:tcBorders>
              <w:right w:val="nil"/>
            </w:tcBorders>
          </w:tcPr>
          <w:p>
            <w:pPr>
              <w:pStyle w:val="TableParagraph"/>
              <w:spacing w:before="16"/>
              <w:ind w:left="102"/>
              <w:rPr>
                <w:rFonts w:ascii="Times New Roman" w:hAnsi="Times New Roman"/>
                <w:sz w:val="18"/>
              </w:rPr>
            </w:pPr>
            <w:r>
              <w:rPr>
                <w:rFonts w:ascii="Times New Roman" w:hAnsi="Times New Roman"/>
                <w:sz w:val="18"/>
              </w:rPr>
              <w:t>Aβ</w:t>
            </w:r>
          </w:p>
        </w:tc>
      </w:tr>
      <w:tr>
        <w:trPr>
          <w:trHeight w:val="518" w:hRule="atLeast"/>
        </w:trPr>
        <w:tc>
          <w:tcPr>
            <w:tcW w:w="2307" w:type="dxa"/>
            <w:tcBorders>
              <w:left w:val="nil"/>
            </w:tcBorders>
          </w:tcPr>
          <w:p>
            <w:pPr>
              <w:pStyle w:val="TableParagraph"/>
              <w:spacing w:before="129"/>
              <w:ind w:left="108"/>
              <w:rPr>
                <w:rFonts w:ascii="Times New Roman"/>
                <w:sz w:val="18"/>
              </w:rPr>
            </w:pPr>
            <w:r>
              <w:rPr>
                <w:rFonts w:ascii="Times New Roman"/>
                <w:sz w:val="18"/>
              </w:rPr>
              <w:t>18F-flortaucipir</w:t>
            </w:r>
          </w:p>
        </w:tc>
        <w:tc>
          <w:tcPr>
            <w:tcW w:w="2784" w:type="dxa"/>
          </w:tcPr>
          <w:p>
            <w:pPr>
              <w:pStyle w:val="TableParagraph"/>
              <w:spacing w:line="207" w:lineRule="exact"/>
              <w:ind w:left="100"/>
              <w:rPr>
                <w:rFonts w:ascii="Times New Roman"/>
                <w:sz w:val="18"/>
              </w:rPr>
            </w:pPr>
            <w:r>
              <w:rPr>
                <w:rFonts w:ascii="Times New Roman"/>
                <w:sz w:val="18"/>
              </w:rPr>
              <w:t>Siemens Healthineers;Avid</w:t>
            </w:r>
          </w:p>
          <w:p>
            <w:pPr>
              <w:pStyle w:val="TableParagraph"/>
              <w:spacing w:before="53"/>
              <w:ind w:left="100"/>
              <w:rPr>
                <w:rFonts w:ascii="Times New Roman"/>
                <w:sz w:val="18"/>
              </w:rPr>
            </w:pPr>
            <w:r>
              <w:rPr>
                <w:rFonts w:ascii="Times New Roman"/>
                <w:sz w:val="18"/>
              </w:rPr>
              <w:t>Radiopharmaceuticals</w:t>
            </w:r>
          </w:p>
        </w:tc>
        <w:tc>
          <w:tcPr>
            <w:tcW w:w="1372" w:type="dxa"/>
          </w:tcPr>
          <w:p>
            <w:pPr>
              <w:pStyle w:val="TableParagraph"/>
              <w:spacing w:before="115"/>
              <w:ind w:left="100"/>
              <w:rPr>
                <w:sz w:val="18"/>
              </w:rPr>
            </w:pPr>
            <w:r>
              <w:rPr>
                <w:sz w:val="18"/>
              </w:rPr>
              <w:t>批准上市</w:t>
            </w:r>
          </w:p>
        </w:tc>
        <w:tc>
          <w:tcPr>
            <w:tcW w:w="1375" w:type="dxa"/>
          </w:tcPr>
          <w:p>
            <w:pPr>
              <w:pStyle w:val="TableParagraph"/>
              <w:spacing w:before="115"/>
              <w:ind w:left="104"/>
              <w:rPr>
                <w:sz w:val="18"/>
              </w:rPr>
            </w:pPr>
            <w:r>
              <w:rPr>
                <w:sz w:val="18"/>
              </w:rPr>
              <w:t>无申报</w:t>
            </w:r>
          </w:p>
        </w:tc>
        <w:tc>
          <w:tcPr>
            <w:tcW w:w="1516" w:type="dxa"/>
            <w:tcBorders>
              <w:right w:val="nil"/>
            </w:tcBorders>
          </w:tcPr>
          <w:p>
            <w:pPr>
              <w:pStyle w:val="TableParagraph"/>
              <w:spacing w:before="129"/>
              <w:ind w:left="102"/>
              <w:rPr>
                <w:rFonts w:ascii="Times New Roman"/>
                <w:sz w:val="18"/>
              </w:rPr>
            </w:pPr>
            <w:r>
              <w:rPr>
                <w:rFonts w:ascii="Times New Roman"/>
                <w:sz w:val="18"/>
              </w:rPr>
              <w:t>Tau</w:t>
            </w:r>
          </w:p>
        </w:tc>
      </w:tr>
      <w:tr>
        <w:trPr>
          <w:trHeight w:val="808" w:hRule="atLeast"/>
        </w:trPr>
        <w:tc>
          <w:tcPr>
            <w:tcW w:w="2307" w:type="dxa"/>
            <w:tcBorders>
              <w:left w:val="nil"/>
            </w:tcBorders>
          </w:tcPr>
          <w:p>
            <w:pPr>
              <w:pStyle w:val="TableParagraph"/>
              <w:spacing w:before="18"/>
              <w:rPr>
                <w:rFonts w:ascii="Microsoft JhengHei"/>
                <w:b/>
                <w:sz w:val="14"/>
              </w:rPr>
            </w:pPr>
          </w:p>
          <w:p>
            <w:pPr>
              <w:pStyle w:val="TableParagraph"/>
              <w:ind w:left="108"/>
              <w:rPr>
                <w:rFonts w:ascii="Times New Roman"/>
                <w:sz w:val="18"/>
              </w:rPr>
            </w:pPr>
            <w:r>
              <w:rPr>
                <w:rFonts w:ascii="Times New Roman"/>
                <w:sz w:val="18"/>
              </w:rPr>
              <w:t>florzolotau (18F)</w:t>
            </w:r>
          </w:p>
        </w:tc>
        <w:tc>
          <w:tcPr>
            <w:tcW w:w="2784" w:type="dxa"/>
          </w:tcPr>
          <w:p>
            <w:pPr>
              <w:pStyle w:val="TableParagraph"/>
              <w:spacing w:line="207" w:lineRule="exact"/>
              <w:ind w:left="100"/>
              <w:rPr>
                <w:rFonts w:ascii="Times New Roman"/>
                <w:sz w:val="18"/>
              </w:rPr>
            </w:pPr>
            <w:r>
              <w:rPr>
                <w:rFonts w:ascii="Times New Roman"/>
                <w:sz w:val="18"/>
              </w:rPr>
              <w:t>Biogen;Molecular</w:t>
            </w:r>
            <w:r>
              <w:rPr>
                <w:rFonts w:ascii="Times New Roman"/>
                <w:spacing w:val="-4"/>
                <w:sz w:val="18"/>
              </w:rPr>
              <w:t> </w:t>
            </w:r>
            <w:r>
              <w:rPr>
                <w:rFonts w:ascii="Times New Roman"/>
                <w:sz w:val="18"/>
              </w:rPr>
              <w:t>NeuroImaging;</w:t>
            </w:r>
          </w:p>
          <w:p>
            <w:pPr>
              <w:pStyle w:val="TableParagraph"/>
              <w:spacing w:line="260" w:lineRule="atLeast" w:before="25"/>
              <w:ind w:left="100" w:right="241"/>
              <w:rPr>
                <w:rFonts w:ascii="Times New Roman" w:eastAsia="Times New Roman"/>
                <w:sz w:val="18"/>
              </w:rPr>
            </w:pPr>
            <w:r>
              <w:rPr>
                <w:sz w:val="18"/>
              </w:rPr>
              <w:t>东诚药业</w:t>
            </w:r>
            <w:r>
              <w:rPr>
                <w:rFonts w:ascii="Times New Roman" w:eastAsia="Times New Roman"/>
                <w:sz w:val="18"/>
              </w:rPr>
              <w:t>;</w:t>
            </w:r>
            <w:r>
              <w:rPr>
                <w:sz w:val="18"/>
              </w:rPr>
              <w:t>新旭生技</w:t>
            </w:r>
            <w:r>
              <w:rPr>
                <w:rFonts w:ascii="Times New Roman" w:eastAsia="Times New Roman"/>
                <w:sz w:val="18"/>
              </w:rPr>
              <w:t>;National Institute of Radiological</w:t>
            </w:r>
            <w:r>
              <w:rPr>
                <w:rFonts w:ascii="Times New Roman" w:eastAsia="Times New Roman"/>
                <w:spacing w:val="-12"/>
                <w:sz w:val="18"/>
              </w:rPr>
              <w:t> </w:t>
            </w:r>
            <w:r>
              <w:rPr>
                <w:rFonts w:ascii="Times New Roman" w:eastAsia="Times New Roman"/>
                <w:sz w:val="18"/>
              </w:rPr>
              <w:t>Sciences</w:t>
            </w:r>
          </w:p>
        </w:tc>
        <w:tc>
          <w:tcPr>
            <w:tcW w:w="1372" w:type="dxa"/>
          </w:tcPr>
          <w:p>
            <w:pPr>
              <w:pStyle w:val="TableParagraph"/>
              <w:spacing w:before="3"/>
              <w:rPr>
                <w:rFonts w:ascii="Microsoft JhengHei"/>
                <w:b/>
                <w:sz w:val="14"/>
              </w:rPr>
            </w:pPr>
          </w:p>
          <w:p>
            <w:pPr>
              <w:pStyle w:val="TableParagraph"/>
              <w:spacing w:before="1"/>
              <w:ind w:left="100"/>
              <w:rPr>
                <w:sz w:val="18"/>
              </w:rPr>
            </w:pPr>
            <w:r>
              <w:rPr>
                <w:rFonts w:ascii="Times New Roman" w:eastAsia="Times New Roman"/>
                <w:sz w:val="18"/>
              </w:rPr>
              <w:t>III </w:t>
            </w:r>
            <w:r>
              <w:rPr>
                <w:sz w:val="18"/>
              </w:rPr>
              <w:t>期临床</w:t>
            </w:r>
          </w:p>
        </w:tc>
        <w:tc>
          <w:tcPr>
            <w:tcW w:w="1375" w:type="dxa"/>
          </w:tcPr>
          <w:p>
            <w:pPr>
              <w:pStyle w:val="TableParagraph"/>
              <w:spacing w:before="3"/>
              <w:rPr>
                <w:rFonts w:ascii="Microsoft JhengHei"/>
                <w:b/>
                <w:sz w:val="14"/>
              </w:rPr>
            </w:pPr>
          </w:p>
          <w:p>
            <w:pPr>
              <w:pStyle w:val="TableParagraph"/>
              <w:spacing w:before="1"/>
              <w:ind w:left="104"/>
              <w:rPr>
                <w:sz w:val="18"/>
              </w:rPr>
            </w:pPr>
            <w:r>
              <w:rPr>
                <w:rFonts w:ascii="Times New Roman" w:eastAsia="Times New Roman"/>
                <w:sz w:val="18"/>
              </w:rPr>
              <w:t>III </w:t>
            </w:r>
            <w:r>
              <w:rPr>
                <w:sz w:val="18"/>
              </w:rPr>
              <w:t>期临床</w:t>
            </w:r>
          </w:p>
        </w:tc>
        <w:tc>
          <w:tcPr>
            <w:tcW w:w="1516" w:type="dxa"/>
            <w:tcBorders>
              <w:right w:val="nil"/>
            </w:tcBorders>
          </w:tcPr>
          <w:p>
            <w:pPr>
              <w:pStyle w:val="TableParagraph"/>
              <w:spacing w:before="18"/>
              <w:rPr>
                <w:rFonts w:ascii="Microsoft JhengHei"/>
                <w:b/>
                <w:sz w:val="14"/>
              </w:rPr>
            </w:pPr>
          </w:p>
          <w:p>
            <w:pPr>
              <w:pStyle w:val="TableParagraph"/>
              <w:ind w:left="102"/>
              <w:rPr>
                <w:rFonts w:ascii="Times New Roman"/>
                <w:sz w:val="18"/>
              </w:rPr>
            </w:pPr>
            <w:r>
              <w:rPr>
                <w:rFonts w:ascii="Times New Roman"/>
                <w:sz w:val="18"/>
              </w:rPr>
              <w:t>Tau</w:t>
            </w:r>
          </w:p>
        </w:tc>
      </w:tr>
      <w:tr>
        <w:trPr>
          <w:trHeight w:val="517" w:hRule="atLeast"/>
        </w:trPr>
        <w:tc>
          <w:tcPr>
            <w:tcW w:w="2307" w:type="dxa"/>
            <w:tcBorders>
              <w:left w:val="nil"/>
            </w:tcBorders>
          </w:tcPr>
          <w:p>
            <w:pPr>
              <w:pStyle w:val="TableParagraph"/>
              <w:spacing w:before="129"/>
              <w:ind w:left="108"/>
              <w:rPr>
                <w:rFonts w:ascii="Times New Roman"/>
                <w:sz w:val="18"/>
              </w:rPr>
            </w:pPr>
            <w:r>
              <w:rPr>
                <w:rFonts w:ascii="Times New Roman"/>
                <w:sz w:val="18"/>
              </w:rPr>
              <w:t>izaflortaucipir (18F)</w:t>
            </w:r>
          </w:p>
        </w:tc>
        <w:tc>
          <w:tcPr>
            <w:tcW w:w="2784" w:type="dxa"/>
          </w:tcPr>
          <w:p>
            <w:pPr>
              <w:pStyle w:val="TableParagraph"/>
              <w:spacing w:line="207" w:lineRule="exact"/>
              <w:ind w:left="100"/>
              <w:rPr>
                <w:rFonts w:ascii="Times New Roman"/>
                <w:sz w:val="18"/>
              </w:rPr>
            </w:pPr>
            <w:r>
              <w:rPr>
                <w:rFonts w:ascii="Times New Roman"/>
                <w:sz w:val="18"/>
              </w:rPr>
              <w:t>Life Molecular Imaging (formerly</w:t>
            </w:r>
          </w:p>
          <w:p>
            <w:pPr>
              <w:pStyle w:val="TableParagraph"/>
              <w:spacing w:before="52"/>
              <w:ind w:left="100"/>
              <w:rPr>
                <w:rFonts w:ascii="Times New Roman"/>
                <w:sz w:val="18"/>
              </w:rPr>
            </w:pPr>
            <w:r>
              <w:rPr>
                <w:rFonts w:ascii="Times New Roman"/>
                <w:sz w:val="18"/>
              </w:rPr>
              <w:t>Piramal Imaging);AC Immune</w:t>
            </w:r>
          </w:p>
        </w:tc>
        <w:tc>
          <w:tcPr>
            <w:tcW w:w="1372" w:type="dxa"/>
          </w:tcPr>
          <w:p>
            <w:pPr>
              <w:pStyle w:val="TableParagraph"/>
              <w:spacing w:before="117"/>
              <w:ind w:left="100"/>
              <w:rPr>
                <w:sz w:val="18"/>
              </w:rPr>
            </w:pPr>
            <w:r>
              <w:rPr>
                <w:rFonts w:ascii="Times New Roman" w:eastAsia="Times New Roman"/>
                <w:sz w:val="18"/>
              </w:rPr>
              <w:t>III </w:t>
            </w:r>
            <w:r>
              <w:rPr>
                <w:sz w:val="18"/>
              </w:rPr>
              <w:t>期临床</w:t>
            </w:r>
          </w:p>
        </w:tc>
        <w:tc>
          <w:tcPr>
            <w:tcW w:w="1375" w:type="dxa"/>
          </w:tcPr>
          <w:p>
            <w:pPr>
              <w:pStyle w:val="TableParagraph"/>
              <w:spacing w:before="117"/>
              <w:ind w:left="104"/>
              <w:rPr>
                <w:sz w:val="18"/>
              </w:rPr>
            </w:pPr>
            <w:r>
              <w:rPr>
                <w:sz w:val="18"/>
              </w:rPr>
              <w:t>无申报</w:t>
            </w:r>
          </w:p>
        </w:tc>
        <w:tc>
          <w:tcPr>
            <w:tcW w:w="1516" w:type="dxa"/>
            <w:tcBorders>
              <w:right w:val="nil"/>
            </w:tcBorders>
          </w:tcPr>
          <w:p>
            <w:pPr>
              <w:pStyle w:val="TableParagraph"/>
              <w:spacing w:before="129"/>
              <w:ind w:left="102"/>
              <w:rPr>
                <w:rFonts w:ascii="Times New Roman"/>
                <w:sz w:val="18"/>
              </w:rPr>
            </w:pPr>
            <w:r>
              <w:rPr>
                <w:rFonts w:ascii="Times New Roman"/>
                <w:sz w:val="18"/>
              </w:rPr>
              <w:t>Tau</w:t>
            </w:r>
          </w:p>
        </w:tc>
      </w:tr>
      <w:tr>
        <w:trPr>
          <w:trHeight w:val="292" w:hRule="atLeast"/>
        </w:trPr>
        <w:tc>
          <w:tcPr>
            <w:tcW w:w="2307" w:type="dxa"/>
            <w:tcBorders>
              <w:left w:val="nil"/>
            </w:tcBorders>
          </w:tcPr>
          <w:p>
            <w:pPr>
              <w:pStyle w:val="TableParagraph"/>
              <w:spacing w:before="16"/>
              <w:ind w:left="108"/>
              <w:rPr>
                <w:rFonts w:ascii="Times New Roman"/>
                <w:sz w:val="18"/>
              </w:rPr>
            </w:pPr>
            <w:r>
              <w:rPr>
                <w:rFonts w:ascii="Times New Roman"/>
                <w:sz w:val="18"/>
              </w:rPr>
              <w:t>18F-THK-5351</w:t>
            </w:r>
          </w:p>
        </w:tc>
        <w:tc>
          <w:tcPr>
            <w:tcW w:w="2784" w:type="dxa"/>
          </w:tcPr>
          <w:p>
            <w:pPr>
              <w:pStyle w:val="TableParagraph"/>
              <w:spacing w:before="16"/>
              <w:ind w:left="100"/>
              <w:rPr>
                <w:rFonts w:ascii="Times New Roman"/>
                <w:sz w:val="18"/>
              </w:rPr>
            </w:pPr>
            <w:r>
              <w:rPr>
                <w:rFonts w:ascii="Times New Roman"/>
                <w:sz w:val="18"/>
              </w:rPr>
              <w:t>Tohoku University</w:t>
            </w:r>
          </w:p>
        </w:tc>
        <w:tc>
          <w:tcPr>
            <w:tcW w:w="1372" w:type="dxa"/>
          </w:tcPr>
          <w:p>
            <w:pPr>
              <w:pStyle w:val="TableParagraph"/>
              <w:spacing w:before="2"/>
              <w:ind w:left="100"/>
              <w:rPr>
                <w:sz w:val="18"/>
              </w:rPr>
            </w:pPr>
            <w:r>
              <w:rPr>
                <w:rFonts w:ascii="Times New Roman" w:eastAsia="Times New Roman"/>
                <w:sz w:val="18"/>
              </w:rPr>
              <w:t>II </w:t>
            </w:r>
            <w:r>
              <w:rPr>
                <w:sz w:val="18"/>
              </w:rPr>
              <w:t>期临床</w:t>
            </w:r>
          </w:p>
        </w:tc>
        <w:tc>
          <w:tcPr>
            <w:tcW w:w="1375" w:type="dxa"/>
          </w:tcPr>
          <w:p>
            <w:pPr>
              <w:pStyle w:val="TableParagraph"/>
              <w:spacing w:before="2"/>
              <w:ind w:left="104"/>
              <w:rPr>
                <w:sz w:val="18"/>
              </w:rPr>
            </w:pPr>
            <w:r>
              <w:rPr>
                <w:sz w:val="18"/>
              </w:rPr>
              <w:t>无申报</w:t>
            </w:r>
          </w:p>
        </w:tc>
        <w:tc>
          <w:tcPr>
            <w:tcW w:w="1516" w:type="dxa"/>
            <w:tcBorders>
              <w:right w:val="nil"/>
            </w:tcBorders>
          </w:tcPr>
          <w:p>
            <w:pPr>
              <w:pStyle w:val="TableParagraph"/>
              <w:spacing w:before="16"/>
              <w:ind w:left="102"/>
              <w:rPr>
                <w:rFonts w:ascii="Times New Roman"/>
                <w:sz w:val="18"/>
              </w:rPr>
            </w:pPr>
            <w:r>
              <w:rPr>
                <w:rFonts w:ascii="Times New Roman"/>
                <w:sz w:val="18"/>
              </w:rPr>
              <w:t>Tau</w:t>
            </w:r>
          </w:p>
        </w:tc>
      </w:tr>
      <w:tr>
        <w:trPr>
          <w:trHeight w:val="808" w:hRule="atLeast"/>
        </w:trPr>
        <w:tc>
          <w:tcPr>
            <w:tcW w:w="2307" w:type="dxa"/>
            <w:tcBorders>
              <w:left w:val="nil"/>
            </w:tcBorders>
          </w:tcPr>
          <w:p>
            <w:pPr>
              <w:pStyle w:val="TableParagraph"/>
              <w:spacing w:before="18"/>
              <w:rPr>
                <w:rFonts w:ascii="Microsoft JhengHei"/>
                <w:b/>
                <w:sz w:val="14"/>
              </w:rPr>
            </w:pPr>
          </w:p>
          <w:p>
            <w:pPr>
              <w:pStyle w:val="TableParagraph"/>
              <w:ind w:left="108"/>
              <w:rPr>
                <w:rFonts w:ascii="Times New Roman"/>
                <w:sz w:val="18"/>
              </w:rPr>
            </w:pPr>
            <w:r>
              <w:rPr>
                <w:rFonts w:ascii="Times New Roman"/>
                <w:sz w:val="18"/>
              </w:rPr>
              <w:t>[18F]-MK-6240</w:t>
            </w:r>
          </w:p>
        </w:tc>
        <w:tc>
          <w:tcPr>
            <w:tcW w:w="2784" w:type="dxa"/>
          </w:tcPr>
          <w:p>
            <w:pPr>
              <w:pStyle w:val="TableParagraph"/>
              <w:spacing w:before="2"/>
              <w:ind w:left="100"/>
              <w:rPr>
                <w:rFonts w:ascii="Times New Roman" w:eastAsia="Times New Roman"/>
                <w:sz w:val="18"/>
              </w:rPr>
            </w:pPr>
            <w:r>
              <w:rPr>
                <w:sz w:val="18"/>
              </w:rPr>
              <w:t>先通医药</w:t>
            </w:r>
            <w:r>
              <w:rPr>
                <w:rFonts w:ascii="Times New Roman" w:eastAsia="Times New Roman"/>
                <w:sz w:val="18"/>
              </w:rPr>
              <w:t>;Merck &amp; Co.;Cerveau</w:t>
            </w:r>
          </w:p>
          <w:p>
            <w:pPr>
              <w:pStyle w:val="TableParagraph"/>
              <w:spacing w:line="250" w:lineRule="atLeast" w:before="17"/>
              <w:ind w:left="100"/>
              <w:rPr>
                <w:rFonts w:ascii="Times New Roman"/>
                <w:sz w:val="18"/>
              </w:rPr>
            </w:pPr>
            <w:r>
              <w:rPr>
                <w:rFonts w:ascii="Times New Roman"/>
                <w:sz w:val="18"/>
              </w:rPr>
              <w:t>Technologies;Roche;Janssen Pharmaceuticals</w:t>
            </w:r>
          </w:p>
        </w:tc>
        <w:tc>
          <w:tcPr>
            <w:tcW w:w="1372" w:type="dxa"/>
          </w:tcPr>
          <w:p>
            <w:pPr>
              <w:pStyle w:val="TableParagraph"/>
              <w:spacing w:before="3"/>
              <w:rPr>
                <w:rFonts w:ascii="Microsoft JhengHei"/>
                <w:b/>
                <w:sz w:val="14"/>
              </w:rPr>
            </w:pPr>
          </w:p>
          <w:p>
            <w:pPr>
              <w:pStyle w:val="TableParagraph"/>
              <w:spacing w:before="1"/>
              <w:ind w:left="100"/>
              <w:rPr>
                <w:sz w:val="18"/>
              </w:rPr>
            </w:pPr>
            <w:r>
              <w:rPr>
                <w:rFonts w:ascii="Times New Roman" w:eastAsia="Times New Roman"/>
                <w:sz w:val="18"/>
              </w:rPr>
              <w:t>II </w:t>
            </w:r>
            <w:r>
              <w:rPr>
                <w:sz w:val="18"/>
              </w:rPr>
              <w:t>期临床</w:t>
            </w:r>
          </w:p>
        </w:tc>
        <w:tc>
          <w:tcPr>
            <w:tcW w:w="1375" w:type="dxa"/>
          </w:tcPr>
          <w:p>
            <w:pPr>
              <w:pStyle w:val="TableParagraph"/>
              <w:spacing w:before="3"/>
              <w:rPr>
                <w:rFonts w:ascii="Microsoft JhengHei"/>
                <w:b/>
                <w:sz w:val="14"/>
              </w:rPr>
            </w:pPr>
          </w:p>
          <w:p>
            <w:pPr>
              <w:pStyle w:val="TableParagraph"/>
              <w:spacing w:before="1"/>
              <w:ind w:left="104"/>
              <w:rPr>
                <w:sz w:val="18"/>
              </w:rPr>
            </w:pPr>
            <w:r>
              <w:rPr>
                <w:rFonts w:ascii="Times New Roman" w:eastAsia="Times New Roman"/>
                <w:sz w:val="18"/>
              </w:rPr>
              <w:t>I </w:t>
            </w:r>
            <w:r>
              <w:rPr>
                <w:sz w:val="18"/>
              </w:rPr>
              <w:t>期临床</w:t>
            </w:r>
          </w:p>
        </w:tc>
        <w:tc>
          <w:tcPr>
            <w:tcW w:w="1516" w:type="dxa"/>
            <w:tcBorders>
              <w:right w:val="nil"/>
            </w:tcBorders>
          </w:tcPr>
          <w:p>
            <w:pPr>
              <w:pStyle w:val="TableParagraph"/>
              <w:spacing w:before="18"/>
              <w:rPr>
                <w:rFonts w:ascii="Microsoft JhengHei"/>
                <w:b/>
                <w:sz w:val="14"/>
              </w:rPr>
            </w:pPr>
          </w:p>
          <w:p>
            <w:pPr>
              <w:pStyle w:val="TableParagraph"/>
              <w:ind w:left="102"/>
              <w:rPr>
                <w:rFonts w:ascii="Times New Roman"/>
                <w:sz w:val="18"/>
              </w:rPr>
            </w:pPr>
            <w:r>
              <w:rPr>
                <w:rFonts w:ascii="Times New Roman"/>
                <w:sz w:val="18"/>
              </w:rPr>
              <w:t>Tau</w:t>
            </w:r>
          </w:p>
        </w:tc>
      </w:tr>
      <w:tr>
        <w:trPr>
          <w:trHeight w:val="292" w:hRule="atLeast"/>
        </w:trPr>
        <w:tc>
          <w:tcPr>
            <w:tcW w:w="2307" w:type="dxa"/>
            <w:tcBorders>
              <w:left w:val="nil"/>
            </w:tcBorders>
          </w:tcPr>
          <w:p>
            <w:pPr>
              <w:pStyle w:val="TableParagraph"/>
              <w:spacing w:before="16"/>
              <w:ind w:left="108"/>
              <w:rPr>
                <w:rFonts w:ascii="Times New Roman"/>
                <w:sz w:val="18"/>
              </w:rPr>
            </w:pPr>
            <w:r>
              <w:rPr>
                <w:rFonts w:ascii="Times New Roman"/>
                <w:sz w:val="18"/>
              </w:rPr>
              <w:t>[18F]GTP1</w:t>
            </w:r>
          </w:p>
        </w:tc>
        <w:tc>
          <w:tcPr>
            <w:tcW w:w="2784" w:type="dxa"/>
          </w:tcPr>
          <w:p>
            <w:pPr>
              <w:pStyle w:val="TableParagraph"/>
              <w:spacing w:before="16"/>
              <w:ind w:left="100"/>
              <w:rPr>
                <w:rFonts w:ascii="Times New Roman"/>
                <w:sz w:val="18"/>
              </w:rPr>
            </w:pPr>
            <w:r>
              <w:rPr>
                <w:rFonts w:ascii="Times New Roman"/>
                <w:sz w:val="18"/>
              </w:rPr>
              <w:t>Genentech</w:t>
            </w:r>
          </w:p>
        </w:tc>
        <w:tc>
          <w:tcPr>
            <w:tcW w:w="1372" w:type="dxa"/>
          </w:tcPr>
          <w:p>
            <w:pPr>
              <w:pStyle w:val="TableParagraph"/>
              <w:spacing w:before="2"/>
              <w:ind w:left="100"/>
              <w:rPr>
                <w:sz w:val="18"/>
              </w:rPr>
            </w:pPr>
            <w:r>
              <w:rPr>
                <w:rFonts w:ascii="Times New Roman" w:eastAsia="Times New Roman"/>
                <w:sz w:val="18"/>
              </w:rPr>
              <w:t>II </w:t>
            </w:r>
            <w:r>
              <w:rPr>
                <w:sz w:val="18"/>
              </w:rPr>
              <w:t>期临床</w:t>
            </w:r>
          </w:p>
        </w:tc>
        <w:tc>
          <w:tcPr>
            <w:tcW w:w="1375" w:type="dxa"/>
          </w:tcPr>
          <w:p>
            <w:pPr>
              <w:pStyle w:val="TableParagraph"/>
              <w:spacing w:before="2"/>
              <w:ind w:left="104"/>
              <w:rPr>
                <w:sz w:val="18"/>
              </w:rPr>
            </w:pPr>
            <w:r>
              <w:rPr>
                <w:sz w:val="18"/>
              </w:rPr>
              <w:t>无申报</w:t>
            </w:r>
          </w:p>
        </w:tc>
        <w:tc>
          <w:tcPr>
            <w:tcW w:w="1516" w:type="dxa"/>
            <w:tcBorders>
              <w:right w:val="nil"/>
            </w:tcBorders>
          </w:tcPr>
          <w:p>
            <w:pPr>
              <w:pStyle w:val="TableParagraph"/>
              <w:spacing w:before="16"/>
              <w:ind w:left="102"/>
              <w:rPr>
                <w:rFonts w:ascii="Times New Roman"/>
                <w:sz w:val="18"/>
              </w:rPr>
            </w:pPr>
            <w:r>
              <w:rPr>
                <w:rFonts w:ascii="Times New Roman"/>
                <w:sz w:val="18"/>
              </w:rPr>
              <w:t>Tau</w:t>
            </w:r>
          </w:p>
        </w:tc>
      </w:tr>
      <w:tr>
        <w:trPr>
          <w:trHeight w:val="292" w:hRule="atLeast"/>
        </w:trPr>
        <w:tc>
          <w:tcPr>
            <w:tcW w:w="2307" w:type="dxa"/>
            <w:tcBorders>
              <w:left w:val="nil"/>
            </w:tcBorders>
          </w:tcPr>
          <w:p>
            <w:pPr>
              <w:pStyle w:val="TableParagraph"/>
              <w:spacing w:before="16"/>
              <w:ind w:left="108"/>
              <w:rPr>
                <w:rFonts w:ascii="Times New Roman"/>
                <w:sz w:val="18"/>
              </w:rPr>
            </w:pPr>
            <w:r>
              <w:rPr>
                <w:rFonts w:ascii="Times New Roman"/>
                <w:sz w:val="18"/>
              </w:rPr>
              <w:t>11C-RO6924963</w:t>
            </w:r>
          </w:p>
        </w:tc>
        <w:tc>
          <w:tcPr>
            <w:tcW w:w="2784" w:type="dxa"/>
          </w:tcPr>
          <w:p>
            <w:pPr>
              <w:pStyle w:val="TableParagraph"/>
              <w:spacing w:before="16"/>
              <w:ind w:left="100"/>
              <w:rPr>
                <w:rFonts w:ascii="Times New Roman"/>
                <w:sz w:val="18"/>
              </w:rPr>
            </w:pPr>
            <w:r>
              <w:rPr>
                <w:rFonts w:ascii="Times New Roman"/>
                <w:sz w:val="18"/>
              </w:rPr>
              <w:t>Roche</w:t>
            </w:r>
          </w:p>
        </w:tc>
        <w:tc>
          <w:tcPr>
            <w:tcW w:w="1372" w:type="dxa"/>
          </w:tcPr>
          <w:p>
            <w:pPr>
              <w:pStyle w:val="TableParagraph"/>
              <w:spacing w:before="2"/>
              <w:ind w:left="100"/>
              <w:rPr>
                <w:sz w:val="18"/>
              </w:rPr>
            </w:pPr>
            <w:r>
              <w:rPr>
                <w:rFonts w:ascii="Times New Roman" w:eastAsia="Times New Roman"/>
                <w:sz w:val="18"/>
              </w:rPr>
              <w:t>I </w:t>
            </w:r>
            <w:r>
              <w:rPr>
                <w:sz w:val="18"/>
              </w:rPr>
              <w:t>期临床</w:t>
            </w:r>
          </w:p>
        </w:tc>
        <w:tc>
          <w:tcPr>
            <w:tcW w:w="1375" w:type="dxa"/>
          </w:tcPr>
          <w:p>
            <w:pPr>
              <w:pStyle w:val="TableParagraph"/>
              <w:spacing w:before="2"/>
              <w:ind w:left="104"/>
              <w:rPr>
                <w:sz w:val="18"/>
              </w:rPr>
            </w:pPr>
            <w:r>
              <w:rPr>
                <w:sz w:val="18"/>
              </w:rPr>
              <w:t>无申报</w:t>
            </w:r>
          </w:p>
        </w:tc>
        <w:tc>
          <w:tcPr>
            <w:tcW w:w="1516" w:type="dxa"/>
            <w:tcBorders>
              <w:right w:val="nil"/>
            </w:tcBorders>
          </w:tcPr>
          <w:p>
            <w:pPr>
              <w:pStyle w:val="TableParagraph"/>
              <w:spacing w:before="16"/>
              <w:ind w:left="102"/>
              <w:rPr>
                <w:rFonts w:ascii="Times New Roman"/>
                <w:sz w:val="18"/>
              </w:rPr>
            </w:pPr>
            <w:r>
              <w:rPr>
                <w:rFonts w:ascii="Times New Roman"/>
                <w:sz w:val="18"/>
              </w:rPr>
              <w:t>Tau</w:t>
            </w:r>
          </w:p>
        </w:tc>
      </w:tr>
      <w:tr>
        <w:trPr>
          <w:trHeight w:val="292" w:hRule="atLeast"/>
        </w:trPr>
        <w:tc>
          <w:tcPr>
            <w:tcW w:w="2307" w:type="dxa"/>
            <w:tcBorders>
              <w:left w:val="nil"/>
            </w:tcBorders>
          </w:tcPr>
          <w:p>
            <w:pPr>
              <w:pStyle w:val="TableParagraph"/>
              <w:spacing w:before="17"/>
              <w:ind w:left="108"/>
              <w:rPr>
                <w:rFonts w:ascii="Times New Roman"/>
                <w:sz w:val="18"/>
              </w:rPr>
            </w:pPr>
            <w:r>
              <w:rPr>
                <w:rFonts w:ascii="Times New Roman"/>
                <w:sz w:val="18"/>
              </w:rPr>
              <w:t>11C-RO6931643</w:t>
            </w:r>
          </w:p>
        </w:tc>
        <w:tc>
          <w:tcPr>
            <w:tcW w:w="2784" w:type="dxa"/>
          </w:tcPr>
          <w:p>
            <w:pPr>
              <w:pStyle w:val="TableParagraph"/>
              <w:spacing w:before="17"/>
              <w:ind w:left="100"/>
              <w:rPr>
                <w:rFonts w:ascii="Times New Roman"/>
                <w:sz w:val="18"/>
              </w:rPr>
            </w:pPr>
            <w:r>
              <w:rPr>
                <w:rFonts w:ascii="Times New Roman"/>
                <w:sz w:val="18"/>
              </w:rPr>
              <w:t>Roche</w:t>
            </w:r>
          </w:p>
        </w:tc>
        <w:tc>
          <w:tcPr>
            <w:tcW w:w="1372" w:type="dxa"/>
          </w:tcPr>
          <w:p>
            <w:pPr>
              <w:pStyle w:val="TableParagraph"/>
              <w:spacing w:before="2"/>
              <w:ind w:left="100"/>
              <w:rPr>
                <w:sz w:val="18"/>
              </w:rPr>
            </w:pPr>
            <w:r>
              <w:rPr>
                <w:rFonts w:ascii="Times New Roman" w:eastAsia="Times New Roman"/>
                <w:sz w:val="18"/>
              </w:rPr>
              <w:t>I </w:t>
            </w:r>
            <w:r>
              <w:rPr>
                <w:sz w:val="18"/>
              </w:rPr>
              <w:t>期临床</w:t>
            </w:r>
          </w:p>
        </w:tc>
        <w:tc>
          <w:tcPr>
            <w:tcW w:w="1375" w:type="dxa"/>
          </w:tcPr>
          <w:p>
            <w:pPr>
              <w:pStyle w:val="TableParagraph"/>
              <w:spacing w:before="2"/>
              <w:ind w:left="104"/>
              <w:rPr>
                <w:sz w:val="18"/>
              </w:rPr>
            </w:pPr>
            <w:r>
              <w:rPr>
                <w:sz w:val="18"/>
              </w:rPr>
              <w:t>无申报</w:t>
            </w:r>
          </w:p>
        </w:tc>
        <w:tc>
          <w:tcPr>
            <w:tcW w:w="1516" w:type="dxa"/>
            <w:tcBorders>
              <w:right w:val="nil"/>
            </w:tcBorders>
          </w:tcPr>
          <w:p>
            <w:pPr>
              <w:pStyle w:val="TableParagraph"/>
              <w:spacing w:before="17"/>
              <w:ind w:left="102"/>
              <w:rPr>
                <w:rFonts w:ascii="Times New Roman"/>
                <w:sz w:val="18"/>
              </w:rPr>
            </w:pPr>
            <w:r>
              <w:rPr>
                <w:rFonts w:ascii="Times New Roman"/>
                <w:sz w:val="18"/>
              </w:rPr>
              <w:t>Tau</w:t>
            </w:r>
          </w:p>
        </w:tc>
      </w:tr>
    </w:tbl>
    <w:p>
      <w:pPr>
        <w:spacing w:after="0"/>
        <w:rPr>
          <w:rFonts w:ascii="Times New Roman"/>
          <w:sz w:val="18"/>
        </w:rPr>
        <w:sectPr>
          <w:pgSz w:w="11910" w:h="16840"/>
          <w:pgMar w:header="868" w:footer="1201" w:top="1400" w:bottom="1400" w:left="240" w:right="400"/>
        </w:sectPr>
      </w:pPr>
    </w:p>
    <w:p>
      <w:pPr>
        <w:pStyle w:val="BodyText"/>
        <w:spacing w:before="5"/>
        <w:rPr>
          <w:rFonts w:ascii="Microsoft JhengHei"/>
          <w:b/>
          <w:sz w:val="9"/>
        </w:rPr>
      </w:pPr>
    </w:p>
    <w:tbl>
      <w:tblPr>
        <w:tblW w:w="0" w:type="auto"/>
        <w:jc w:val="left"/>
        <w:tblInd w:w="621" w:type="dxa"/>
        <w:tblBorders>
          <w:top w:val="single" w:sz="6" w:space="0" w:color="333366"/>
          <w:left w:val="single" w:sz="6" w:space="0" w:color="333366"/>
          <w:bottom w:val="single" w:sz="6" w:space="0" w:color="333366"/>
          <w:right w:val="single" w:sz="6" w:space="0" w:color="333366"/>
          <w:insideH w:val="single" w:sz="6" w:space="0" w:color="333366"/>
          <w:insideV w:val="single" w:sz="6" w:space="0" w:color="333366"/>
        </w:tblBorders>
        <w:tblLayout w:type="fixed"/>
        <w:tblCellMar>
          <w:top w:w="0" w:type="dxa"/>
          <w:left w:w="0" w:type="dxa"/>
          <w:bottom w:w="0" w:type="dxa"/>
          <w:right w:w="0" w:type="dxa"/>
        </w:tblCellMar>
        <w:tblLook w:val="01E0"/>
      </w:tblPr>
      <w:tblGrid>
        <w:gridCol w:w="622"/>
        <w:gridCol w:w="2307"/>
        <w:gridCol w:w="2784"/>
        <w:gridCol w:w="1372"/>
        <w:gridCol w:w="1375"/>
        <w:gridCol w:w="1516"/>
        <w:gridCol w:w="181"/>
      </w:tblGrid>
      <w:tr>
        <w:trPr>
          <w:trHeight w:val="266" w:hRule="atLeast"/>
        </w:trPr>
        <w:tc>
          <w:tcPr>
            <w:tcW w:w="622" w:type="dxa"/>
            <w:vMerge w:val="restart"/>
            <w:tcBorders>
              <w:left w:val="nil"/>
              <w:bottom w:val="nil"/>
              <w:right w:val="nil"/>
            </w:tcBorders>
          </w:tcPr>
          <w:p>
            <w:pPr>
              <w:pStyle w:val="TableParagraph"/>
              <w:rPr>
                <w:rFonts w:ascii="Times New Roman"/>
                <w:sz w:val="18"/>
              </w:rPr>
            </w:pPr>
          </w:p>
        </w:tc>
        <w:tc>
          <w:tcPr>
            <w:tcW w:w="2307" w:type="dxa"/>
            <w:tcBorders>
              <w:top w:val="single" w:sz="12" w:space="0" w:color="333366"/>
              <w:left w:val="nil"/>
              <w:bottom w:val="nil"/>
              <w:right w:val="single" w:sz="4" w:space="0" w:color="000000"/>
            </w:tcBorders>
          </w:tcPr>
          <w:p>
            <w:pPr>
              <w:pStyle w:val="TableParagraph"/>
              <w:spacing w:before="13"/>
              <w:ind w:left="108"/>
              <w:rPr>
                <w:rFonts w:ascii="Times New Roman"/>
                <w:sz w:val="18"/>
              </w:rPr>
            </w:pPr>
            <w:r>
              <w:rPr>
                <w:rFonts w:ascii="Times New Roman"/>
                <w:sz w:val="18"/>
              </w:rPr>
              <w:t>18F-RO6958948</w:t>
            </w:r>
          </w:p>
        </w:tc>
        <w:tc>
          <w:tcPr>
            <w:tcW w:w="2784" w:type="dxa"/>
            <w:tcBorders>
              <w:top w:val="single" w:sz="12" w:space="0" w:color="333366"/>
              <w:left w:val="single" w:sz="4" w:space="0" w:color="000000"/>
              <w:bottom w:val="nil"/>
              <w:right w:val="single" w:sz="4" w:space="0" w:color="000000"/>
            </w:tcBorders>
          </w:tcPr>
          <w:p>
            <w:pPr>
              <w:pStyle w:val="TableParagraph"/>
              <w:spacing w:before="13"/>
              <w:ind w:left="100"/>
              <w:rPr>
                <w:rFonts w:ascii="Times New Roman"/>
                <w:sz w:val="18"/>
              </w:rPr>
            </w:pPr>
            <w:r>
              <w:rPr>
                <w:rFonts w:ascii="Times New Roman"/>
                <w:sz w:val="18"/>
              </w:rPr>
              <w:t>Roche</w:t>
            </w:r>
          </w:p>
        </w:tc>
        <w:tc>
          <w:tcPr>
            <w:tcW w:w="1372" w:type="dxa"/>
            <w:tcBorders>
              <w:top w:val="single" w:sz="12" w:space="0" w:color="333366"/>
              <w:left w:val="single" w:sz="4" w:space="0" w:color="000000"/>
              <w:bottom w:val="nil"/>
              <w:right w:val="single" w:sz="4" w:space="0" w:color="000000"/>
            </w:tcBorders>
          </w:tcPr>
          <w:p>
            <w:pPr>
              <w:pStyle w:val="TableParagraph"/>
              <w:spacing w:before="1"/>
              <w:ind w:left="101"/>
              <w:rPr>
                <w:sz w:val="18"/>
              </w:rPr>
            </w:pPr>
            <w:r>
              <w:rPr>
                <w:rFonts w:ascii="Times New Roman" w:eastAsia="Times New Roman"/>
                <w:sz w:val="18"/>
              </w:rPr>
              <w:t>I </w:t>
            </w:r>
            <w:r>
              <w:rPr>
                <w:sz w:val="18"/>
              </w:rPr>
              <w:t>期临床</w:t>
            </w:r>
          </w:p>
        </w:tc>
        <w:tc>
          <w:tcPr>
            <w:tcW w:w="1375" w:type="dxa"/>
            <w:tcBorders>
              <w:top w:val="single" w:sz="12" w:space="0" w:color="333366"/>
              <w:left w:val="single" w:sz="4" w:space="0" w:color="000000"/>
              <w:bottom w:val="nil"/>
              <w:right w:val="single" w:sz="4" w:space="0" w:color="000000"/>
            </w:tcBorders>
          </w:tcPr>
          <w:p>
            <w:pPr>
              <w:pStyle w:val="TableParagraph"/>
              <w:spacing w:before="1"/>
              <w:ind w:left="104"/>
              <w:rPr>
                <w:sz w:val="18"/>
              </w:rPr>
            </w:pPr>
            <w:r>
              <w:rPr>
                <w:sz w:val="18"/>
              </w:rPr>
              <w:t>无申报</w:t>
            </w:r>
          </w:p>
        </w:tc>
        <w:tc>
          <w:tcPr>
            <w:tcW w:w="1516" w:type="dxa"/>
            <w:tcBorders>
              <w:top w:val="single" w:sz="12" w:space="0" w:color="333366"/>
              <w:left w:val="single" w:sz="4" w:space="0" w:color="000000"/>
              <w:bottom w:val="nil"/>
              <w:right w:val="nil"/>
            </w:tcBorders>
          </w:tcPr>
          <w:p>
            <w:pPr>
              <w:pStyle w:val="TableParagraph"/>
              <w:spacing w:before="13"/>
              <w:ind w:left="102"/>
              <w:rPr>
                <w:rFonts w:ascii="Times New Roman"/>
                <w:sz w:val="18"/>
              </w:rPr>
            </w:pPr>
            <w:r>
              <w:rPr>
                <w:rFonts w:ascii="Times New Roman"/>
                <w:sz w:val="18"/>
              </w:rPr>
              <w:t>Tau</w:t>
            </w:r>
          </w:p>
        </w:tc>
        <w:tc>
          <w:tcPr>
            <w:tcW w:w="181" w:type="dxa"/>
            <w:vMerge w:val="restart"/>
            <w:tcBorders>
              <w:left w:val="nil"/>
              <w:bottom w:val="nil"/>
              <w:right w:val="nil"/>
            </w:tcBorders>
          </w:tcPr>
          <w:p>
            <w:pPr>
              <w:pStyle w:val="TableParagraph"/>
              <w:rPr>
                <w:rFonts w:ascii="Times New Roman"/>
                <w:sz w:val="18"/>
              </w:rPr>
            </w:pPr>
          </w:p>
        </w:tc>
      </w:tr>
      <w:tr>
        <w:trPr>
          <w:trHeight w:val="316" w:hRule="atLeast"/>
        </w:trPr>
        <w:tc>
          <w:tcPr>
            <w:tcW w:w="622" w:type="dxa"/>
            <w:vMerge/>
            <w:tcBorders>
              <w:top w:val="nil"/>
              <w:left w:val="nil"/>
              <w:bottom w:val="nil"/>
              <w:right w:val="nil"/>
            </w:tcBorders>
          </w:tcPr>
          <w:p>
            <w:pPr>
              <w:rPr>
                <w:sz w:val="2"/>
                <w:szCs w:val="2"/>
              </w:rPr>
            </w:pPr>
          </w:p>
        </w:tc>
        <w:tc>
          <w:tcPr>
            <w:tcW w:w="2307" w:type="dxa"/>
            <w:tcBorders>
              <w:top w:val="nil"/>
              <w:left w:val="nil"/>
              <w:bottom w:val="single" w:sz="4" w:space="0" w:color="000000"/>
              <w:right w:val="single" w:sz="4" w:space="0" w:color="000000"/>
            </w:tcBorders>
          </w:tcPr>
          <w:p>
            <w:pPr>
              <w:pStyle w:val="TableParagraph"/>
              <w:spacing w:before="40"/>
              <w:ind w:left="108"/>
              <w:rPr>
                <w:rFonts w:ascii="Times New Roman"/>
                <w:sz w:val="18"/>
              </w:rPr>
            </w:pPr>
            <w:r>
              <w:rPr>
                <w:rFonts w:ascii="Times New Roman"/>
                <w:sz w:val="18"/>
              </w:rPr>
              <w:t>[18F]MNI-1020</w:t>
            </w:r>
          </w:p>
        </w:tc>
        <w:tc>
          <w:tcPr>
            <w:tcW w:w="2784" w:type="dxa"/>
            <w:tcBorders>
              <w:top w:val="nil"/>
              <w:left w:val="single" w:sz="4" w:space="0" w:color="000000"/>
              <w:bottom w:val="single" w:sz="4" w:space="0" w:color="000000"/>
              <w:right w:val="single" w:sz="4" w:space="0" w:color="000000"/>
            </w:tcBorders>
          </w:tcPr>
          <w:p>
            <w:pPr>
              <w:pStyle w:val="TableParagraph"/>
              <w:spacing w:before="40"/>
              <w:ind w:left="100"/>
              <w:rPr>
                <w:rFonts w:ascii="Times New Roman"/>
                <w:sz w:val="18"/>
              </w:rPr>
            </w:pPr>
            <w:r>
              <w:rPr>
                <w:rFonts w:ascii="Times New Roman"/>
                <w:sz w:val="18"/>
              </w:rPr>
              <w:t>Johnson &amp; Johnson</w:t>
            </w:r>
          </w:p>
        </w:tc>
        <w:tc>
          <w:tcPr>
            <w:tcW w:w="1372" w:type="dxa"/>
            <w:tcBorders>
              <w:top w:val="nil"/>
              <w:left w:val="single" w:sz="4" w:space="0" w:color="000000"/>
              <w:bottom w:val="single" w:sz="4" w:space="0" w:color="000000"/>
              <w:right w:val="single" w:sz="4" w:space="0" w:color="000000"/>
            </w:tcBorders>
          </w:tcPr>
          <w:p>
            <w:pPr>
              <w:pStyle w:val="TableParagraph"/>
              <w:spacing w:before="26"/>
              <w:ind w:left="101"/>
              <w:rPr>
                <w:sz w:val="18"/>
              </w:rPr>
            </w:pPr>
            <w:r>
              <w:rPr>
                <w:rFonts w:ascii="Times New Roman" w:eastAsia="Times New Roman"/>
                <w:sz w:val="18"/>
              </w:rPr>
              <w:t>I </w:t>
            </w:r>
            <w:r>
              <w:rPr>
                <w:sz w:val="18"/>
              </w:rPr>
              <w:t>期临床</w:t>
            </w:r>
          </w:p>
        </w:tc>
        <w:tc>
          <w:tcPr>
            <w:tcW w:w="1375" w:type="dxa"/>
            <w:tcBorders>
              <w:top w:val="nil"/>
              <w:left w:val="single" w:sz="4" w:space="0" w:color="000000"/>
              <w:bottom w:val="single" w:sz="4" w:space="0" w:color="000000"/>
              <w:right w:val="single" w:sz="4" w:space="0" w:color="000000"/>
            </w:tcBorders>
          </w:tcPr>
          <w:p>
            <w:pPr>
              <w:pStyle w:val="TableParagraph"/>
              <w:spacing w:before="26"/>
              <w:ind w:left="104"/>
              <w:rPr>
                <w:sz w:val="18"/>
              </w:rPr>
            </w:pPr>
            <w:r>
              <w:rPr>
                <w:sz w:val="18"/>
              </w:rPr>
              <w:t>无申报</w:t>
            </w:r>
          </w:p>
        </w:tc>
        <w:tc>
          <w:tcPr>
            <w:tcW w:w="1516" w:type="dxa"/>
            <w:tcBorders>
              <w:top w:val="nil"/>
              <w:left w:val="single" w:sz="4" w:space="0" w:color="000000"/>
              <w:bottom w:val="single" w:sz="4" w:space="0" w:color="000000"/>
              <w:right w:val="nil"/>
            </w:tcBorders>
          </w:tcPr>
          <w:p>
            <w:pPr>
              <w:pStyle w:val="TableParagraph"/>
              <w:spacing w:before="40"/>
              <w:ind w:left="102"/>
              <w:rPr>
                <w:rFonts w:ascii="Times New Roman"/>
                <w:sz w:val="18"/>
              </w:rPr>
            </w:pPr>
            <w:r>
              <w:rPr>
                <w:rFonts w:ascii="Times New Roman"/>
                <w:sz w:val="18"/>
              </w:rPr>
              <w:t>Tau</w:t>
            </w:r>
          </w:p>
        </w:tc>
        <w:tc>
          <w:tcPr>
            <w:tcW w:w="181" w:type="dxa"/>
            <w:vMerge/>
            <w:tcBorders>
              <w:top w:val="nil"/>
              <w:left w:val="nil"/>
              <w:bottom w:val="nil"/>
              <w:right w:val="nil"/>
            </w:tcBorders>
          </w:tcPr>
          <w:p>
            <w:pPr>
              <w:rPr>
                <w:sz w:val="2"/>
                <w:szCs w:val="2"/>
              </w:rPr>
            </w:pPr>
          </w:p>
        </w:tc>
      </w:tr>
      <w:tr>
        <w:trPr>
          <w:trHeight w:val="290" w:hRule="atLeast"/>
        </w:trPr>
        <w:tc>
          <w:tcPr>
            <w:tcW w:w="622" w:type="dxa"/>
            <w:vMerge/>
            <w:tcBorders>
              <w:top w:val="nil"/>
              <w:left w:val="nil"/>
              <w:bottom w:val="nil"/>
              <w:right w:val="nil"/>
            </w:tcBorders>
          </w:tcPr>
          <w:p>
            <w:pPr>
              <w:rPr>
                <w:sz w:val="2"/>
                <w:szCs w:val="2"/>
              </w:rPr>
            </w:pPr>
          </w:p>
        </w:tc>
        <w:tc>
          <w:tcPr>
            <w:tcW w:w="2307" w:type="dxa"/>
            <w:tcBorders>
              <w:top w:val="single" w:sz="4" w:space="0" w:color="000000"/>
              <w:left w:val="nil"/>
              <w:bottom w:val="single" w:sz="4" w:space="0" w:color="000000"/>
              <w:right w:val="single" w:sz="4" w:space="0" w:color="000000"/>
            </w:tcBorders>
          </w:tcPr>
          <w:p>
            <w:pPr>
              <w:pStyle w:val="TableParagraph"/>
              <w:spacing w:before="16"/>
              <w:ind w:left="108"/>
              <w:rPr>
                <w:rFonts w:ascii="Times New Roman"/>
                <w:sz w:val="18"/>
              </w:rPr>
            </w:pPr>
            <w:r>
              <w:rPr>
                <w:rFonts w:ascii="Times New Roman"/>
                <w:sz w:val="18"/>
              </w:rPr>
              <w:t>[18F]MNI-815</w:t>
            </w:r>
          </w:p>
        </w:tc>
        <w:tc>
          <w:tcPr>
            <w:tcW w:w="2784" w:type="dxa"/>
            <w:tcBorders>
              <w:top w:val="single" w:sz="4" w:space="0" w:color="000000"/>
              <w:left w:val="single" w:sz="4" w:space="0" w:color="000000"/>
              <w:bottom w:val="single" w:sz="4" w:space="0" w:color="000000"/>
              <w:right w:val="single" w:sz="4" w:space="0" w:color="000000"/>
            </w:tcBorders>
          </w:tcPr>
          <w:p>
            <w:pPr>
              <w:pStyle w:val="TableParagraph"/>
              <w:spacing w:before="16"/>
              <w:ind w:left="100"/>
              <w:rPr>
                <w:rFonts w:ascii="Times New Roman"/>
                <w:sz w:val="18"/>
              </w:rPr>
            </w:pPr>
            <w:r>
              <w:rPr>
                <w:rFonts w:ascii="Times New Roman"/>
                <w:sz w:val="18"/>
              </w:rPr>
              <w:t>Molecular NeuroImaging</w:t>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before="2"/>
              <w:ind w:left="101"/>
              <w:rPr>
                <w:sz w:val="18"/>
              </w:rPr>
            </w:pPr>
            <w:r>
              <w:rPr>
                <w:rFonts w:ascii="Times New Roman" w:eastAsia="Times New Roman"/>
                <w:sz w:val="18"/>
              </w:rPr>
              <w:t>I </w:t>
            </w:r>
            <w:r>
              <w:rPr>
                <w:sz w:val="18"/>
              </w:rPr>
              <w:t>期临床</w:t>
            </w:r>
          </w:p>
        </w:tc>
        <w:tc>
          <w:tcPr>
            <w:tcW w:w="1375" w:type="dxa"/>
            <w:tcBorders>
              <w:top w:val="single" w:sz="4" w:space="0" w:color="000000"/>
              <w:left w:val="single" w:sz="4" w:space="0" w:color="000000"/>
              <w:bottom w:val="single" w:sz="4" w:space="0" w:color="000000"/>
              <w:right w:val="single" w:sz="4" w:space="0" w:color="000000"/>
            </w:tcBorders>
          </w:tcPr>
          <w:p>
            <w:pPr>
              <w:pStyle w:val="TableParagraph"/>
              <w:spacing w:before="2"/>
              <w:ind w:left="104"/>
              <w:rPr>
                <w:sz w:val="18"/>
              </w:rPr>
            </w:pPr>
            <w:r>
              <w:rPr>
                <w:sz w:val="18"/>
              </w:rPr>
              <w:t>无申报</w:t>
            </w:r>
          </w:p>
        </w:tc>
        <w:tc>
          <w:tcPr>
            <w:tcW w:w="1516" w:type="dxa"/>
            <w:tcBorders>
              <w:top w:val="single" w:sz="4" w:space="0" w:color="000000"/>
              <w:left w:val="single" w:sz="4" w:space="0" w:color="000000"/>
              <w:bottom w:val="single" w:sz="4" w:space="0" w:color="000000"/>
              <w:right w:val="nil"/>
            </w:tcBorders>
          </w:tcPr>
          <w:p>
            <w:pPr>
              <w:pStyle w:val="TableParagraph"/>
              <w:spacing w:before="16"/>
              <w:ind w:left="102"/>
              <w:rPr>
                <w:rFonts w:ascii="Times New Roman"/>
                <w:sz w:val="18"/>
              </w:rPr>
            </w:pPr>
            <w:r>
              <w:rPr>
                <w:rFonts w:ascii="Times New Roman"/>
                <w:sz w:val="18"/>
              </w:rPr>
              <w:t>Tau</w:t>
            </w:r>
          </w:p>
        </w:tc>
        <w:tc>
          <w:tcPr>
            <w:tcW w:w="181" w:type="dxa"/>
            <w:vMerge/>
            <w:tcBorders>
              <w:top w:val="nil"/>
              <w:left w:val="nil"/>
              <w:bottom w:val="nil"/>
              <w:right w:val="nil"/>
            </w:tcBorders>
          </w:tcPr>
          <w:p>
            <w:pPr>
              <w:rPr>
                <w:sz w:val="2"/>
                <w:szCs w:val="2"/>
              </w:rPr>
            </w:pPr>
          </w:p>
        </w:tc>
      </w:tr>
      <w:tr>
        <w:trPr>
          <w:trHeight w:val="292" w:hRule="atLeast"/>
        </w:trPr>
        <w:tc>
          <w:tcPr>
            <w:tcW w:w="622" w:type="dxa"/>
            <w:vMerge/>
            <w:tcBorders>
              <w:top w:val="nil"/>
              <w:left w:val="nil"/>
              <w:bottom w:val="nil"/>
              <w:right w:val="nil"/>
            </w:tcBorders>
          </w:tcPr>
          <w:p>
            <w:pPr>
              <w:rPr>
                <w:sz w:val="2"/>
                <w:szCs w:val="2"/>
              </w:rPr>
            </w:pPr>
          </w:p>
        </w:tc>
        <w:tc>
          <w:tcPr>
            <w:tcW w:w="2307" w:type="dxa"/>
            <w:tcBorders>
              <w:top w:val="single" w:sz="4" w:space="0" w:color="000000"/>
              <w:left w:val="nil"/>
              <w:bottom w:val="single" w:sz="4" w:space="0" w:color="000000"/>
              <w:right w:val="single" w:sz="4" w:space="0" w:color="000000"/>
            </w:tcBorders>
          </w:tcPr>
          <w:p>
            <w:pPr>
              <w:pStyle w:val="TableParagraph"/>
              <w:spacing w:before="19"/>
              <w:ind w:left="108"/>
              <w:rPr>
                <w:rFonts w:ascii="Times New Roman"/>
                <w:sz w:val="18"/>
              </w:rPr>
            </w:pPr>
            <w:r>
              <w:rPr>
                <w:rFonts w:ascii="Times New Roman"/>
                <w:sz w:val="18"/>
              </w:rPr>
              <w:t>[18F]MNI-952</w:t>
            </w:r>
          </w:p>
        </w:tc>
        <w:tc>
          <w:tcPr>
            <w:tcW w:w="2784" w:type="dxa"/>
            <w:tcBorders>
              <w:top w:val="single" w:sz="4" w:space="0" w:color="000000"/>
              <w:left w:val="single" w:sz="4" w:space="0" w:color="000000"/>
              <w:bottom w:val="single" w:sz="4" w:space="0" w:color="000000"/>
              <w:right w:val="single" w:sz="4" w:space="0" w:color="000000"/>
            </w:tcBorders>
          </w:tcPr>
          <w:p>
            <w:pPr>
              <w:pStyle w:val="TableParagraph"/>
              <w:spacing w:before="19"/>
              <w:ind w:left="100"/>
              <w:rPr>
                <w:rFonts w:ascii="Times New Roman"/>
                <w:sz w:val="18"/>
              </w:rPr>
            </w:pPr>
            <w:r>
              <w:rPr>
                <w:rFonts w:ascii="Times New Roman"/>
                <w:sz w:val="18"/>
              </w:rPr>
              <w:t>Molecular NeuroImaging</w:t>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before="4"/>
              <w:ind w:left="101"/>
              <w:rPr>
                <w:sz w:val="18"/>
              </w:rPr>
            </w:pPr>
            <w:r>
              <w:rPr>
                <w:rFonts w:ascii="Times New Roman" w:eastAsia="Times New Roman"/>
                <w:sz w:val="18"/>
              </w:rPr>
              <w:t>I </w:t>
            </w:r>
            <w:r>
              <w:rPr>
                <w:sz w:val="18"/>
              </w:rPr>
              <w:t>期临床</w:t>
            </w:r>
          </w:p>
        </w:tc>
        <w:tc>
          <w:tcPr>
            <w:tcW w:w="1375" w:type="dxa"/>
            <w:tcBorders>
              <w:top w:val="single" w:sz="4" w:space="0" w:color="000000"/>
              <w:left w:val="single" w:sz="4" w:space="0" w:color="000000"/>
              <w:bottom w:val="single" w:sz="4" w:space="0" w:color="000000"/>
              <w:right w:val="single" w:sz="4" w:space="0" w:color="000000"/>
            </w:tcBorders>
          </w:tcPr>
          <w:p>
            <w:pPr>
              <w:pStyle w:val="TableParagraph"/>
              <w:spacing w:before="4"/>
              <w:ind w:left="104"/>
              <w:rPr>
                <w:sz w:val="18"/>
              </w:rPr>
            </w:pPr>
            <w:r>
              <w:rPr>
                <w:sz w:val="18"/>
              </w:rPr>
              <w:t>无申报</w:t>
            </w:r>
          </w:p>
        </w:tc>
        <w:tc>
          <w:tcPr>
            <w:tcW w:w="1516" w:type="dxa"/>
            <w:tcBorders>
              <w:top w:val="single" w:sz="4" w:space="0" w:color="000000"/>
              <w:left w:val="single" w:sz="4" w:space="0" w:color="000000"/>
              <w:bottom w:val="single" w:sz="4" w:space="0" w:color="000000"/>
              <w:right w:val="nil"/>
            </w:tcBorders>
          </w:tcPr>
          <w:p>
            <w:pPr>
              <w:pStyle w:val="TableParagraph"/>
              <w:spacing w:before="19"/>
              <w:ind w:left="102"/>
              <w:rPr>
                <w:rFonts w:ascii="Times New Roman"/>
                <w:sz w:val="18"/>
              </w:rPr>
            </w:pPr>
            <w:r>
              <w:rPr>
                <w:rFonts w:ascii="Times New Roman"/>
                <w:sz w:val="18"/>
              </w:rPr>
              <w:t>Tau</w:t>
            </w:r>
          </w:p>
        </w:tc>
        <w:tc>
          <w:tcPr>
            <w:tcW w:w="181" w:type="dxa"/>
            <w:vMerge/>
            <w:tcBorders>
              <w:top w:val="nil"/>
              <w:left w:val="nil"/>
              <w:bottom w:val="nil"/>
              <w:right w:val="nil"/>
            </w:tcBorders>
          </w:tcPr>
          <w:p>
            <w:pPr>
              <w:rPr>
                <w:sz w:val="2"/>
                <w:szCs w:val="2"/>
              </w:rPr>
            </w:pPr>
          </w:p>
        </w:tc>
      </w:tr>
      <w:tr>
        <w:trPr>
          <w:trHeight w:val="292" w:hRule="atLeast"/>
        </w:trPr>
        <w:tc>
          <w:tcPr>
            <w:tcW w:w="622" w:type="dxa"/>
            <w:vMerge/>
            <w:tcBorders>
              <w:top w:val="nil"/>
              <w:left w:val="nil"/>
              <w:bottom w:val="nil"/>
              <w:right w:val="nil"/>
            </w:tcBorders>
          </w:tcPr>
          <w:p>
            <w:pPr>
              <w:rPr>
                <w:sz w:val="2"/>
                <w:szCs w:val="2"/>
              </w:rPr>
            </w:pPr>
          </w:p>
        </w:tc>
        <w:tc>
          <w:tcPr>
            <w:tcW w:w="2307" w:type="dxa"/>
            <w:tcBorders>
              <w:top w:val="single" w:sz="4" w:space="0" w:color="000000"/>
              <w:left w:val="nil"/>
              <w:bottom w:val="single" w:sz="4" w:space="0" w:color="000000"/>
              <w:right w:val="single" w:sz="4" w:space="0" w:color="000000"/>
            </w:tcBorders>
          </w:tcPr>
          <w:p>
            <w:pPr>
              <w:pStyle w:val="TableParagraph"/>
              <w:spacing w:before="16"/>
              <w:ind w:left="108"/>
              <w:rPr>
                <w:rFonts w:ascii="Times New Roman"/>
                <w:sz w:val="18"/>
              </w:rPr>
            </w:pPr>
            <w:r>
              <w:rPr>
                <w:rFonts w:ascii="Times New Roman"/>
                <w:sz w:val="18"/>
              </w:rPr>
              <w:t>11C-ER176</w:t>
            </w:r>
          </w:p>
        </w:tc>
        <w:tc>
          <w:tcPr>
            <w:tcW w:w="2784" w:type="dxa"/>
            <w:tcBorders>
              <w:top w:val="single" w:sz="4" w:space="0" w:color="000000"/>
              <w:left w:val="single" w:sz="4" w:space="0" w:color="000000"/>
              <w:bottom w:val="single" w:sz="4" w:space="0" w:color="000000"/>
              <w:right w:val="single" w:sz="4" w:space="0" w:color="000000"/>
            </w:tcBorders>
          </w:tcPr>
          <w:p>
            <w:pPr>
              <w:pStyle w:val="TableParagraph"/>
              <w:spacing w:before="16"/>
              <w:ind w:left="100"/>
              <w:rPr>
                <w:rFonts w:ascii="Times New Roman"/>
                <w:sz w:val="18"/>
              </w:rPr>
            </w:pPr>
            <w:r>
              <w:rPr>
                <w:rFonts w:ascii="Times New Roman"/>
                <w:sz w:val="18"/>
              </w:rPr>
              <w:t>National Institute of Mental Health</w:t>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before="2"/>
              <w:ind w:left="101"/>
              <w:rPr>
                <w:sz w:val="18"/>
              </w:rPr>
            </w:pPr>
            <w:r>
              <w:rPr>
                <w:rFonts w:ascii="Times New Roman" w:eastAsia="Times New Roman"/>
                <w:sz w:val="18"/>
              </w:rPr>
              <w:t>III </w:t>
            </w:r>
            <w:r>
              <w:rPr>
                <w:sz w:val="18"/>
              </w:rPr>
              <w:t>期临床</w:t>
            </w:r>
          </w:p>
        </w:tc>
        <w:tc>
          <w:tcPr>
            <w:tcW w:w="1375" w:type="dxa"/>
            <w:tcBorders>
              <w:top w:val="single" w:sz="4" w:space="0" w:color="000000"/>
              <w:left w:val="single" w:sz="4" w:space="0" w:color="000000"/>
              <w:bottom w:val="single" w:sz="4" w:space="0" w:color="000000"/>
              <w:right w:val="single" w:sz="4" w:space="0" w:color="000000"/>
            </w:tcBorders>
          </w:tcPr>
          <w:p>
            <w:pPr>
              <w:pStyle w:val="TableParagraph"/>
              <w:spacing w:before="2"/>
              <w:ind w:left="104"/>
              <w:rPr>
                <w:sz w:val="18"/>
              </w:rPr>
            </w:pPr>
            <w:r>
              <w:rPr>
                <w:sz w:val="18"/>
              </w:rPr>
              <w:t>无申报</w:t>
            </w:r>
          </w:p>
        </w:tc>
        <w:tc>
          <w:tcPr>
            <w:tcW w:w="1516" w:type="dxa"/>
            <w:tcBorders>
              <w:top w:val="single" w:sz="4" w:space="0" w:color="000000"/>
              <w:left w:val="single" w:sz="4" w:space="0" w:color="000000"/>
              <w:bottom w:val="single" w:sz="4" w:space="0" w:color="000000"/>
              <w:right w:val="nil"/>
            </w:tcBorders>
          </w:tcPr>
          <w:p>
            <w:pPr>
              <w:pStyle w:val="TableParagraph"/>
              <w:spacing w:before="16"/>
              <w:ind w:left="102"/>
              <w:rPr>
                <w:rFonts w:ascii="Times New Roman"/>
                <w:sz w:val="18"/>
              </w:rPr>
            </w:pPr>
            <w:r>
              <w:rPr>
                <w:rFonts w:ascii="Times New Roman"/>
                <w:sz w:val="18"/>
              </w:rPr>
              <w:t>TSPO</w:t>
            </w:r>
          </w:p>
        </w:tc>
        <w:tc>
          <w:tcPr>
            <w:tcW w:w="181" w:type="dxa"/>
            <w:vMerge/>
            <w:tcBorders>
              <w:top w:val="nil"/>
              <w:left w:val="nil"/>
              <w:bottom w:val="nil"/>
              <w:right w:val="nil"/>
            </w:tcBorders>
          </w:tcPr>
          <w:p>
            <w:pPr>
              <w:rPr>
                <w:sz w:val="2"/>
                <w:szCs w:val="2"/>
              </w:rPr>
            </w:pPr>
          </w:p>
        </w:tc>
      </w:tr>
      <w:tr>
        <w:trPr>
          <w:trHeight w:val="292" w:hRule="atLeast"/>
        </w:trPr>
        <w:tc>
          <w:tcPr>
            <w:tcW w:w="622" w:type="dxa"/>
            <w:vMerge/>
            <w:tcBorders>
              <w:top w:val="nil"/>
              <w:left w:val="nil"/>
              <w:bottom w:val="nil"/>
              <w:right w:val="nil"/>
            </w:tcBorders>
          </w:tcPr>
          <w:p>
            <w:pPr>
              <w:rPr>
                <w:sz w:val="2"/>
                <w:szCs w:val="2"/>
              </w:rPr>
            </w:pPr>
          </w:p>
        </w:tc>
        <w:tc>
          <w:tcPr>
            <w:tcW w:w="2307" w:type="dxa"/>
            <w:tcBorders>
              <w:top w:val="single" w:sz="4" w:space="0" w:color="000000"/>
              <w:left w:val="nil"/>
              <w:bottom w:val="single" w:sz="4" w:space="0" w:color="000000"/>
              <w:right w:val="single" w:sz="4" w:space="0" w:color="000000"/>
            </w:tcBorders>
          </w:tcPr>
          <w:p>
            <w:pPr>
              <w:pStyle w:val="TableParagraph"/>
              <w:spacing w:before="16"/>
              <w:ind w:left="108"/>
              <w:rPr>
                <w:rFonts w:ascii="Times New Roman"/>
                <w:sz w:val="18"/>
              </w:rPr>
            </w:pPr>
            <w:r>
              <w:rPr>
                <w:rFonts w:ascii="Times New Roman"/>
                <w:sz w:val="18"/>
              </w:rPr>
              <w:t>11C-PBR28</w:t>
            </w:r>
          </w:p>
        </w:tc>
        <w:tc>
          <w:tcPr>
            <w:tcW w:w="2784" w:type="dxa"/>
            <w:tcBorders>
              <w:top w:val="single" w:sz="4" w:space="0" w:color="000000"/>
              <w:left w:val="single" w:sz="4" w:space="0" w:color="000000"/>
              <w:bottom w:val="single" w:sz="4" w:space="0" w:color="000000"/>
              <w:right w:val="single" w:sz="4" w:space="0" w:color="000000"/>
            </w:tcBorders>
          </w:tcPr>
          <w:p>
            <w:pPr>
              <w:pStyle w:val="TableParagraph"/>
              <w:spacing w:before="16"/>
              <w:ind w:left="100"/>
              <w:rPr>
                <w:rFonts w:ascii="Times New Roman"/>
                <w:sz w:val="18"/>
              </w:rPr>
            </w:pPr>
            <w:r>
              <w:rPr>
                <w:rFonts w:ascii="Times New Roman"/>
                <w:sz w:val="18"/>
              </w:rPr>
              <w:t>National Institute of Mental Health</w:t>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before="2"/>
              <w:ind w:left="101"/>
              <w:rPr>
                <w:sz w:val="18"/>
              </w:rPr>
            </w:pPr>
            <w:r>
              <w:rPr>
                <w:rFonts w:ascii="Times New Roman" w:eastAsia="Times New Roman"/>
                <w:sz w:val="18"/>
              </w:rPr>
              <w:t>II </w:t>
            </w:r>
            <w:r>
              <w:rPr>
                <w:sz w:val="18"/>
              </w:rPr>
              <w:t>期临床</w:t>
            </w:r>
          </w:p>
        </w:tc>
        <w:tc>
          <w:tcPr>
            <w:tcW w:w="1375" w:type="dxa"/>
            <w:tcBorders>
              <w:top w:val="single" w:sz="4" w:space="0" w:color="000000"/>
              <w:left w:val="single" w:sz="4" w:space="0" w:color="000000"/>
              <w:bottom w:val="single" w:sz="4" w:space="0" w:color="000000"/>
              <w:right w:val="single" w:sz="4" w:space="0" w:color="000000"/>
            </w:tcBorders>
          </w:tcPr>
          <w:p>
            <w:pPr>
              <w:pStyle w:val="TableParagraph"/>
              <w:spacing w:before="2"/>
              <w:ind w:left="104"/>
              <w:rPr>
                <w:sz w:val="18"/>
              </w:rPr>
            </w:pPr>
            <w:r>
              <w:rPr>
                <w:sz w:val="18"/>
              </w:rPr>
              <w:t>无申报</w:t>
            </w:r>
          </w:p>
        </w:tc>
        <w:tc>
          <w:tcPr>
            <w:tcW w:w="1516" w:type="dxa"/>
            <w:tcBorders>
              <w:top w:val="single" w:sz="4" w:space="0" w:color="000000"/>
              <w:left w:val="single" w:sz="4" w:space="0" w:color="000000"/>
              <w:bottom w:val="single" w:sz="4" w:space="0" w:color="000000"/>
              <w:right w:val="nil"/>
            </w:tcBorders>
          </w:tcPr>
          <w:p>
            <w:pPr>
              <w:pStyle w:val="TableParagraph"/>
              <w:spacing w:before="16"/>
              <w:ind w:left="102"/>
              <w:rPr>
                <w:rFonts w:ascii="Times New Roman"/>
                <w:sz w:val="18"/>
              </w:rPr>
            </w:pPr>
            <w:r>
              <w:rPr>
                <w:rFonts w:ascii="Times New Roman"/>
                <w:sz w:val="18"/>
              </w:rPr>
              <w:t>TSPO</w:t>
            </w:r>
          </w:p>
        </w:tc>
        <w:tc>
          <w:tcPr>
            <w:tcW w:w="181" w:type="dxa"/>
            <w:vMerge/>
            <w:tcBorders>
              <w:top w:val="nil"/>
              <w:left w:val="nil"/>
              <w:bottom w:val="nil"/>
              <w:right w:val="nil"/>
            </w:tcBorders>
          </w:tcPr>
          <w:p>
            <w:pPr>
              <w:rPr>
                <w:sz w:val="2"/>
                <w:szCs w:val="2"/>
              </w:rPr>
            </w:pPr>
          </w:p>
        </w:tc>
      </w:tr>
      <w:tr>
        <w:trPr>
          <w:trHeight w:val="517" w:hRule="atLeast"/>
        </w:trPr>
        <w:tc>
          <w:tcPr>
            <w:tcW w:w="622" w:type="dxa"/>
            <w:vMerge/>
            <w:tcBorders>
              <w:top w:val="nil"/>
              <w:left w:val="nil"/>
              <w:bottom w:val="nil"/>
              <w:right w:val="nil"/>
            </w:tcBorders>
          </w:tcPr>
          <w:p>
            <w:pPr>
              <w:rPr>
                <w:sz w:val="2"/>
                <w:szCs w:val="2"/>
              </w:rPr>
            </w:pPr>
          </w:p>
        </w:tc>
        <w:tc>
          <w:tcPr>
            <w:tcW w:w="2307" w:type="dxa"/>
            <w:tcBorders>
              <w:top w:val="single" w:sz="4" w:space="0" w:color="000000"/>
              <w:left w:val="nil"/>
              <w:bottom w:val="single" w:sz="4" w:space="0" w:color="000000"/>
              <w:right w:val="single" w:sz="4" w:space="0" w:color="000000"/>
            </w:tcBorders>
          </w:tcPr>
          <w:p>
            <w:pPr>
              <w:pStyle w:val="TableParagraph"/>
              <w:spacing w:line="207" w:lineRule="exact"/>
              <w:ind w:left="108"/>
              <w:rPr>
                <w:rFonts w:ascii="Times New Roman"/>
                <w:sz w:val="18"/>
              </w:rPr>
            </w:pPr>
            <w:r>
              <w:rPr>
                <w:rFonts w:ascii="Times New Roman"/>
                <w:sz w:val="18"/>
              </w:rPr>
              <w:t>[18F]-</w:t>
            </w:r>
          </w:p>
          <w:p>
            <w:pPr>
              <w:pStyle w:val="TableParagraph"/>
              <w:spacing w:before="52"/>
              <w:ind w:left="108"/>
              <w:rPr>
                <w:rFonts w:ascii="Times New Roman"/>
                <w:sz w:val="18"/>
              </w:rPr>
            </w:pPr>
            <w:r>
              <w:rPr>
                <w:rFonts w:ascii="Times New Roman"/>
                <w:sz w:val="18"/>
              </w:rPr>
              <w:t>fluoroethoxybenzovesamicol</w:t>
            </w:r>
          </w:p>
        </w:tc>
        <w:tc>
          <w:tcPr>
            <w:tcW w:w="2784" w:type="dxa"/>
            <w:tcBorders>
              <w:top w:val="single" w:sz="4" w:space="0" w:color="000000"/>
              <w:left w:val="single" w:sz="4" w:space="0" w:color="000000"/>
              <w:bottom w:val="single" w:sz="4" w:space="0" w:color="000000"/>
              <w:right w:val="single" w:sz="4" w:space="0" w:color="000000"/>
            </w:tcBorders>
          </w:tcPr>
          <w:p>
            <w:pPr>
              <w:pStyle w:val="TableParagraph"/>
              <w:spacing w:before="129"/>
              <w:ind w:left="100"/>
              <w:rPr>
                <w:rFonts w:ascii="Times New Roman"/>
                <w:sz w:val="18"/>
              </w:rPr>
            </w:pPr>
            <w:r>
              <w:rPr>
                <w:rFonts w:ascii="Times New Roman"/>
                <w:sz w:val="18"/>
              </w:rPr>
              <w:t>University of Michigan</w:t>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before="115"/>
              <w:ind w:left="101"/>
              <w:rPr>
                <w:sz w:val="18"/>
              </w:rPr>
            </w:pPr>
            <w:r>
              <w:rPr>
                <w:rFonts w:ascii="Times New Roman" w:eastAsia="Times New Roman"/>
                <w:sz w:val="18"/>
              </w:rPr>
              <w:t>III </w:t>
            </w:r>
            <w:r>
              <w:rPr>
                <w:sz w:val="18"/>
              </w:rPr>
              <w:t>期临床</w:t>
            </w:r>
          </w:p>
        </w:tc>
        <w:tc>
          <w:tcPr>
            <w:tcW w:w="1375" w:type="dxa"/>
            <w:tcBorders>
              <w:top w:val="single" w:sz="4" w:space="0" w:color="000000"/>
              <w:left w:val="single" w:sz="4" w:space="0" w:color="000000"/>
              <w:bottom w:val="single" w:sz="4" w:space="0" w:color="000000"/>
              <w:right w:val="single" w:sz="4" w:space="0" w:color="000000"/>
            </w:tcBorders>
          </w:tcPr>
          <w:p>
            <w:pPr>
              <w:pStyle w:val="TableParagraph"/>
              <w:spacing w:before="115"/>
              <w:ind w:left="104"/>
              <w:rPr>
                <w:sz w:val="18"/>
              </w:rPr>
            </w:pPr>
            <w:r>
              <w:rPr>
                <w:sz w:val="18"/>
              </w:rPr>
              <w:t>无申报</w:t>
            </w:r>
          </w:p>
        </w:tc>
        <w:tc>
          <w:tcPr>
            <w:tcW w:w="1516" w:type="dxa"/>
            <w:tcBorders>
              <w:top w:val="single" w:sz="4" w:space="0" w:color="000000"/>
              <w:left w:val="single" w:sz="4" w:space="0" w:color="000000"/>
              <w:bottom w:val="single" w:sz="4" w:space="0" w:color="000000"/>
              <w:right w:val="nil"/>
            </w:tcBorders>
          </w:tcPr>
          <w:p>
            <w:pPr>
              <w:pStyle w:val="TableParagraph"/>
              <w:spacing w:before="129"/>
              <w:ind w:left="102"/>
              <w:rPr>
                <w:rFonts w:ascii="Times New Roman"/>
                <w:sz w:val="18"/>
              </w:rPr>
            </w:pPr>
            <w:r>
              <w:rPr>
                <w:rFonts w:ascii="Times New Roman"/>
                <w:sz w:val="18"/>
              </w:rPr>
              <w:t>VAChT</w:t>
            </w:r>
          </w:p>
        </w:tc>
        <w:tc>
          <w:tcPr>
            <w:tcW w:w="181" w:type="dxa"/>
            <w:vMerge/>
            <w:tcBorders>
              <w:top w:val="nil"/>
              <w:left w:val="nil"/>
              <w:bottom w:val="nil"/>
              <w:right w:val="nil"/>
            </w:tcBorders>
          </w:tcPr>
          <w:p>
            <w:pPr>
              <w:rPr>
                <w:sz w:val="2"/>
                <w:szCs w:val="2"/>
              </w:rPr>
            </w:pPr>
          </w:p>
        </w:tc>
      </w:tr>
      <w:tr>
        <w:trPr>
          <w:trHeight w:val="290" w:hRule="atLeast"/>
        </w:trPr>
        <w:tc>
          <w:tcPr>
            <w:tcW w:w="622" w:type="dxa"/>
            <w:vMerge/>
            <w:tcBorders>
              <w:top w:val="nil"/>
              <w:left w:val="nil"/>
              <w:bottom w:val="nil"/>
              <w:right w:val="nil"/>
            </w:tcBorders>
          </w:tcPr>
          <w:p>
            <w:pPr>
              <w:rPr>
                <w:sz w:val="2"/>
                <w:szCs w:val="2"/>
              </w:rPr>
            </w:pPr>
          </w:p>
        </w:tc>
        <w:tc>
          <w:tcPr>
            <w:tcW w:w="2307" w:type="dxa"/>
            <w:tcBorders>
              <w:top w:val="single" w:sz="4" w:space="0" w:color="000000"/>
              <w:left w:val="nil"/>
              <w:bottom w:val="single" w:sz="4" w:space="0" w:color="000000"/>
              <w:right w:val="single" w:sz="4" w:space="0" w:color="000000"/>
            </w:tcBorders>
          </w:tcPr>
          <w:p>
            <w:pPr>
              <w:pStyle w:val="TableParagraph"/>
              <w:spacing w:before="16"/>
              <w:ind w:left="108"/>
              <w:rPr>
                <w:rFonts w:ascii="Times New Roman"/>
                <w:sz w:val="18"/>
              </w:rPr>
            </w:pPr>
            <w:r>
              <w:rPr>
                <w:rFonts w:ascii="Times New Roman"/>
                <w:sz w:val="18"/>
              </w:rPr>
              <w:t>[18F]3F4AP</w:t>
            </w:r>
          </w:p>
        </w:tc>
        <w:tc>
          <w:tcPr>
            <w:tcW w:w="2784" w:type="dxa"/>
            <w:tcBorders>
              <w:top w:val="single" w:sz="4" w:space="0" w:color="000000"/>
              <w:left w:val="single" w:sz="4" w:space="0" w:color="000000"/>
              <w:bottom w:val="single" w:sz="4" w:space="0" w:color="000000"/>
              <w:right w:val="single" w:sz="4" w:space="0" w:color="000000"/>
            </w:tcBorders>
          </w:tcPr>
          <w:p>
            <w:pPr>
              <w:pStyle w:val="TableParagraph"/>
              <w:spacing w:before="16"/>
              <w:ind w:left="100"/>
              <w:rPr>
                <w:rFonts w:ascii="Times New Roman"/>
                <w:sz w:val="18"/>
              </w:rPr>
            </w:pPr>
            <w:r>
              <w:rPr>
                <w:rFonts w:ascii="Times New Roman"/>
                <w:sz w:val="18"/>
              </w:rPr>
              <w:t>Massachusetts General Hospital</w:t>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before="2"/>
              <w:ind w:left="101"/>
              <w:rPr>
                <w:sz w:val="18"/>
              </w:rPr>
            </w:pPr>
            <w:r>
              <w:rPr>
                <w:rFonts w:ascii="Times New Roman" w:eastAsia="Times New Roman"/>
                <w:sz w:val="18"/>
              </w:rPr>
              <w:t>I </w:t>
            </w:r>
            <w:r>
              <w:rPr>
                <w:sz w:val="18"/>
              </w:rPr>
              <w:t>期临床</w:t>
            </w:r>
          </w:p>
        </w:tc>
        <w:tc>
          <w:tcPr>
            <w:tcW w:w="1375" w:type="dxa"/>
            <w:tcBorders>
              <w:top w:val="single" w:sz="4" w:space="0" w:color="000000"/>
              <w:left w:val="single" w:sz="4" w:space="0" w:color="000000"/>
              <w:bottom w:val="single" w:sz="4" w:space="0" w:color="000000"/>
              <w:right w:val="single" w:sz="4" w:space="0" w:color="000000"/>
            </w:tcBorders>
          </w:tcPr>
          <w:p>
            <w:pPr>
              <w:pStyle w:val="TableParagraph"/>
              <w:spacing w:before="2"/>
              <w:ind w:left="104"/>
              <w:rPr>
                <w:sz w:val="18"/>
              </w:rPr>
            </w:pPr>
            <w:r>
              <w:rPr>
                <w:sz w:val="18"/>
              </w:rPr>
              <w:t>无申报</w:t>
            </w:r>
          </w:p>
        </w:tc>
        <w:tc>
          <w:tcPr>
            <w:tcW w:w="1516" w:type="dxa"/>
            <w:tcBorders>
              <w:top w:val="single" w:sz="4" w:space="0" w:color="000000"/>
              <w:left w:val="single" w:sz="4" w:space="0" w:color="000000"/>
              <w:bottom w:val="single" w:sz="4" w:space="0" w:color="000000"/>
              <w:right w:val="nil"/>
            </w:tcBorders>
          </w:tcPr>
          <w:p>
            <w:pPr>
              <w:pStyle w:val="TableParagraph"/>
              <w:spacing w:before="16"/>
              <w:ind w:left="102"/>
              <w:rPr>
                <w:rFonts w:ascii="Times New Roman"/>
                <w:sz w:val="18"/>
              </w:rPr>
            </w:pPr>
            <w:r>
              <w:rPr>
                <w:rFonts w:ascii="Times New Roman"/>
                <w:sz w:val="18"/>
              </w:rPr>
              <w:t>VGKC</w:t>
            </w:r>
          </w:p>
        </w:tc>
        <w:tc>
          <w:tcPr>
            <w:tcW w:w="181" w:type="dxa"/>
            <w:vMerge/>
            <w:tcBorders>
              <w:top w:val="nil"/>
              <w:left w:val="nil"/>
              <w:bottom w:val="nil"/>
              <w:right w:val="nil"/>
            </w:tcBorders>
          </w:tcPr>
          <w:p>
            <w:pPr>
              <w:rPr>
                <w:sz w:val="2"/>
                <w:szCs w:val="2"/>
              </w:rPr>
            </w:pPr>
          </w:p>
        </w:tc>
      </w:tr>
      <w:tr>
        <w:trPr>
          <w:trHeight w:val="292" w:hRule="atLeast"/>
        </w:trPr>
        <w:tc>
          <w:tcPr>
            <w:tcW w:w="622" w:type="dxa"/>
            <w:vMerge/>
            <w:tcBorders>
              <w:top w:val="nil"/>
              <w:left w:val="nil"/>
              <w:bottom w:val="nil"/>
              <w:right w:val="nil"/>
            </w:tcBorders>
          </w:tcPr>
          <w:p>
            <w:pPr>
              <w:rPr>
                <w:sz w:val="2"/>
                <w:szCs w:val="2"/>
              </w:rPr>
            </w:pPr>
          </w:p>
        </w:tc>
        <w:tc>
          <w:tcPr>
            <w:tcW w:w="2307" w:type="dxa"/>
            <w:tcBorders>
              <w:top w:val="single" w:sz="4" w:space="0" w:color="000000"/>
              <w:left w:val="nil"/>
              <w:bottom w:val="single" w:sz="4" w:space="0" w:color="000000"/>
              <w:right w:val="single" w:sz="4" w:space="0" w:color="000000"/>
            </w:tcBorders>
          </w:tcPr>
          <w:p>
            <w:pPr>
              <w:pStyle w:val="TableParagraph"/>
              <w:spacing w:before="16"/>
              <w:ind w:left="108"/>
              <w:rPr>
                <w:rFonts w:ascii="Times New Roman"/>
                <w:sz w:val="18"/>
              </w:rPr>
            </w:pPr>
            <w:r>
              <w:rPr>
                <w:rFonts w:ascii="Times New Roman"/>
                <w:sz w:val="18"/>
              </w:rPr>
              <w:t>[18F]RP-115</w:t>
            </w:r>
          </w:p>
        </w:tc>
        <w:tc>
          <w:tcPr>
            <w:tcW w:w="2784" w:type="dxa"/>
            <w:tcBorders>
              <w:top w:val="single" w:sz="4" w:space="0" w:color="000000"/>
              <w:left w:val="single" w:sz="4" w:space="0" w:color="000000"/>
              <w:bottom w:val="single" w:sz="4" w:space="0" w:color="000000"/>
              <w:right w:val="single" w:sz="4" w:space="0" w:color="000000"/>
            </w:tcBorders>
          </w:tcPr>
          <w:p>
            <w:pPr>
              <w:pStyle w:val="TableParagraph"/>
              <w:spacing w:before="16"/>
              <w:ind w:left="100"/>
              <w:rPr>
                <w:rFonts w:ascii="Times New Roman"/>
                <w:sz w:val="18"/>
              </w:rPr>
            </w:pPr>
            <w:r>
              <w:rPr>
                <w:rFonts w:ascii="Times New Roman"/>
                <w:sz w:val="18"/>
              </w:rPr>
              <w:t>Rio Pharmaceuticals</w:t>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before="2"/>
              <w:ind w:left="101"/>
              <w:rPr>
                <w:sz w:val="18"/>
              </w:rPr>
            </w:pPr>
            <w:r>
              <w:rPr>
                <w:rFonts w:ascii="Times New Roman" w:eastAsia="Times New Roman"/>
                <w:sz w:val="18"/>
              </w:rPr>
              <w:t>I </w:t>
            </w:r>
            <w:r>
              <w:rPr>
                <w:sz w:val="18"/>
              </w:rPr>
              <w:t>期临床</w:t>
            </w:r>
          </w:p>
        </w:tc>
        <w:tc>
          <w:tcPr>
            <w:tcW w:w="1375" w:type="dxa"/>
            <w:tcBorders>
              <w:top w:val="single" w:sz="4" w:space="0" w:color="000000"/>
              <w:left w:val="single" w:sz="4" w:space="0" w:color="000000"/>
              <w:bottom w:val="single" w:sz="4" w:space="0" w:color="000000"/>
              <w:right w:val="single" w:sz="4" w:space="0" w:color="000000"/>
            </w:tcBorders>
          </w:tcPr>
          <w:p>
            <w:pPr>
              <w:pStyle w:val="TableParagraph"/>
              <w:spacing w:before="2"/>
              <w:ind w:left="104"/>
              <w:rPr>
                <w:sz w:val="18"/>
              </w:rPr>
            </w:pPr>
            <w:r>
              <w:rPr>
                <w:sz w:val="18"/>
              </w:rPr>
              <w:t>无申报</w:t>
            </w:r>
          </w:p>
        </w:tc>
        <w:tc>
          <w:tcPr>
            <w:tcW w:w="1516" w:type="dxa"/>
            <w:tcBorders>
              <w:top w:val="single" w:sz="4" w:space="0" w:color="000000"/>
              <w:left w:val="single" w:sz="4" w:space="0" w:color="000000"/>
              <w:bottom w:val="single" w:sz="4" w:space="0" w:color="000000"/>
              <w:right w:val="nil"/>
            </w:tcBorders>
          </w:tcPr>
          <w:p>
            <w:pPr>
              <w:pStyle w:val="TableParagraph"/>
              <w:spacing w:before="16"/>
              <w:ind w:left="102"/>
              <w:rPr>
                <w:rFonts w:ascii="Times New Roman"/>
                <w:sz w:val="18"/>
              </w:rPr>
            </w:pPr>
            <w:r>
              <w:rPr>
                <w:rFonts w:ascii="Times New Roman"/>
                <w:sz w:val="18"/>
              </w:rPr>
              <w:t>EAAT2</w:t>
            </w:r>
          </w:p>
        </w:tc>
        <w:tc>
          <w:tcPr>
            <w:tcW w:w="181" w:type="dxa"/>
            <w:vMerge/>
            <w:tcBorders>
              <w:top w:val="nil"/>
              <w:left w:val="nil"/>
              <w:bottom w:val="nil"/>
              <w:right w:val="nil"/>
            </w:tcBorders>
          </w:tcPr>
          <w:p>
            <w:pPr>
              <w:rPr>
                <w:sz w:val="2"/>
                <w:szCs w:val="2"/>
              </w:rPr>
            </w:pPr>
          </w:p>
        </w:tc>
      </w:tr>
      <w:tr>
        <w:trPr>
          <w:trHeight w:val="292" w:hRule="atLeast"/>
        </w:trPr>
        <w:tc>
          <w:tcPr>
            <w:tcW w:w="622" w:type="dxa"/>
            <w:vMerge/>
            <w:tcBorders>
              <w:top w:val="nil"/>
              <w:left w:val="nil"/>
              <w:bottom w:val="nil"/>
              <w:right w:val="nil"/>
            </w:tcBorders>
          </w:tcPr>
          <w:p>
            <w:pPr>
              <w:rPr>
                <w:sz w:val="2"/>
                <w:szCs w:val="2"/>
              </w:rPr>
            </w:pPr>
          </w:p>
        </w:tc>
        <w:tc>
          <w:tcPr>
            <w:tcW w:w="2307" w:type="dxa"/>
            <w:tcBorders>
              <w:top w:val="single" w:sz="4" w:space="0" w:color="000000"/>
              <w:left w:val="nil"/>
              <w:bottom w:val="single" w:sz="4" w:space="0" w:color="000000"/>
              <w:right w:val="single" w:sz="4" w:space="0" w:color="000000"/>
            </w:tcBorders>
          </w:tcPr>
          <w:p>
            <w:pPr>
              <w:pStyle w:val="TableParagraph"/>
              <w:spacing w:before="16"/>
              <w:ind w:left="108"/>
              <w:rPr>
                <w:rFonts w:ascii="Times New Roman"/>
                <w:sz w:val="18"/>
              </w:rPr>
            </w:pPr>
            <w:r>
              <w:rPr>
                <w:rFonts w:ascii="Times New Roman"/>
                <w:sz w:val="18"/>
              </w:rPr>
              <w:t>[18F]bavarostat</w:t>
            </w:r>
          </w:p>
        </w:tc>
        <w:tc>
          <w:tcPr>
            <w:tcW w:w="2784" w:type="dxa"/>
            <w:tcBorders>
              <w:top w:val="single" w:sz="4" w:space="0" w:color="000000"/>
              <w:left w:val="single" w:sz="4" w:space="0" w:color="000000"/>
              <w:bottom w:val="single" w:sz="4" w:space="0" w:color="000000"/>
              <w:right w:val="single" w:sz="4" w:space="0" w:color="000000"/>
            </w:tcBorders>
          </w:tcPr>
          <w:p>
            <w:pPr>
              <w:pStyle w:val="TableParagraph"/>
              <w:spacing w:before="16"/>
              <w:ind w:left="100"/>
              <w:rPr>
                <w:rFonts w:ascii="Times New Roman"/>
                <w:sz w:val="18"/>
              </w:rPr>
            </w:pPr>
            <w:r>
              <w:rPr>
                <w:rFonts w:ascii="Times New Roman"/>
                <w:sz w:val="18"/>
              </w:rPr>
              <w:t>Eikonizo Therapeutics</w:t>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before="2"/>
              <w:ind w:left="101"/>
              <w:rPr>
                <w:sz w:val="18"/>
              </w:rPr>
            </w:pPr>
            <w:r>
              <w:rPr>
                <w:rFonts w:ascii="Times New Roman" w:eastAsia="Times New Roman"/>
                <w:sz w:val="18"/>
              </w:rPr>
              <w:t>I </w:t>
            </w:r>
            <w:r>
              <w:rPr>
                <w:sz w:val="18"/>
              </w:rPr>
              <w:t>期临床</w:t>
            </w:r>
          </w:p>
        </w:tc>
        <w:tc>
          <w:tcPr>
            <w:tcW w:w="1375" w:type="dxa"/>
            <w:tcBorders>
              <w:top w:val="single" w:sz="4" w:space="0" w:color="000000"/>
              <w:left w:val="single" w:sz="4" w:space="0" w:color="000000"/>
              <w:bottom w:val="single" w:sz="4" w:space="0" w:color="000000"/>
              <w:right w:val="single" w:sz="4" w:space="0" w:color="000000"/>
            </w:tcBorders>
          </w:tcPr>
          <w:p>
            <w:pPr>
              <w:pStyle w:val="TableParagraph"/>
              <w:spacing w:before="2"/>
              <w:ind w:left="104"/>
              <w:rPr>
                <w:sz w:val="18"/>
              </w:rPr>
            </w:pPr>
            <w:r>
              <w:rPr>
                <w:sz w:val="18"/>
              </w:rPr>
              <w:t>无申报</w:t>
            </w:r>
          </w:p>
        </w:tc>
        <w:tc>
          <w:tcPr>
            <w:tcW w:w="1516" w:type="dxa"/>
            <w:tcBorders>
              <w:top w:val="single" w:sz="4" w:space="0" w:color="000000"/>
              <w:left w:val="single" w:sz="4" w:space="0" w:color="000000"/>
              <w:bottom w:val="single" w:sz="4" w:space="0" w:color="000000"/>
              <w:right w:val="nil"/>
            </w:tcBorders>
          </w:tcPr>
          <w:p>
            <w:pPr>
              <w:pStyle w:val="TableParagraph"/>
              <w:spacing w:before="16"/>
              <w:ind w:left="102"/>
              <w:rPr>
                <w:rFonts w:ascii="Times New Roman"/>
                <w:sz w:val="18"/>
              </w:rPr>
            </w:pPr>
            <w:r>
              <w:rPr>
                <w:rFonts w:ascii="Times New Roman"/>
                <w:sz w:val="18"/>
              </w:rPr>
              <w:t>HDAC6</w:t>
            </w:r>
          </w:p>
        </w:tc>
        <w:tc>
          <w:tcPr>
            <w:tcW w:w="181" w:type="dxa"/>
            <w:vMerge/>
            <w:tcBorders>
              <w:top w:val="nil"/>
              <w:left w:val="nil"/>
              <w:bottom w:val="nil"/>
              <w:right w:val="nil"/>
            </w:tcBorders>
          </w:tcPr>
          <w:p>
            <w:pPr>
              <w:rPr>
                <w:sz w:val="2"/>
                <w:szCs w:val="2"/>
              </w:rPr>
            </w:pPr>
          </w:p>
        </w:tc>
      </w:tr>
      <w:tr>
        <w:trPr>
          <w:trHeight w:val="292" w:hRule="atLeast"/>
        </w:trPr>
        <w:tc>
          <w:tcPr>
            <w:tcW w:w="622" w:type="dxa"/>
            <w:vMerge/>
            <w:tcBorders>
              <w:top w:val="nil"/>
              <w:left w:val="nil"/>
              <w:bottom w:val="nil"/>
              <w:right w:val="nil"/>
            </w:tcBorders>
          </w:tcPr>
          <w:p>
            <w:pPr>
              <w:rPr>
                <w:sz w:val="2"/>
                <w:szCs w:val="2"/>
              </w:rPr>
            </w:pPr>
          </w:p>
        </w:tc>
        <w:tc>
          <w:tcPr>
            <w:tcW w:w="2307" w:type="dxa"/>
            <w:tcBorders>
              <w:top w:val="single" w:sz="4" w:space="0" w:color="000000"/>
              <w:left w:val="nil"/>
              <w:bottom w:val="single" w:sz="4" w:space="0" w:color="000000"/>
              <w:right w:val="single" w:sz="4" w:space="0" w:color="000000"/>
            </w:tcBorders>
          </w:tcPr>
          <w:p>
            <w:pPr>
              <w:pStyle w:val="TableParagraph"/>
              <w:spacing w:before="17"/>
              <w:ind w:left="108"/>
              <w:rPr>
                <w:rFonts w:ascii="Times New Roman"/>
                <w:sz w:val="18"/>
              </w:rPr>
            </w:pPr>
            <w:r>
              <w:rPr>
                <w:rFonts w:ascii="Times New Roman"/>
                <w:sz w:val="18"/>
              </w:rPr>
              <w:t>11C-BU99008</w:t>
            </w:r>
          </w:p>
        </w:tc>
        <w:tc>
          <w:tcPr>
            <w:tcW w:w="2784" w:type="dxa"/>
            <w:tcBorders>
              <w:top w:val="single" w:sz="4" w:space="0" w:color="000000"/>
              <w:left w:val="single" w:sz="4" w:space="0" w:color="000000"/>
              <w:bottom w:val="single" w:sz="4" w:space="0" w:color="000000"/>
              <w:right w:val="single" w:sz="4" w:space="0" w:color="000000"/>
            </w:tcBorders>
          </w:tcPr>
          <w:p>
            <w:pPr>
              <w:pStyle w:val="TableParagraph"/>
              <w:spacing w:before="17"/>
              <w:ind w:left="100"/>
              <w:rPr>
                <w:rFonts w:ascii="Times New Roman"/>
                <w:sz w:val="18"/>
              </w:rPr>
            </w:pPr>
            <w:r>
              <w:rPr>
                <w:rFonts w:ascii="Times New Roman"/>
                <w:sz w:val="18"/>
              </w:rPr>
              <w:t>King's College London</w:t>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before="2"/>
              <w:ind w:left="101"/>
              <w:rPr>
                <w:sz w:val="18"/>
              </w:rPr>
            </w:pPr>
            <w:r>
              <w:rPr>
                <w:rFonts w:ascii="Times New Roman" w:eastAsia="Times New Roman"/>
                <w:sz w:val="18"/>
              </w:rPr>
              <w:t>I </w:t>
            </w:r>
            <w:r>
              <w:rPr>
                <w:sz w:val="18"/>
              </w:rPr>
              <w:t>期临床</w:t>
            </w:r>
          </w:p>
        </w:tc>
        <w:tc>
          <w:tcPr>
            <w:tcW w:w="1375" w:type="dxa"/>
            <w:tcBorders>
              <w:top w:val="single" w:sz="4" w:space="0" w:color="000000"/>
              <w:left w:val="single" w:sz="4" w:space="0" w:color="000000"/>
              <w:bottom w:val="single" w:sz="4" w:space="0" w:color="000000"/>
              <w:right w:val="single" w:sz="4" w:space="0" w:color="000000"/>
            </w:tcBorders>
          </w:tcPr>
          <w:p>
            <w:pPr>
              <w:pStyle w:val="TableParagraph"/>
              <w:spacing w:before="2"/>
              <w:ind w:left="104"/>
              <w:rPr>
                <w:sz w:val="18"/>
              </w:rPr>
            </w:pPr>
            <w:r>
              <w:rPr>
                <w:sz w:val="18"/>
              </w:rPr>
              <w:t>无申报</w:t>
            </w:r>
          </w:p>
        </w:tc>
        <w:tc>
          <w:tcPr>
            <w:tcW w:w="1516" w:type="dxa"/>
            <w:tcBorders>
              <w:top w:val="single" w:sz="4" w:space="0" w:color="000000"/>
              <w:left w:val="single" w:sz="4" w:space="0" w:color="000000"/>
              <w:bottom w:val="single" w:sz="4" w:space="0" w:color="000000"/>
              <w:right w:val="nil"/>
            </w:tcBorders>
          </w:tcPr>
          <w:p>
            <w:pPr>
              <w:pStyle w:val="TableParagraph"/>
              <w:spacing w:before="17"/>
              <w:ind w:left="102"/>
              <w:rPr>
                <w:rFonts w:ascii="Times New Roman"/>
                <w:sz w:val="18"/>
              </w:rPr>
            </w:pPr>
            <w:r>
              <w:rPr>
                <w:rFonts w:ascii="Times New Roman"/>
                <w:sz w:val="18"/>
              </w:rPr>
              <w:t>I2 receptor</w:t>
            </w:r>
          </w:p>
        </w:tc>
        <w:tc>
          <w:tcPr>
            <w:tcW w:w="181" w:type="dxa"/>
            <w:vMerge/>
            <w:tcBorders>
              <w:top w:val="nil"/>
              <w:left w:val="nil"/>
              <w:bottom w:val="nil"/>
              <w:right w:val="nil"/>
            </w:tcBorders>
          </w:tcPr>
          <w:p>
            <w:pPr>
              <w:rPr>
                <w:sz w:val="2"/>
                <w:szCs w:val="2"/>
              </w:rPr>
            </w:pPr>
          </w:p>
        </w:tc>
      </w:tr>
      <w:tr>
        <w:trPr>
          <w:trHeight w:val="290" w:hRule="atLeast"/>
        </w:trPr>
        <w:tc>
          <w:tcPr>
            <w:tcW w:w="622" w:type="dxa"/>
            <w:vMerge/>
            <w:tcBorders>
              <w:top w:val="nil"/>
              <w:left w:val="nil"/>
              <w:bottom w:val="nil"/>
              <w:right w:val="nil"/>
            </w:tcBorders>
          </w:tcPr>
          <w:p>
            <w:pPr>
              <w:rPr>
                <w:sz w:val="2"/>
                <w:szCs w:val="2"/>
              </w:rPr>
            </w:pPr>
          </w:p>
        </w:tc>
        <w:tc>
          <w:tcPr>
            <w:tcW w:w="2307" w:type="dxa"/>
            <w:tcBorders>
              <w:top w:val="single" w:sz="4" w:space="0" w:color="000000"/>
              <w:left w:val="nil"/>
              <w:bottom w:val="single" w:sz="4" w:space="0" w:color="000000"/>
              <w:right w:val="single" w:sz="4" w:space="0" w:color="000000"/>
            </w:tcBorders>
          </w:tcPr>
          <w:p>
            <w:pPr>
              <w:pStyle w:val="TableParagraph"/>
              <w:spacing w:before="16"/>
              <w:ind w:left="108"/>
              <w:rPr>
                <w:rFonts w:ascii="Times New Roman"/>
                <w:sz w:val="18"/>
              </w:rPr>
            </w:pPr>
            <w:r>
              <w:rPr>
                <w:rFonts w:ascii="Times New Roman"/>
                <w:sz w:val="18"/>
              </w:rPr>
              <w:t>[11C]MK-6884</w:t>
            </w:r>
          </w:p>
        </w:tc>
        <w:tc>
          <w:tcPr>
            <w:tcW w:w="2784" w:type="dxa"/>
            <w:tcBorders>
              <w:top w:val="single" w:sz="4" w:space="0" w:color="000000"/>
              <w:left w:val="single" w:sz="4" w:space="0" w:color="000000"/>
              <w:bottom w:val="single" w:sz="4" w:space="0" w:color="000000"/>
              <w:right w:val="single" w:sz="4" w:space="0" w:color="000000"/>
            </w:tcBorders>
          </w:tcPr>
          <w:p>
            <w:pPr>
              <w:pStyle w:val="TableParagraph"/>
              <w:spacing w:before="16"/>
              <w:ind w:left="100"/>
              <w:rPr>
                <w:rFonts w:ascii="Times New Roman"/>
                <w:sz w:val="18"/>
              </w:rPr>
            </w:pPr>
            <w:r>
              <w:rPr>
                <w:rFonts w:ascii="Times New Roman"/>
                <w:sz w:val="18"/>
              </w:rPr>
              <w:t>Merck &amp; Co.</w:t>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before="2"/>
              <w:ind w:left="101"/>
              <w:rPr>
                <w:sz w:val="18"/>
              </w:rPr>
            </w:pPr>
            <w:r>
              <w:rPr>
                <w:rFonts w:ascii="Times New Roman" w:eastAsia="Times New Roman"/>
                <w:sz w:val="18"/>
              </w:rPr>
              <w:t>I </w:t>
            </w:r>
            <w:r>
              <w:rPr>
                <w:sz w:val="18"/>
              </w:rPr>
              <w:t>期临床</w:t>
            </w:r>
          </w:p>
        </w:tc>
        <w:tc>
          <w:tcPr>
            <w:tcW w:w="1375" w:type="dxa"/>
            <w:tcBorders>
              <w:top w:val="single" w:sz="4" w:space="0" w:color="000000"/>
              <w:left w:val="single" w:sz="4" w:space="0" w:color="000000"/>
              <w:bottom w:val="single" w:sz="4" w:space="0" w:color="000000"/>
              <w:right w:val="single" w:sz="4" w:space="0" w:color="000000"/>
            </w:tcBorders>
          </w:tcPr>
          <w:p>
            <w:pPr>
              <w:pStyle w:val="TableParagraph"/>
              <w:spacing w:before="2"/>
              <w:ind w:left="104"/>
              <w:rPr>
                <w:sz w:val="18"/>
              </w:rPr>
            </w:pPr>
            <w:r>
              <w:rPr>
                <w:sz w:val="18"/>
              </w:rPr>
              <w:t>无申报</w:t>
            </w:r>
          </w:p>
        </w:tc>
        <w:tc>
          <w:tcPr>
            <w:tcW w:w="1516" w:type="dxa"/>
            <w:tcBorders>
              <w:top w:val="single" w:sz="4" w:space="0" w:color="000000"/>
              <w:left w:val="single" w:sz="4" w:space="0" w:color="000000"/>
              <w:bottom w:val="single" w:sz="4" w:space="0" w:color="000000"/>
              <w:right w:val="nil"/>
            </w:tcBorders>
          </w:tcPr>
          <w:p>
            <w:pPr>
              <w:pStyle w:val="TableParagraph"/>
              <w:spacing w:before="16"/>
              <w:ind w:left="102"/>
              <w:rPr>
                <w:rFonts w:ascii="Times New Roman"/>
                <w:sz w:val="18"/>
              </w:rPr>
            </w:pPr>
            <w:r>
              <w:rPr>
                <w:rFonts w:ascii="Times New Roman"/>
                <w:sz w:val="18"/>
              </w:rPr>
              <w:t>M4 receptor</w:t>
            </w:r>
          </w:p>
        </w:tc>
        <w:tc>
          <w:tcPr>
            <w:tcW w:w="181" w:type="dxa"/>
            <w:vMerge/>
            <w:tcBorders>
              <w:top w:val="nil"/>
              <w:left w:val="nil"/>
              <w:bottom w:val="nil"/>
              <w:right w:val="nil"/>
            </w:tcBorders>
          </w:tcPr>
          <w:p>
            <w:pPr>
              <w:rPr>
                <w:sz w:val="2"/>
                <w:szCs w:val="2"/>
              </w:rPr>
            </w:pPr>
          </w:p>
        </w:tc>
      </w:tr>
      <w:tr>
        <w:trPr>
          <w:trHeight w:val="292" w:hRule="atLeast"/>
        </w:trPr>
        <w:tc>
          <w:tcPr>
            <w:tcW w:w="622" w:type="dxa"/>
            <w:vMerge/>
            <w:tcBorders>
              <w:top w:val="nil"/>
              <w:left w:val="nil"/>
              <w:bottom w:val="nil"/>
              <w:right w:val="nil"/>
            </w:tcBorders>
          </w:tcPr>
          <w:p>
            <w:pPr>
              <w:rPr>
                <w:sz w:val="2"/>
                <w:szCs w:val="2"/>
              </w:rPr>
            </w:pPr>
          </w:p>
        </w:tc>
        <w:tc>
          <w:tcPr>
            <w:tcW w:w="2307" w:type="dxa"/>
            <w:tcBorders>
              <w:top w:val="single" w:sz="4" w:space="0" w:color="000000"/>
              <w:left w:val="nil"/>
              <w:bottom w:val="single" w:sz="4" w:space="0" w:color="000000"/>
              <w:right w:val="single" w:sz="4" w:space="0" w:color="000000"/>
            </w:tcBorders>
          </w:tcPr>
          <w:p>
            <w:pPr>
              <w:pStyle w:val="TableParagraph"/>
              <w:spacing w:before="16"/>
              <w:ind w:left="108"/>
              <w:rPr>
                <w:rFonts w:ascii="Times New Roman"/>
                <w:sz w:val="18"/>
              </w:rPr>
            </w:pPr>
            <w:r>
              <w:rPr>
                <w:rFonts w:ascii="Times New Roman"/>
                <w:sz w:val="18"/>
              </w:rPr>
              <w:t>18F-SMBT-1</w:t>
            </w:r>
          </w:p>
        </w:tc>
        <w:tc>
          <w:tcPr>
            <w:tcW w:w="2784" w:type="dxa"/>
            <w:tcBorders>
              <w:top w:val="single" w:sz="4" w:space="0" w:color="000000"/>
              <w:left w:val="single" w:sz="4" w:space="0" w:color="000000"/>
              <w:bottom w:val="single" w:sz="4" w:space="0" w:color="000000"/>
              <w:right w:val="single" w:sz="4" w:space="0" w:color="000000"/>
            </w:tcBorders>
          </w:tcPr>
          <w:p>
            <w:pPr>
              <w:pStyle w:val="TableParagraph"/>
              <w:spacing w:before="16"/>
              <w:ind w:left="100"/>
              <w:rPr>
                <w:rFonts w:ascii="Times New Roman"/>
                <w:sz w:val="18"/>
              </w:rPr>
            </w:pPr>
            <w:r>
              <w:rPr>
                <w:rFonts w:ascii="Times New Roman"/>
                <w:sz w:val="18"/>
              </w:rPr>
              <w:t>Tohoku University</w:t>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before="2"/>
              <w:ind w:left="101"/>
              <w:rPr>
                <w:sz w:val="18"/>
              </w:rPr>
            </w:pPr>
            <w:r>
              <w:rPr>
                <w:rFonts w:ascii="Times New Roman" w:eastAsia="Times New Roman"/>
                <w:sz w:val="18"/>
              </w:rPr>
              <w:t>I </w:t>
            </w:r>
            <w:r>
              <w:rPr>
                <w:sz w:val="18"/>
              </w:rPr>
              <w:t>期临床</w:t>
            </w:r>
          </w:p>
        </w:tc>
        <w:tc>
          <w:tcPr>
            <w:tcW w:w="1375" w:type="dxa"/>
            <w:tcBorders>
              <w:top w:val="single" w:sz="4" w:space="0" w:color="000000"/>
              <w:left w:val="single" w:sz="4" w:space="0" w:color="000000"/>
              <w:bottom w:val="single" w:sz="4" w:space="0" w:color="000000"/>
              <w:right w:val="single" w:sz="4" w:space="0" w:color="000000"/>
            </w:tcBorders>
          </w:tcPr>
          <w:p>
            <w:pPr>
              <w:pStyle w:val="TableParagraph"/>
              <w:spacing w:before="2"/>
              <w:ind w:left="104"/>
              <w:rPr>
                <w:sz w:val="18"/>
              </w:rPr>
            </w:pPr>
            <w:r>
              <w:rPr>
                <w:sz w:val="18"/>
              </w:rPr>
              <w:t>无申报</w:t>
            </w:r>
          </w:p>
        </w:tc>
        <w:tc>
          <w:tcPr>
            <w:tcW w:w="1516" w:type="dxa"/>
            <w:tcBorders>
              <w:top w:val="single" w:sz="4" w:space="0" w:color="000000"/>
              <w:left w:val="single" w:sz="4" w:space="0" w:color="000000"/>
              <w:bottom w:val="single" w:sz="4" w:space="0" w:color="000000"/>
              <w:right w:val="nil"/>
            </w:tcBorders>
          </w:tcPr>
          <w:p>
            <w:pPr>
              <w:pStyle w:val="TableParagraph"/>
              <w:spacing w:before="16"/>
              <w:ind w:left="102"/>
              <w:rPr>
                <w:rFonts w:ascii="Times New Roman"/>
                <w:sz w:val="18"/>
              </w:rPr>
            </w:pPr>
            <w:r>
              <w:rPr>
                <w:rFonts w:ascii="Times New Roman"/>
                <w:sz w:val="18"/>
              </w:rPr>
              <w:t>MAO-B</w:t>
            </w:r>
          </w:p>
        </w:tc>
        <w:tc>
          <w:tcPr>
            <w:tcW w:w="181" w:type="dxa"/>
            <w:vMerge/>
            <w:tcBorders>
              <w:top w:val="nil"/>
              <w:left w:val="nil"/>
              <w:bottom w:val="nil"/>
              <w:right w:val="nil"/>
            </w:tcBorders>
          </w:tcPr>
          <w:p>
            <w:pPr>
              <w:rPr>
                <w:sz w:val="2"/>
                <w:szCs w:val="2"/>
              </w:rPr>
            </w:pPr>
          </w:p>
        </w:tc>
      </w:tr>
      <w:tr>
        <w:trPr>
          <w:trHeight w:val="518" w:hRule="atLeast"/>
        </w:trPr>
        <w:tc>
          <w:tcPr>
            <w:tcW w:w="622" w:type="dxa"/>
            <w:vMerge/>
            <w:tcBorders>
              <w:top w:val="nil"/>
              <w:left w:val="nil"/>
              <w:bottom w:val="nil"/>
              <w:right w:val="nil"/>
            </w:tcBorders>
          </w:tcPr>
          <w:p>
            <w:pPr>
              <w:rPr>
                <w:sz w:val="2"/>
                <w:szCs w:val="2"/>
              </w:rPr>
            </w:pPr>
          </w:p>
        </w:tc>
        <w:tc>
          <w:tcPr>
            <w:tcW w:w="2307" w:type="dxa"/>
            <w:tcBorders>
              <w:top w:val="single" w:sz="4" w:space="0" w:color="000000"/>
              <w:left w:val="nil"/>
              <w:bottom w:val="single" w:sz="4" w:space="0" w:color="000000"/>
              <w:right w:val="single" w:sz="4" w:space="0" w:color="000000"/>
            </w:tcBorders>
          </w:tcPr>
          <w:p>
            <w:pPr>
              <w:pStyle w:val="TableParagraph"/>
              <w:spacing w:before="129"/>
              <w:ind w:left="108"/>
              <w:rPr>
                <w:rFonts w:ascii="Times New Roman"/>
                <w:sz w:val="18"/>
              </w:rPr>
            </w:pPr>
            <w:r>
              <w:rPr>
                <w:rFonts w:ascii="Times New Roman"/>
                <w:sz w:val="18"/>
              </w:rPr>
              <w:t>[18F]MC225</w:t>
            </w:r>
          </w:p>
        </w:tc>
        <w:tc>
          <w:tcPr>
            <w:tcW w:w="2784"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ind w:left="100"/>
              <w:rPr>
                <w:rFonts w:ascii="Times New Roman"/>
                <w:sz w:val="18"/>
              </w:rPr>
            </w:pPr>
            <w:r>
              <w:rPr>
                <w:rFonts w:ascii="Times New Roman"/>
                <w:sz w:val="18"/>
              </w:rPr>
              <w:t>University Medical Center</w:t>
            </w:r>
          </w:p>
          <w:p>
            <w:pPr>
              <w:pStyle w:val="TableParagraph"/>
              <w:spacing w:before="52"/>
              <w:ind w:left="100"/>
              <w:rPr>
                <w:rFonts w:ascii="Times New Roman"/>
                <w:sz w:val="18"/>
              </w:rPr>
            </w:pPr>
            <w:r>
              <w:rPr>
                <w:rFonts w:ascii="Times New Roman"/>
                <w:sz w:val="18"/>
              </w:rPr>
              <w:t>Groningen</w:t>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before="115"/>
              <w:ind w:left="101"/>
              <w:rPr>
                <w:sz w:val="18"/>
              </w:rPr>
            </w:pPr>
            <w:r>
              <w:rPr>
                <w:rFonts w:ascii="Times New Roman" w:eastAsia="Times New Roman"/>
                <w:sz w:val="18"/>
              </w:rPr>
              <w:t>I/II </w:t>
            </w:r>
            <w:r>
              <w:rPr>
                <w:sz w:val="18"/>
              </w:rPr>
              <w:t>期临床</w:t>
            </w:r>
          </w:p>
        </w:tc>
        <w:tc>
          <w:tcPr>
            <w:tcW w:w="1375" w:type="dxa"/>
            <w:tcBorders>
              <w:top w:val="single" w:sz="4" w:space="0" w:color="000000"/>
              <w:left w:val="single" w:sz="4" w:space="0" w:color="000000"/>
              <w:bottom w:val="single" w:sz="4" w:space="0" w:color="000000"/>
              <w:right w:val="single" w:sz="4" w:space="0" w:color="000000"/>
            </w:tcBorders>
          </w:tcPr>
          <w:p>
            <w:pPr>
              <w:pStyle w:val="TableParagraph"/>
              <w:spacing w:before="115"/>
              <w:ind w:left="104"/>
              <w:rPr>
                <w:sz w:val="18"/>
              </w:rPr>
            </w:pPr>
            <w:r>
              <w:rPr>
                <w:sz w:val="18"/>
              </w:rPr>
              <w:t>无申报</w:t>
            </w:r>
          </w:p>
        </w:tc>
        <w:tc>
          <w:tcPr>
            <w:tcW w:w="1516" w:type="dxa"/>
            <w:tcBorders>
              <w:top w:val="single" w:sz="4" w:space="0" w:color="000000"/>
              <w:left w:val="single" w:sz="4" w:space="0" w:color="000000"/>
              <w:bottom w:val="single" w:sz="4" w:space="0" w:color="000000"/>
              <w:right w:val="nil"/>
            </w:tcBorders>
          </w:tcPr>
          <w:p>
            <w:pPr>
              <w:pStyle w:val="TableParagraph"/>
              <w:spacing w:before="129"/>
              <w:ind w:left="102"/>
              <w:rPr>
                <w:rFonts w:ascii="Times New Roman"/>
                <w:sz w:val="18"/>
              </w:rPr>
            </w:pPr>
            <w:r>
              <w:rPr>
                <w:rFonts w:ascii="Times New Roman"/>
                <w:sz w:val="18"/>
              </w:rPr>
              <w:t>not available</w:t>
            </w:r>
          </w:p>
        </w:tc>
        <w:tc>
          <w:tcPr>
            <w:tcW w:w="181" w:type="dxa"/>
            <w:vMerge/>
            <w:tcBorders>
              <w:top w:val="nil"/>
              <w:left w:val="nil"/>
              <w:bottom w:val="nil"/>
              <w:right w:val="nil"/>
            </w:tcBorders>
          </w:tcPr>
          <w:p>
            <w:pPr>
              <w:rPr>
                <w:sz w:val="2"/>
                <w:szCs w:val="2"/>
              </w:rPr>
            </w:pPr>
          </w:p>
        </w:tc>
      </w:tr>
      <w:tr>
        <w:trPr>
          <w:trHeight w:val="292" w:hRule="atLeast"/>
        </w:trPr>
        <w:tc>
          <w:tcPr>
            <w:tcW w:w="622" w:type="dxa"/>
            <w:vMerge/>
            <w:tcBorders>
              <w:top w:val="nil"/>
              <w:left w:val="nil"/>
              <w:bottom w:val="nil"/>
              <w:right w:val="nil"/>
            </w:tcBorders>
          </w:tcPr>
          <w:p>
            <w:pPr>
              <w:rPr>
                <w:sz w:val="2"/>
                <w:szCs w:val="2"/>
              </w:rPr>
            </w:pPr>
          </w:p>
        </w:tc>
        <w:tc>
          <w:tcPr>
            <w:tcW w:w="2307" w:type="dxa"/>
            <w:tcBorders>
              <w:top w:val="single" w:sz="4" w:space="0" w:color="000000"/>
              <w:left w:val="nil"/>
              <w:bottom w:val="single" w:sz="4" w:space="0" w:color="000000"/>
              <w:right w:val="single" w:sz="4" w:space="0" w:color="000000"/>
            </w:tcBorders>
          </w:tcPr>
          <w:p>
            <w:pPr>
              <w:pStyle w:val="TableParagraph"/>
              <w:spacing w:before="16"/>
              <w:ind w:left="108"/>
              <w:rPr>
                <w:rFonts w:ascii="Times New Roman"/>
                <w:sz w:val="18"/>
              </w:rPr>
            </w:pPr>
            <w:r>
              <w:rPr>
                <w:rFonts w:ascii="Times New Roman"/>
                <w:sz w:val="18"/>
              </w:rPr>
              <w:t>18F-LSN3316612</w:t>
            </w:r>
          </w:p>
        </w:tc>
        <w:tc>
          <w:tcPr>
            <w:tcW w:w="2784" w:type="dxa"/>
            <w:tcBorders>
              <w:top w:val="single" w:sz="4" w:space="0" w:color="000000"/>
              <w:left w:val="single" w:sz="4" w:space="0" w:color="000000"/>
              <w:bottom w:val="single" w:sz="4" w:space="0" w:color="000000"/>
              <w:right w:val="single" w:sz="4" w:space="0" w:color="000000"/>
            </w:tcBorders>
          </w:tcPr>
          <w:p>
            <w:pPr>
              <w:pStyle w:val="TableParagraph"/>
              <w:spacing w:before="16"/>
              <w:ind w:left="100"/>
              <w:rPr>
                <w:rFonts w:ascii="Times New Roman"/>
                <w:sz w:val="18"/>
              </w:rPr>
            </w:pPr>
            <w:r>
              <w:rPr>
                <w:rFonts w:ascii="Times New Roman"/>
                <w:sz w:val="18"/>
              </w:rPr>
              <w:t>Eli Lilly</w:t>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before="2"/>
              <w:ind w:left="101"/>
              <w:rPr>
                <w:sz w:val="18"/>
              </w:rPr>
            </w:pPr>
            <w:r>
              <w:rPr>
                <w:rFonts w:ascii="Times New Roman" w:eastAsia="Times New Roman"/>
                <w:sz w:val="18"/>
              </w:rPr>
              <w:t>I </w:t>
            </w:r>
            <w:r>
              <w:rPr>
                <w:sz w:val="18"/>
              </w:rPr>
              <w:t>期临床</w:t>
            </w:r>
          </w:p>
        </w:tc>
        <w:tc>
          <w:tcPr>
            <w:tcW w:w="1375" w:type="dxa"/>
            <w:tcBorders>
              <w:top w:val="single" w:sz="4" w:space="0" w:color="000000"/>
              <w:left w:val="single" w:sz="4" w:space="0" w:color="000000"/>
              <w:bottom w:val="single" w:sz="4" w:space="0" w:color="000000"/>
              <w:right w:val="single" w:sz="4" w:space="0" w:color="000000"/>
            </w:tcBorders>
          </w:tcPr>
          <w:p>
            <w:pPr>
              <w:pStyle w:val="TableParagraph"/>
              <w:spacing w:before="2"/>
              <w:ind w:left="104"/>
              <w:rPr>
                <w:sz w:val="18"/>
              </w:rPr>
            </w:pPr>
            <w:r>
              <w:rPr>
                <w:sz w:val="18"/>
              </w:rPr>
              <w:t>无申报</w:t>
            </w:r>
          </w:p>
        </w:tc>
        <w:tc>
          <w:tcPr>
            <w:tcW w:w="1516" w:type="dxa"/>
            <w:tcBorders>
              <w:top w:val="single" w:sz="4" w:space="0" w:color="000000"/>
              <w:left w:val="single" w:sz="4" w:space="0" w:color="000000"/>
              <w:bottom w:val="single" w:sz="4" w:space="0" w:color="000000"/>
              <w:right w:val="nil"/>
            </w:tcBorders>
          </w:tcPr>
          <w:p>
            <w:pPr>
              <w:pStyle w:val="TableParagraph"/>
              <w:spacing w:before="16"/>
              <w:ind w:left="102"/>
              <w:rPr>
                <w:rFonts w:ascii="Times New Roman"/>
                <w:sz w:val="18"/>
              </w:rPr>
            </w:pPr>
            <w:r>
              <w:rPr>
                <w:rFonts w:ascii="Times New Roman"/>
                <w:sz w:val="18"/>
              </w:rPr>
              <w:t>OGA</w:t>
            </w:r>
          </w:p>
        </w:tc>
        <w:tc>
          <w:tcPr>
            <w:tcW w:w="181" w:type="dxa"/>
            <w:vMerge/>
            <w:tcBorders>
              <w:top w:val="nil"/>
              <w:left w:val="nil"/>
              <w:bottom w:val="nil"/>
              <w:right w:val="nil"/>
            </w:tcBorders>
          </w:tcPr>
          <w:p>
            <w:pPr>
              <w:rPr>
                <w:sz w:val="2"/>
                <w:szCs w:val="2"/>
              </w:rPr>
            </w:pPr>
          </w:p>
        </w:tc>
      </w:tr>
      <w:tr>
        <w:trPr>
          <w:trHeight w:val="290" w:hRule="atLeast"/>
        </w:trPr>
        <w:tc>
          <w:tcPr>
            <w:tcW w:w="622" w:type="dxa"/>
            <w:vMerge/>
            <w:tcBorders>
              <w:top w:val="nil"/>
              <w:left w:val="nil"/>
              <w:bottom w:val="nil"/>
              <w:right w:val="nil"/>
            </w:tcBorders>
          </w:tcPr>
          <w:p>
            <w:pPr>
              <w:rPr>
                <w:sz w:val="2"/>
                <w:szCs w:val="2"/>
              </w:rPr>
            </w:pPr>
          </w:p>
        </w:tc>
        <w:tc>
          <w:tcPr>
            <w:tcW w:w="2307" w:type="dxa"/>
            <w:tcBorders>
              <w:top w:val="single" w:sz="4" w:space="0" w:color="000000"/>
              <w:left w:val="nil"/>
              <w:bottom w:val="single" w:sz="4" w:space="0" w:color="000000"/>
              <w:right w:val="single" w:sz="4" w:space="0" w:color="000000"/>
            </w:tcBorders>
          </w:tcPr>
          <w:p>
            <w:pPr>
              <w:pStyle w:val="TableParagraph"/>
              <w:spacing w:before="16"/>
              <w:ind w:left="108"/>
              <w:rPr>
                <w:rFonts w:ascii="Times New Roman"/>
                <w:sz w:val="18"/>
              </w:rPr>
            </w:pPr>
            <w:r>
              <w:rPr>
                <w:rFonts w:ascii="Times New Roman"/>
                <w:sz w:val="18"/>
              </w:rPr>
              <w:t>11C-UCB-J</w:t>
            </w:r>
          </w:p>
        </w:tc>
        <w:tc>
          <w:tcPr>
            <w:tcW w:w="2784" w:type="dxa"/>
            <w:tcBorders>
              <w:top w:val="single" w:sz="4" w:space="0" w:color="000000"/>
              <w:left w:val="single" w:sz="4" w:space="0" w:color="000000"/>
              <w:bottom w:val="single" w:sz="4" w:space="0" w:color="000000"/>
              <w:right w:val="single" w:sz="4" w:space="0" w:color="000000"/>
            </w:tcBorders>
          </w:tcPr>
          <w:p>
            <w:pPr>
              <w:pStyle w:val="TableParagraph"/>
              <w:spacing w:before="16"/>
              <w:ind w:left="100"/>
              <w:rPr>
                <w:rFonts w:ascii="Times New Roman"/>
                <w:sz w:val="18"/>
              </w:rPr>
            </w:pPr>
            <w:r>
              <w:rPr>
                <w:rFonts w:ascii="Times New Roman"/>
                <w:sz w:val="18"/>
              </w:rPr>
              <w:t>UCB</w:t>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before="2"/>
              <w:ind w:left="101"/>
              <w:rPr>
                <w:sz w:val="18"/>
              </w:rPr>
            </w:pPr>
            <w:r>
              <w:rPr>
                <w:rFonts w:ascii="Times New Roman" w:eastAsia="Times New Roman"/>
                <w:sz w:val="18"/>
              </w:rPr>
              <w:t>II </w:t>
            </w:r>
            <w:r>
              <w:rPr>
                <w:sz w:val="18"/>
              </w:rPr>
              <w:t>期临床</w:t>
            </w:r>
          </w:p>
        </w:tc>
        <w:tc>
          <w:tcPr>
            <w:tcW w:w="1375" w:type="dxa"/>
            <w:tcBorders>
              <w:top w:val="single" w:sz="4" w:space="0" w:color="000000"/>
              <w:left w:val="single" w:sz="4" w:space="0" w:color="000000"/>
              <w:bottom w:val="single" w:sz="4" w:space="0" w:color="000000"/>
              <w:right w:val="single" w:sz="4" w:space="0" w:color="000000"/>
            </w:tcBorders>
          </w:tcPr>
          <w:p>
            <w:pPr>
              <w:pStyle w:val="TableParagraph"/>
              <w:spacing w:before="2"/>
              <w:ind w:left="104"/>
              <w:rPr>
                <w:sz w:val="18"/>
              </w:rPr>
            </w:pPr>
            <w:r>
              <w:rPr>
                <w:sz w:val="18"/>
              </w:rPr>
              <w:t>无申报</w:t>
            </w:r>
          </w:p>
        </w:tc>
        <w:tc>
          <w:tcPr>
            <w:tcW w:w="1516" w:type="dxa"/>
            <w:tcBorders>
              <w:top w:val="single" w:sz="4" w:space="0" w:color="000000"/>
              <w:left w:val="single" w:sz="4" w:space="0" w:color="000000"/>
              <w:bottom w:val="single" w:sz="4" w:space="0" w:color="000000"/>
              <w:right w:val="nil"/>
            </w:tcBorders>
          </w:tcPr>
          <w:p>
            <w:pPr>
              <w:pStyle w:val="TableParagraph"/>
              <w:spacing w:before="16"/>
              <w:ind w:left="102"/>
              <w:rPr>
                <w:rFonts w:ascii="Times New Roman"/>
                <w:sz w:val="18"/>
              </w:rPr>
            </w:pPr>
            <w:r>
              <w:rPr>
                <w:rFonts w:ascii="Times New Roman"/>
                <w:sz w:val="18"/>
              </w:rPr>
              <w:t>SV2A</w:t>
            </w:r>
          </w:p>
        </w:tc>
        <w:tc>
          <w:tcPr>
            <w:tcW w:w="181" w:type="dxa"/>
            <w:vMerge/>
            <w:tcBorders>
              <w:top w:val="nil"/>
              <w:left w:val="nil"/>
              <w:bottom w:val="nil"/>
              <w:right w:val="nil"/>
            </w:tcBorders>
          </w:tcPr>
          <w:p>
            <w:pPr>
              <w:rPr>
                <w:sz w:val="2"/>
                <w:szCs w:val="2"/>
              </w:rPr>
            </w:pPr>
          </w:p>
        </w:tc>
      </w:tr>
    </w:tbl>
    <w:p>
      <w:pPr>
        <w:spacing w:before="0"/>
        <w:ind w:left="1344" w:right="0" w:firstLine="0"/>
        <w:jc w:val="left"/>
        <w:rPr>
          <w:sz w:val="18"/>
        </w:rPr>
      </w:pPr>
      <w:r>
        <w:rPr>
          <w:sz w:val="18"/>
        </w:rPr>
        <w:t>资料来源：医药魔方，兴业证券经济与金融研究院整理</w:t>
      </w:r>
    </w:p>
    <w:p>
      <w:pPr>
        <w:pStyle w:val="BodyText"/>
        <w:spacing w:before="7"/>
        <w:rPr>
          <w:sz w:val="19"/>
        </w:rPr>
      </w:pPr>
    </w:p>
    <w:p>
      <w:pPr>
        <w:pStyle w:val="Heading3"/>
        <w:numPr>
          <w:ilvl w:val="2"/>
          <w:numId w:val="3"/>
        </w:numPr>
        <w:tabs>
          <w:tab w:pos="3858" w:val="left" w:leader="none"/>
        </w:tabs>
        <w:spacing w:line="240" w:lineRule="auto" w:before="3" w:after="0"/>
        <w:ind w:left="3857" w:right="0" w:hanging="695"/>
        <w:jc w:val="left"/>
        <w:rPr>
          <w:color w:val="333366"/>
        </w:rPr>
      </w:pPr>
      <w:bookmarkStart w:name="_bookmark32" w:id="48"/>
      <w:bookmarkEnd w:id="48"/>
      <w:r>
        <w:rPr>
          <w:b w:val="0"/>
        </w:rPr>
      </w:r>
      <w:bookmarkStart w:name="_bookmark32" w:id="49"/>
      <w:bookmarkEnd w:id="49"/>
      <w:r>
        <w:rPr>
          <w:color w:val="333366"/>
        </w:rPr>
        <w:t>AI</w:t>
      </w:r>
      <w:r>
        <w:rPr>
          <w:color w:val="333366"/>
          <w:spacing w:val="-1"/>
        </w:rPr>
        <w:t> 也可构成临床决策辅助的基础</w:t>
      </w:r>
    </w:p>
    <w:p>
      <w:pPr>
        <w:pStyle w:val="ListParagraph"/>
        <w:numPr>
          <w:ilvl w:val="0"/>
          <w:numId w:val="7"/>
        </w:numPr>
        <w:tabs>
          <w:tab w:pos="3480" w:val="left" w:leader="none"/>
        </w:tabs>
        <w:spacing w:line="342" w:lineRule="exact" w:before="152" w:after="0"/>
        <w:ind w:left="3163" w:right="726" w:firstLine="0"/>
        <w:jc w:val="both"/>
        <w:rPr>
          <w:rFonts w:ascii="Times New Roman" w:eastAsia="Times New Roman"/>
          <w:sz w:val="21"/>
        </w:rPr>
      </w:pPr>
      <w:r>
        <w:rPr>
          <w:rFonts w:ascii="Times New Roman" w:eastAsia="Times New Roman"/>
          <w:b/>
          <w:sz w:val="21"/>
        </w:rPr>
        <w:t>AI </w:t>
      </w:r>
      <w:r>
        <w:rPr>
          <w:rFonts w:ascii="Microsoft JhengHei" w:eastAsia="Microsoft JhengHei" w:hint="eastAsia"/>
          <w:b/>
          <w:sz w:val="21"/>
        </w:rPr>
        <w:t>算法可预测 </w:t>
      </w:r>
      <w:r>
        <w:rPr>
          <w:rFonts w:ascii="Times New Roman" w:eastAsia="Times New Roman"/>
          <w:b/>
          <w:sz w:val="21"/>
        </w:rPr>
        <w:t>2 </w:t>
      </w:r>
      <w:r>
        <w:rPr>
          <w:rFonts w:ascii="Microsoft JhengHei" w:eastAsia="Microsoft JhengHei" w:hint="eastAsia"/>
          <w:b/>
          <w:spacing w:val="-9"/>
          <w:sz w:val="21"/>
        </w:rPr>
        <w:t>年痴呆风险。</w:t>
      </w:r>
      <w:r>
        <w:rPr>
          <w:spacing w:val="-18"/>
          <w:sz w:val="21"/>
        </w:rPr>
        <w:t>英国 </w:t>
      </w:r>
      <w:r>
        <w:rPr>
          <w:rFonts w:ascii="Times New Roman" w:eastAsia="Times New Roman"/>
          <w:sz w:val="21"/>
        </w:rPr>
        <w:t>Llewellyn</w:t>
      </w:r>
      <w:r>
        <w:rPr>
          <w:rFonts w:ascii="Times New Roman" w:eastAsia="Times New Roman"/>
          <w:spacing w:val="1"/>
          <w:sz w:val="21"/>
        </w:rPr>
        <w:t> </w:t>
      </w:r>
      <w:r>
        <w:rPr>
          <w:spacing w:val="-3"/>
          <w:sz w:val="21"/>
        </w:rPr>
        <w:t>团队通过对患者在初诊时的家</w:t>
      </w:r>
      <w:r>
        <w:rPr>
          <w:spacing w:val="-13"/>
          <w:sz w:val="21"/>
        </w:rPr>
        <w:t>族史、病史、药物史等 </w:t>
      </w:r>
      <w:r>
        <w:rPr>
          <w:rFonts w:ascii="Times New Roman" w:eastAsia="Times New Roman"/>
          <w:sz w:val="21"/>
        </w:rPr>
        <w:t>256</w:t>
      </w:r>
      <w:r>
        <w:rPr>
          <w:rFonts w:ascii="Times New Roman" w:eastAsia="Times New Roman"/>
          <w:spacing w:val="6"/>
          <w:sz w:val="21"/>
        </w:rPr>
        <w:t> </w:t>
      </w:r>
      <w:r>
        <w:rPr>
          <w:spacing w:val="-9"/>
          <w:sz w:val="21"/>
        </w:rPr>
        <w:t>种临床病理数据进行整合，发现四种 </w:t>
      </w:r>
      <w:r>
        <w:rPr>
          <w:rFonts w:ascii="Times New Roman" w:eastAsia="Times New Roman"/>
          <w:sz w:val="21"/>
        </w:rPr>
        <w:t>AI</w:t>
      </w:r>
      <w:r>
        <w:rPr>
          <w:rFonts w:ascii="Times New Roman" w:eastAsia="Times New Roman"/>
          <w:spacing w:val="9"/>
          <w:sz w:val="21"/>
        </w:rPr>
        <w:t> </w:t>
      </w:r>
      <w:r>
        <w:rPr>
          <w:spacing w:val="-3"/>
          <w:sz w:val="21"/>
        </w:rPr>
        <w:t>模型的诊断性</w:t>
      </w:r>
      <w:r>
        <w:rPr>
          <w:spacing w:val="-18"/>
          <w:sz w:val="21"/>
        </w:rPr>
        <w:t>能相近，与 </w:t>
      </w:r>
      <w:r>
        <w:rPr>
          <w:rFonts w:ascii="Times New Roman" w:eastAsia="Times New Roman"/>
          <w:sz w:val="21"/>
        </w:rPr>
        <w:t>CAIDE</w:t>
      </w:r>
      <w:r>
        <w:rPr>
          <w:rFonts w:ascii="Times New Roman" w:eastAsia="Times New Roman"/>
          <w:spacing w:val="5"/>
          <w:sz w:val="21"/>
        </w:rPr>
        <w:t> </w:t>
      </w:r>
      <w:r>
        <w:rPr>
          <w:spacing w:val="-19"/>
          <w:sz w:val="21"/>
        </w:rPr>
        <w:t>模型、</w:t>
      </w:r>
      <w:r>
        <w:rPr>
          <w:rFonts w:ascii="Times New Roman" w:eastAsia="Times New Roman"/>
          <w:sz w:val="21"/>
        </w:rPr>
        <w:t>BDSI</w:t>
      </w:r>
      <w:r>
        <w:rPr>
          <w:rFonts w:ascii="Times New Roman" w:eastAsia="Times New Roman"/>
          <w:spacing w:val="3"/>
          <w:sz w:val="21"/>
        </w:rPr>
        <w:t> </w:t>
      </w:r>
      <w:r>
        <w:rPr>
          <w:spacing w:val="-12"/>
          <w:sz w:val="21"/>
        </w:rPr>
        <w:t>模型相比，都能够更加准确地预测未来 </w:t>
      </w:r>
      <w:r>
        <w:rPr>
          <w:rFonts w:ascii="Times New Roman" w:eastAsia="Times New Roman"/>
          <w:sz w:val="21"/>
        </w:rPr>
        <w:t>2</w:t>
      </w:r>
      <w:r>
        <w:rPr>
          <w:rFonts w:ascii="Times New Roman" w:eastAsia="Times New Roman"/>
          <w:spacing w:val="4"/>
          <w:sz w:val="21"/>
        </w:rPr>
        <w:t> </w:t>
      </w:r>
      <w:r>
        <w:rPr>
          <w:spacing w:val="-2"/>
          <w:sz w:val="21"/>
        </w:rPr>
        <w:t>年内的</w:t>
      </w:r>
      <w:r>
        <w:rPr>
          <w:rFonts w:ascii="Times New Roman" w:eastAsia="Times New Roman"/>
          <w:spacing w:val="-2"/>
          <w:sz w:val="21"/>
        </w:rPr>
        <w:t>AD</w:t>
      </w:r>
    </w:p>
    <w:p>
      <w:pPr>
        <w:pStyle w:val="BodyText"/>
        <w:spacing w:line="304" w:lineRule="auto" w:before="60"/>
        <w:ind w:left="3163" w:right="723"/>
        <w:jc w:val="both"/>
      </w:pPr>
      <w:r>
        <w:rPr>
          <w:spacing w:val="-7"/>
        </w:rPr>
        <w:t>风险，尤其是基于 </w:t>
      </w:r>
      <w:r>
        <w:rPr>
          <w:rFonts w:ascii="Times New Roman" w:hAnsi="Times New Roman" w:eastAsia="Times New Roman"/>
        </w:rPr>
        <w:t>XGB </w:t>
      </w:r>
      <w:r>
        <w:rPr>
          <w:spacing w:val="-17"/>
        </w:rPr>
        <w:t>的 </w:t>
      </w:r>
      <w:r>
        <w:rPr>
          <w:rFonts w:ascii="Times New Roman" w:hAnsi="Times New Roman" w:eastAsia="Times New Roman"/>
        </w:rPr>
        <w:t>AI </w:t>
      </w:r>
      <w:r>
        <w:rPr>
          <w:spacing w:val="-7"/>
        </w:rPr>
        <w:t>模型，准确率达 </w:t>
      </w:r>
      <w:r>
        <w:rPr>
          <w:rFonts w:ascii="Times New Roman" w:hAnsi="Times New Roman" w:eastAsia="Times New Roman"/>
        </w:rPr>
        <w:t>92%</w:t>
      </w:r>
      <w:r>
        <w:rPr/>
        <w:t>，</w:t>
      </w:r>
      <w:r>
        <w:rPr>
          <w:rFonts w:ascii="Times New Roman" w:hAnsi="Times New Roman" w:eastAsia="Times New Roman"/>
        </w:rPr>
        <w:t>AUC </w:t>
      </w:r>
      <w:r>
        <w:rPr>
          <w:spacing w:val="-19"/>
        </w:rPr>
        <w:t>达 </w:t>
      </w:r>
      <w:r>
        <w:rPr>
          <w:rFonts w:ascii="Times New Roman" w:hAnsi="Times New Roman" w:eastAsia="Times New Roman"/>
        </w:rPr>
        <w:t>0.92</w:t>
      </w:r>
      <w:r>
        <w:rPr>
          <w:spacing w:val="-3"/>
        </w:rPr>
        <w:t>。国内“脑医</w:t>
      </w:r>
      <w:r>
        <w:rPr>
          <w:spacing w:val="-10"/>
        </w:rPr>
        <w:t>生”亦可通过 </w:t>
      </w:r>
      <w:r>
        <w:rPr>
          <w:rFonts w:ascii="Times New Roman" w:hAnsi="Times New Roman" w:eastAsia="Times New Roman"/>
        </w:rPr>
        <w:t>MRI </w:t>
      </w:r>
      <w:r>
        <w:rPr>
          <w:spacing w:val="-3"/>
        </w:rPr>
        <w:t>图像辅助诊断。</w:t>
      </w:r>
    </w:p>
    <w:p>
      <w:pPr>
        <w:pStyle w:val="BodyText"/>
        <w:spacing w:before="6"/>
        <w:rPr>
          <w:sz w:val="18"/>
        </w:rPr>
      </w:pPr>
    </w:p>
    <w:p>
      <w:pPr>
        <w:pStyle w:val="ListParagraph"/>
        <w:numPr>
          <w:ilvl w:val="0"/>
          <w:numId w:val="7"/>
        </w:numPr>
        <w:tabs>
          <w:tab w:pos="3482" w:val="left" w:leader="none"/>
        </w:tabs>
        <w:spacing w:line="340" w:lineRule="exact" w:before="0" w:after="0"/>
        <w:ind w:left="3163" w:right="726" w:firstLine="0"/>
        <w:jc w:val="both"/>
        <w:rPr>
          <w:sz w:val="21"/>
        </w:rPr>
      </w:pPr>
      <w:r>
        <w:rPr>
          <w:rFonts w:ascii="Microsoft JhengHei" w:hAnsi="Microsoft JhengHei" w:eastAsia="Microsoft JhengHei" w:hint="eastAsia"/>
          <w:b/>
          <w:spacing w:val="-5"/>
          <w:sz w:val="21"/>
        </w:rPr>
        <w:t>阿尔茨海默病患者的声学改变为人工智能“听声辨痴呆”建立了理论基础</w:t>
      </w:r>
      <w:r>
        <w:rPr>
          <w:spacing w:val="-29"/>
          <w:sz w:val="21"/>
        </w:rPr>
        <w:t>。人</w:t>
      </w:r>
      <w:r>
        <w:rPr>
          <w:spacing w:val="-11"/>
          <w:sz w:val="21"/>
        </w:rPr>
        <w:t>工智能“听声辨痴呆”的诊断逻辑是大约 </w:t>
      </w:r>
      <w:r>
        <w:rPr>
          <w:rFonts w:ascii="Times New Roman" w:hAnsi="Times New Roman" w:eastAsia="Times New Roman"/>
          <w:sz w:val="21"/>
        </w:rPr>
        <w:t>60-80%</w:t>
      </w:r>
      <w:r>
        <w:rPr>
          <w:spacing w:val="-3"/>
          <w:sz w:val="21"/>
        </w:rPr>
        <w:t>阿尔茨海默氏症患者有语言障碍症状；除认知测试外，最常用的阿尔茨海默氏症早期检测测试还包括声学特征， </w:t>
      </w:r>
      <w:r>
        <w:rPr>
          <w:spacing w:val="3"/>
          <w:sz w:val="21"/>
        </w:rPr>
        <w:t>例如停顿、清晰度和声音质量。人工智能的方案是基于 </w:t>
      </w:r>
      <w:r>
        <w:rPr>
          <w:rFonts w:ascii="Times New Roman" w:hAnsi="Times New Roman" w:eastAsia="Times New Roman"/>
          <w:sz w:val="21"/>
        </w:rPr>
        <w:t>Framingham</w:t>
      </w:r>
      <w:r>
        <w:rPr>
          <w:rFonts w:ascii="Times New Roman" w:hAnsi="Times New Roman" w:eastAsia="Times New Roman"/>
          <w:spacing w:val="15"/>
          <w:sz w:val="21"/>
        </w:rPr>
        <w:t> </w:t>
      </w:r>
      <w:r>
        <w:rPr>
          <w:spacing w:val="3"/>
          <w:sz w:val="21"/>
        </w:rPr>
        <w:t>心脏研究</w:t>
      </w:r>
    </w:p>
    <w:p>
      <w:pPr>
        <w:pStyle w:val="BodyText"/>
        <w:spacing w:line="302" w:lineRule="auto" w:before="65"/>
        <w:ind w:left="3163" w:right="724"/>
        <w:jc w:val="both"/>
      </w:pPr>
      <w:r>
        <w:rPr/>
        <w:t>（</w:t>
      </w:r>
      <w:r>
        <w:rPr>
          <w:rFonts w:ascii="Times New Roman" w:eastAsia="Times New Roman"/>
        </w:rPr>
        <w:t>n=1084</w:t>
      </w:r>
      <w:r>
        <w:rPr/>
        <w:t>）进行的受试者神经心理学测试的数字语音记录的自动转录来识别痴呆的不同阶段，将测试中转录的句子编码为定量数据，并使用这些数据和参与者的人口统计特征训练和测试几个模型。结果显示，对照测试数据的平均曲线下面积</w:t>
      </w:r>
    </w:p>
    <w:p>
      <w:pPr>
        <w:pStyle w:val="BodyText"/>
        <w:spacing w:line="304" w:lineRule="auto" w:before="4"/>
        <w:ind w:left="3163" w:right="726"/>
        <w:jc w:val="both"/>
      </w:pPr>
      <w:r>
        <w:rPr>
          <w:spacing w:val="-5"/>
        </w:rPr>
        <w:t>（</w:t>
      </w:r>
      <w:r>
        <w:rPr>
          <w:rFonts w:ascii="Times New Roman" w:eastAsia="Times New Roman"/>
          <w:spacing w:val="-5"/>
        </w:rPr>
        <w:t>AUC</w:t>
      </w:r>
      <w:r>
        <w:rPr>
          <w:spacing w:val="-5"/>
        </w:rPr>
        <w:t>）</w:t>
      </w:r>
      <w:r>
        <w:rPr>
          <w:spacing w:val="-10"/>
        </w:rPr>
        <w:t>分别达到 </w:t>
      </w:r>
      <w:r>
        <w:rPr>
          <w:rFonts w:ascii="Times New Roman" w:eastAsia="Times New Roman"/>
        </w:rPr>
        <w:t>92.6%</w:t>
      </w:r>
      <w:r>
        <w:rPr>
          <w:spacing w:val="-14"/>
        </w:rPr>
        <w:t>、</w:t>
      </w:r>
      <w:r>
        <w:rPr>
          <w:rFonts w:ascii="Times New Roman" w:eastAsia="Times New Roman"/>
        </w:rPr>
        <w:t>88.0%</w:t>
      </w:r>
      <w:r>
        <w:rPr>
          <w:spacing w:val="-19"/>
        </w:rPr>
        <w:t>和 </w:t>
      </w:r>
      <w:r>
        <w:rPr>
          <w:rFonts w:ascii="Times New Roman" w:eastAsia="Times New Roman"/>
          <w:spacing w:val="-4"/>
        </w:rPr>
        <w:t>74.4%</w:t>
      </w:r>
      <w:r>
        <w:rPr>
          <w:spacing w:val="-5"/>
        </w:rPr>
        <w:t>，用于区分正常认知与痴呆、正常或轻</w:t>
      </w:r>
      <w:r>
        <w:rPr>
          <w:spacing w:val="-11"/>
        </w:rPr>
        <w:t>度认知障碍</w:t>
      </w:r>
      <w:r>
        <w:rPr>
          <w:spacing w:val="-9"/>
        </w:rPr>
        <w:t>（</w:t>
      </w:r>
      <w:r>
        <w:rPr>
          <w:rFonts w:ascii="Times New Roman" w:eastAsia="Times New Roman"/>
          <w:spacing w:val="-9"/>
        </w:rPr>
        <w:t>MCI</w:t>
      </w:r>
      <w:r>
        <w:rPr>
          <w:spacing w:val="-9"/>
        </w:rPr>
        <w:t>）</w:t>
      </w:r>
      <w:r>
        <w:rPr>
          <w:spacing w:val="-8"/>
        </w:rPr>
        <w:t>与痴呆以及正常与 </w:t>
      </w:r>
      <w:r>
        <w:rPr>
          <w:rFonts w:ascii="Times New Roman" w:eastAsia="Times New Roman"/>
        </w:rPr>
        <w:t>MCI</w:t>
      </w:r>
      <w:r>
        <w:rPr>
          <w:spacing w:val="-36"/>
        </w:rPr>
        <w:t>。</w:t>
      </w:r>
      <w:r>
        <w:rPr>
          <w:rFonts w:ascii="Times New Roman" w:eastAsia="Times New Roman"/>
        </w:rPr>
        <w:t>ChatGPT </w:t>
      </w:r>
      <w:r>
        <w:rPr>
          <w:spacing w:val="15"/>
        </w:rPr>
        <w:t>也会给</w:t>
      </w:r>
      <w:r>
        <w:rPr>
          <w:rFonts w:ascii="Times New Roman" w:eastAsia="Times New Roman"/>
        </w:rPr>
        <w:t>AI </w:t>
      </w:r>
      <w:r>
        <w:rPr>
          <w:spacing w:val="-3"/>
        </w:rPr>
        <w:t>诊断带来新的机遇。</w:t>
      </w:r>
    </w:p>
    <w:p>
      <w:pPr>
        <w:pStyle w:val="Heading2"/>
        <w:numPr>
          <w:ilvl w:val="1"/>
          <w:numId w:val="3"/>
        </w:numPr>
        <w:tabs>
          <w:tab w:pos="3714" w:val="left" w:leader="none"/>
        </w:tabs>
        <w:spacing w:line="240" w:lineRule="auto" w:before="176" w:after="0"/>
        <w:ind w:left="3713" w:right="0" w:hanging="551"/>
        <w:jc w:val="left"/>
      </w:pPr>
      <w:bookmarkStart w:name="_bookmark33" w:id="50"/>
      <w:bookmarkEnd w:id="50"/>
      <w:r>
        <w:rPr>
          <w:b w:val="0"/>
        </w:rPr>
      </w:r>
      <w:bookmarkStart w:name="_bookmark33" w:id="51"/>
      <w:bookmarkEnd w:id="51"/>
      <w:r>
        <w:rPr>
          <w:color w:val="333366"/>
        </w:rPr>
        <w:t>治疗方案</w:t>
      </w:r>
    </w:p>
    <w:p>
      <w:pPr>
        <w:pStyle w:val="BodyText"/>
        <w:spacing w:line="304" w:lineRule="auto" w:before="210"/>
        <w:ind w:left="3163" w:right="723"/>
        <w:jc w:val="both"/>
      </w:pPr>
      <w:r>
        <w:rPr>
          <w:rFonts w:ascii="Times New Roman" w:eastAsia="Times New Roman"/>
        </w:rPr>
        <w:t>AD </w:t>
      </w:r>
      <w:r>
        <w:rPr>
          <w:spacing w:val="-3"/>
        </w:rPr>
        <w:t>的治疗方法包括药物干预和非药物干预。药物干预的治疗机制包括抗淀粉样</w:t>
      </w:r>
      <w:r>
        <w:rPr>
          <w:spacing w:val="-7"/>
        </w:rPr>
        <w:t>蛋白治疗、抗 </w:t>
      </w:r>
      <w:r>
        <w:rPr>
          <w:rFonts w:ascii="Times New Roman" w:eastAsia="Times New Roman"/>
          <w:spacing w:val="-6"/>
        </w:rPr>
        <w:t>Tau </w:t>
      </w:r>
      <w:r>
        <w:rPr>
          <w:spacing w:val="-3"/>
        </w:rPr>
        <w:t>疗法、抗神经炎症治疗及神经保护剂，非药物干预的治疗机制包括深部脑刺激</w:t>
      </w:r>
      <w:r>
        <w:rPr/>
        <w:t>（</w:t>
      </w:r>
      <w:r>
        <w:rPr>
          <w:rFonts w:ascii="Times New Roman" w:eastAsia="Times New Roman"/>
        </w:rPr>
        <w:t>DBS</w:t>
      </w:r>
      <w:r>
        <w:rPr/>
        <w:t>）</w:t>
      </w:r>
      <w:r>
        <w:rPr>
          <w:spacing w:val="-3"/>
        </w:rPr>
        <w:t>、迷走神经刺激</w:t>
      </w:r>
      <w:r>
        <w:rPr/>
        <w:t>（</w:t>
      </w:r>
      <w:r>
        <w:rPr>
          <w:rFonts w:ascii="Times New Roman" w:eastAsia="Times New Roman"/>
        </w:rPr>
        <w:t>VNS</w:t>
      </w:r>
      <w:r>
        <w:rPr/>
        <w:t>）</w:t>
      </w:r>
      <w:r>
        <w:rPr>
          <w:spacing w:val="-3"/>
        </w:rPr>
        <w:t>、经颅磁刺激和经颅电刺激。</w:t>
      </w:r>
    </w:p>
    <w:p>
      <w:pPr>
        <w:spacing w:after="0" w:line="304" w:lineRule="auto"/>
        <w:jc w:val="both"/>
        <w:sectPr>
          <w:pgSz w:w="11910" w:h="16840"/>
          <w:pgMar w:header="868" w:footer="1201" w:top="1400" w:bottom="1400" w:left="240" w:right="400"/>
        </w:sectPr>
      </w:pPr>
    </w:p>
    <w:p>
      <w:pPr>
        <w:pStyle w:val="BodyText"/>
        <w:spacing w:before="4"/>
        <w:rPr>
          <w:sz w:val="13"/>
        </w:rPr>
      </w:pPr>
    </w:p>
    <w:p>
      <w:pPr>
        <w:pStyle w:val="BodyText"/>
        <w:spacing w:line="20" w:lineRule="exact"/>
        <w:ind w:left="614"/>
        <w:rPr>
          <w:sz w:val="2"/>
        </w:rPr>
      </w:pPr>
      <w:r>
        <w:rPr>
          <w:sz w:val="2"/>
        </w:rPr>
        <w:pict>
          <v:group style="width:508.1pt;height:.75pt;mso-position-horizontal-relative:char;mso-position-vertical-relative:line" coordorigin="0,0" coordsize="10162,15">
            <v:rect style="position:absolute;left:0;top:0;width:10162;height:15" filled="true" fillcolor="#333366" stroked="false">
              <v:fill type="solid"/>
            </v:rect>
          </v:group>
        </w:pict>
      </w:r>
      <w:r>
        <w:rPr>
          <w:sz w:val="2"/>
        </w:rPr>
      </w:r>
    </w:p>
    <w:p>
      <w:pPr>
        <w:pStyle w:val="Heading2"/>
        <w:numPr>
          <w:ilvl w:val="2"/>
          <w:numId w:val="3"/>
        </w:numPr>
        <w:tabs>
          <w:tab w:pos="3957" w:val="left" w:leader="none"/>
        </w:tabs>
        <w:spacing w:line="359" w:lineRule="exact" w:before="0" w:after="0"/>
        <w:ind w:left="3956" w:right="0" w:hanging="794"/>
        <w:jc w:val="left"/>
        <w:rPr>
          <w:color w:val="333366"/>
        </w:rPr>
      </w:pPr>
      <w:bookmarkStart w:name="_bookmark34" w:id="52"/>
      <w:bookmarkEnd w:id="52"/>
      <w:r>
        <w:rPr>
          <w:b w:val="0"/>
        </w:rPr>
      </w:r>
      <w:bookmarkStart w:name="_bookmark34" w:id="53"/>
      <w:bookmarkEnd w:id="53"/>
      <w:r>
        <w:rPr>
          <w:color w:val="333366"/>
        </w:rPr>
        <w:t>药物干预</w:t>
      </w:r>
    </w:p>
    <w:p>
      <w:pPr>
        <w:pStyle w:val="Heading3"/>
        <w:spacing w:before="141"/>
        <w:ind w:left="3163"/>
        <w:jc w:val="both"/>
      </w:pPr>
      <w:r>
        <w:rPr/>
        <w:t>传统的 </w:t>
      </w:r>
      <w:r>
        <w:rPr>
          <w:rFonts w:ascii="Times New Roman" w:eastAsia="Times New Roman"/>
        </w:rPr>
        <w:t>AD </w:t>
      </w:r>
      <w:r>
        <w:rPr/>
        <w:t>药物治疗包括认知症状、精神行为症状和中医药治疗。</w:t>
      </w:r>
    </w:p>
    <w:p>
      <w:pPr>
        <w:pStyle w:val="ListParagraph"/>
        <w:numPr>
          <w:ilvl w:val="0"/>
          <w:numId w:val="8"/>
        </w:numPr>
        <w:tabs>
          <w:tab w:pos="3482" w:val="left" w:leader="none"/>
        </w:tabs>
        <w:spacing w:line="304" w:lineRule="auto" w:before="24" w:after="0"/>
        <w:ind w:left="3163" w:right="724" w:firstLine="0"/>
        <w:jc w:val="both"/>
        <w:rPr>
          <w:sz w:val="21"/>
        </w:rPr>
      </w:pPr>
      <w:r>
        <w:rPr>
          <w:spacing w:val="-3"/>
          <w:sz w:val="21"/>
        </w:rPr>
        <w:t>认知症状的治疗方面，胆碱酯酶抑制剂</w:t>
      </w:r>
      <w:r>
        <w:rPr>
          <w:sz w:val="21"/>
        </w:rPr>
        <w:t>（</w:t>
      </w:r>
      <w:r>
        <w:rPr>
          <w:rFonts w:ascii="Times New Roman" w:eastAsia="Times New Roman"/>
          <w:sz w:val="21"/>
        </w:rPr>
        <w:t>ChEIs</w:t>
      </w:r>
      <w:r>
        <w:rPr>
          <w:sz w:val="21"/>
        </w:rPr>
        <w:t>）</w:t>
      </w:r>
      <w:r>
        <w:rPr>
          <w:spacing w:val="-6"/>
          <w:sz w:val="21"/>
        </w:rPr>
        <w:t>对轻中度 </w:t>
      </w:r>
      <w:r>
        <w:rPr>
          <w:rFonts w:ascii="Times New Roman" w:eastAsia="Times New Roman"/>
          <w:sz w:val="21"/>
        </w:rPr>
        <w:t>AD</w:t>
      </w:r>
      <w:r>
        <w:rPr>
          <w:rFonts w:ascii="Times New Roman" w:eastAsia="Times New Roman"/>
          <w:spacing w:val="27"/>
          <w:sz w:val="21"/>
        </w:rPr>
        <w:t> </w:t>
      </w:r>
      <w:r>
        <w:rPr>
          <w:spacing w:val="-3"/>
          <w:sz w:val="21"/>
        </w:rPr>
        <w:t>痴呆认知、功</w:t>
      </w:r>
      <w:r>
        <w:rPr>
          <w:spacing w:val="-13"/>
          <w:sz w:val="21"/>
        </w:rPr>
        <w:t>能、总体有效，用于重度 </w:t>
      </w:r>
      <w:r>
        <w:rPr>
          <w:rFonts w:ascii="Times New Roman" w:eastAsia="Times New Roman"/>
          <w:sz w:val="21"/>
        </w:rPr>
        <w:t>AD</w:t>
      </w:r>
      <w:r>
        <w:rPr>
          <w:rFonts w:ascii="Times New Roman" w:eastAsia="Times New Roman"/>
          <w:spacing w:val="9"/>
          <w:sz w:val="21"/>
        </w:rPr>
        <w:t> </w:t>
      </w:r>
      <w:r>
        <w:rPr>
          <w:spacing w:val="-7"/>
          <w:sz w:val="21"/>
        </w:rPr>
        <w:t>痴呆仍可获益</w:t>
      </w:r>
      <w:r>
        <w:rPr>
          <w:spacing w:val="-9"/>
          <w:sz w:val="21"/>
        </w:rPr>
        <w:t>（</w:t>
      </w:r>
      <w:r>
        <w:rPr>
          <w:rFonts w:ascii="Times New Roman" w:eastAsia="Times New Roman"/>
          <w:spacing w:val="-9"/>
          <w:sz w:val="21"/>
        </w:rPr>
        <w:t>1A</w:t>
      </w:r>
      <w:r>
        <w:rPr>
          <w:spacing w:val="-9"/>
          <w:sz w:val="21"/>
        </w:rPr>
        <w:t>）</w:t>
      </w:r>
      <w:r>
        <w:rPr>
          <w:spacing w:val="-14"/>
          <w:sz w:val="21"/>
        </w:rPr>
        <w:t>。多奈哌齐 </w:t>
      </w:r>
      <w:r>
        <w:rPr>
          <w:rFonts w:ascii="Times New Roman" w:eastAsia="Times New Roman"/>
          <w:sz w:val="21"/>
        </w:rPr>
        <w:t>10mg/d</w:t>
      </w:r>
      <w:r>
        <w:rPr>
          <w:rFonts w:ascii="Times New Roman" w:eastAsia="Times New Roman"/>
          <w:spacing w:val="8"/>
          <w:sz w:val="21"/>
        </w:rPr>
        <w:t> </w:t>
      </w:r>
      <w:r>
        <w:rPr>
          <w:spacing w:val="-3"/>
          <w:sz w:val="21"/>
        </w:rPr>
        <w:t>可产生最佳</w:t>
      </w:r>
      <w:r>
        <w:rPr>
          <w:spacing w:val="-11"/>
          <w:sz w:val="21"/>
        </w:rPr>
        <w:t>维持效果，认知获益突出，安全性好</w:t>
      </w:r>
      <w:r>
        <w:rPr>
          <w:spacing w:val="-9"/>
          <w:sz w:val="21"/>
        </w:rPr>
        <w:t>（</w:t>
      </w:r>
      <w:r>
        <w:rPr>
          <w:rFonts w:ascii="Times New Roman" w:eastAsia="Times New Roman"/>
          <w:spacing w:val="-9"/>
          <w:sz w:val="21"/>
        </w:rPr>
        <w:t>1A</w:t>
      </w:r>
      <w:r>
        <w:rPr>
          <w:spacing w:val="-9"/>
          <w:sz w:val="21"/>
        </w:rPr>
        <w:t>）</w:t>
      </w:r>
      <w:r>
        <w:rPr>
          <w:spacing w:val="-13"/>
          <w:sz w:val="21"/>
        </w:rPr>
        <w:t>。加兰他敏 </w:t>
      </w:r>
      <w:r>
        <w:rPr>
          <w:rFonts w:ascii="Times New Roman" w:eastAsia="Times New Roman"/>
          <w:sz w:val="21"/>
        </w:rPr>
        <w:t>24mg/d</w:t>
      </w:r>
      <w:r>
        <w:rPr>
          <w:rFonts w:ascii="Times New Roman" w:eastAsia="Times New Roman"/>
          <w:spacing w:val="13"/>
          <w:sz w:val="21"/>
        </w:rPr>
        <w:t> </w:t>
      </w:r>
      <w:r>
        <w:rPr>
          <w:spacing w:val="-3"/>
          <w:sz w:val="21"/>
        </w:rPr>
        <w:t>可产生最佳维持效</w:t>
      </w:r>
      <w:r>
        <w:rPr>
          <w:spacing w:val="-11"/>
          <w:sz w:val="21"/>
        </w:rPr>
        <w:t>果，总体获益明显，安全性好</w:t>
      </w:r>
      <w:r>
        <w:rPr>
          <w:spacing w:val="-10"/>
          <w:sz w:val="21"/>
        </w:rPr>
        <w:t>（</w:t>
      </w:r>
      <w:r>
        <w:rPr>
          <w:rFonts w:ascii="Times New Roman" w:eastAsia="Times New Roman"/>
          <w:spacing w:val="-10"/>
          <w:sz w:val="21"/>
        </w:rPr>
        <w:t>1A</w:t>
      </w:r>
      <w:r>
        <w:rPr>
          <w:spacing w:val="-10"/>
          <w:sz w:val="21"/>
        </w:rPr>
        <w:t>）</w:t>
      </w:r>
      <w:r>
        <w:rPr>
          <w:spacing w:val="-15"/>
          <w:sz w:val="21"/>
        </w:rPr>
        <w:t>。当一种 </w:t>
      </w:r>
      <w:r>
        <w:rPr>
          <w:rFonts w:ascii="Times New Roman" w:eastAsia="Times New Roman"/>
          <w:sz w:val="21"/>
        </w:rPr>
        <w:t>ChEI</w:t>
      </w:r>
      <w:r>
        <w:rPr>
          <w:rFonts w:ascii="Times New Roman" w:eastAsia="Times New Roman"/>
          <w:spacing w:val="15"/>
          <w:sz w:val="21"/>
        </w:rPr>
        <w:t> </w:t>
      </w:r>
      <w:r>
        <w:rPr>
          <w:spacing w:val="-3"/>
          <w:sz w:val="21"/>
        </w:rPr>
        <w:t>初始药物缺乏满意的疗效或不</w:t>
      </w:r>
      <w:r>
        <w:rPr>
          <w:spacing w:val="-12"/>
          <w:sz w:val="21"/>
        </w:rPr>
        <w:t>耐受时，换用另一种 </w:t>
      </w:r>
      <w:r>
        <w:rPr>
          <w:rFonts w:ascii="Times New Roman" w:eastAsia="Times New Roman"/>
          <w:sz w:val="21"/>
        </w:rPr>
        <w:t>ChEI</w:t>
      </w:r>
      <w:r>
        <w:rPr>
          <w:rFonts w:ascii="Times New Roman" w:eastAsia="Times New Roman"/>
          <w:spacing w:val="13"/>
          <w:sz w:val="21"/>
        </w:rPr>
        <w:t> </w:t>
      </w:r>
      <w:r>
        <w:rPr>
          <w:spacing w:val="-6"/>
          <w:sz w:val="21"/>
        </w:rPr>
        <w:t>可获得与初始药物相似的效果</w:t>
      </w:r>
      <w:r>
        <w:rPr>
          <w:spacing w:val="-10"/>
          <w:sz w:val="21"/>
        </w:rPr>
        <w:t>（</w:t>
      </w:r>
      <w:r>
        <w:rPr>
          <w:rFonts w:ascii="Times New Roman" w:eastAsia="Times New Roman"/>
          <w:spacing w:val="-10"/>
          <w:sz w:val="21"/>
        </w:rPr>
        <w:t>3C</w:t>
      </w:r>
      <w:r>
        <w:rPr>
          <w:spacing w:val="-10"/>
          <w:sz w:val="21"/>
        </w:rPr>
        <w:t>）</w:t>
      </w:r>
      <w:r>
        <w:rPr>
          <w:spacing w:val="-8"/>
          <w:sz w:val="21"/>
        </w:rPr>
        <w:t>。谷氨酸受体拮抗</w:t>
      </w:r>
      <w:r>
        <w:rPr>
          <w:spacing w:val="-16"/>
          <w:sz w:val="21"/>
        </w:rPr>
        <w:t>剂美金刚 </w:t>
      </w:r>
      <w:r>
        <w:rPr>
          <w:rFonts w:ascii="Times New Roman" w:eastAsia="Times New Roman"/>
          <w:sz w:val="21"/>
        </w:rPr>
        <w:t>20mg/d</w:t>
      </w:r>
      <w:r>
        <w:rPr>
          <w:rFonts w:ascii="Times New Roman" w:eastAsia="Times New Roman"/>
          <w:spacing w:val="1"/>
          <w:sz w:val="21"/>
        </w:rPr>
        <w:t> </w:t>
      </w:r>
      <w:r>
        <w:rPr>
          <w:spacing w:val="-13"/>
          <w:sz w:val="21"/>
        </w:rPr>
        <w:t>对中重度 </w:t>
      </w:r>
      <w:r>
        <w:rPr>
          <w:rFonts w:ascii="Times New Roman" w:eastAsia="Times New Roman"/>
          <w:sz w:val="21"/>
        </w:rPr>
        <w:t>AD</w:t>
      </w:r>
      <w:r>
        <w:rPr>
          <w:rFonts w:ascii="Times New Roman" w:eastAsia="Times New Roman"/>
          <w:spacing w:val="-1"/>
          <w:sz w:val="21"/>
        </w:rPr>
        <w:t> </w:t>
      </w:r>
      <w:r>
        <w:rPr>
          <w:spacing w:val="-3"/>
          <w:sz w:val="21"/>
        </w:rPr>
        <w:t>痴呆的认知和总体有轻微疗效</w:t>
      </w:r>
      <w:r>
        <w:rPr>
          <w:sz w:val="21"/>
        </w:rPr>
        <w:t>（</w:t>
      </w:r>
      <w:r>
        <w:rPr>
          <w:rFonts w:ascii="Times New Roman" w:eastAsia="Times New Roman"/>
          <w:sz w:val="21"/>
        </w:rPr>
        <w:t>1A</w:t>
      </w:r>
      <w:r>
        <w:rPr>
          <w:sz w:val="21"/>
        </w:rPr>
        <w:t>）。</w:t>
      </w:r>
    </w:p>
    <w:p>
      <w:pPr>
        <w:pStyle w:val="ListParagraph"/>
        <w:numPr>
          <w:ilvl w:val="0"/>
          <w:numId w:val="8"/>
        </w:numPr>
        <w:tabs>
          <w:tab w:pos="3482" w:val="left" w:leader="none"/>
        </w:tabs>
        <w:spacing w:line="304" w:lineRule="auto" w:before="0" w:after="0"/>
        <w:ind w:left="3163" w:right="723" w:firstLine="0"/>
        <w:jc w:val="both"/>
        <w:rPr>
          <w:sz w:val="21"/>
        </w:rPr>
      </w:pPr>
      <w:r>
        <w:rPr>
          <w:spacing w:val="-8"/>
          <w:sz w:val="21"/>
        </w:rPr>
        <w:t>精神行为症状的治疗方面，非典型抗精神病药可缓解 </w:t>
      </w:r>
      <w:r>
        <w:rPr>
          <w:rFonts w:ascii="Times New Roman" w:eastAsia="Times New Roman"/>
          <w:sz w:val="21"/>
        </w:rPr>
        <w:t>AD</w:t>
      </w:r>
      <w:r>
        <w:rPr>
          <w:rFonts w:ascii="Times New Roman" w:eastAsia="Times New Roman"/>
          <w:spacing w:val="11"/>
          <w:sz w:val="21"/>
        </w:rPr>
        <w:t> </w:t>
      </w:r>
      <w:r>
        <w:rPr>
          <w:spacing w:val="-3"/>
          <w:sz w:val="21"/>
        </w:rPr>
        <w:t>引起的精神和行为症</w:t>
      </w:r>
      <w:r>
        <w:rPr>
          <w:spacing w:val="-13"/>
          <w:sz w:val="21"/>
        </w:rPr>
        <w:t>状，但都有加重认知损害等风险</w:t>
      </w:r>
      <w:r>
        <w:rPr>
          <w:spacing w:val="-16"/>
          <w:sz w:val="21"/>
        </w:rPr>
        <w:t>（</w:t>
      </w:r>
      <w:r>
        <w:rPr>
          <w:rFonts w:ascii="Times New Roman" w:eastAsia="Times New Roman"/>
          <w:spacing w:val="-16"/>
          <w:sz w:val="21"/>
        </w:rPr>
        <w:t>2B</w:t>
      </w:r>
      <w:r>
        <w:rPr>
          <w:spacing w:val="-16"/>
          <w:sz w:val="21"/>
        </w:rPr>
        <w:t>）</w:t>
      </w:r>
      <w:r>
        <w:rPr>
          <w:spacing w:val="-15"/>
          <w:sz w:val="21"/>
        </w:rPr>
        <w:t>。奥氮平缓解 </w:t>
      </w:r>
      <w:r>
        <w:rPr>
          <w:rFonts w:ascii="Times New Roman" w:eastAsia="Times New Roman"/>
          <w:sz w:val="21"/>
        </w:rPr>
        <w:t>AD</w:t>
      </w:r>
      <w:r>
        <w:rPr>
          <w:rFonts w:ascii="Times New Roman" w:eastAsia="Times New Roman"/>
          <w:spacing w:val="20"/>
          <w:sz w:val="21"/>
        </w:rPr>
        <w:t> </w:t>
      </w:r>
      <w:r>
        <w:rPr>
          <w:spacing w:val="-3"/>
          <w:sz w:val="21"/>
        </w:rPr>
        <w:t>精神和行为症状较突出，利培酮次之，喹硫平再次之</w:t>
      </w:r>
      <w:r>
        <w:rPr>
          <w:sz w:val="21"/>
        </w:rPr>
        <w:t>（</w:t>
      </w:r>
      <w:r>
        <w:rPr>
          <w:rFonts w:ascii="Times New Roman" w:eastAsia="Times New Roman"/>
          <w:sz w:val="21"/>
        </w:rPr>
        <w:t>2B</w:t>
      </w:r>
      <w:r>
        <w:rPr>
          <w:sz w:val="21"/>
        </w:rPr>
        <w:t>）。</w:t>
      </w:r>
      <w:r>
        <w:rPr>
          <w:rFonts w:ascii="Times New Roman" w:eastAsia="Times New Roman"/>
          <w:sz w:val="21"/>
        </w:rPr>
        <w:t>5-</w:t>
      </w:r>
      <w:r>
        <w:rPr>
          <w:spacing w:val="-5"/>
          <w:sz w:val="21"/>
        </w:rPr>
        <w:t>羟色胺类药物匹莫范色林对 </w:t>
      </w:r>
      <w:r>
        <w:rPr>
          <w:rFonts w:ascii="Times New Roman" w:eastAsia="Times New Roman"/>
          <w:sz w:val="21"/>
        </w:rPr>
        <w:t>AD</w:t>
      </w:r>
      <w:r>
        <w:rPr>
          <w:rFonts w:ascii="Times New Roman" w:eastAsia="Times New Roman"/>
          <w:spacing w:val="28"/>
          <w:sz w:val="21"/>
        </w:rPr>
        <w:t> </w:t>
      </w:r>
      <w:r>
        <w:rPr>
          <w:spacing w:val="-2"/>
          <w:sz w:val="21"/>
        </w:rPr>
        <w:t>痴呆的精</w:t>
      </w:r>
      <w:r>
        <w:rPr>
          <w:spacing w:val="-3"/>
          <w:sz w:val="21"/>
        </w:rPr>
        <w:t>神症状有短期效益</w:t>
      </w:r>
      <w:r>
        <w:rPr>
          <w:sz w:val="21"/>
        </w:rPr>
        <w:t>（</w:t>
      </w:r>
      <w:r>
        <w:rPr>
          <w:rFonts w:ascii="Times New Roman" w:eastAsia="Times New Roman"/>
          <w:sz w:val="21"/>
        </w:rPr>
        <w:t>2B</w:t>
      </w:r>
      <w:r>
        <w:rPr>
          <w:sz w:val="21"/>
        </w:rPr>
        <w:t>）。</w:t>
      </w:r>
    </w:p>
    <w:p>
      <w:pPr>
        <w:pStyle w:val="ListParagraph"/>
        <w:numPr>
          <w:ilvl w:val="0"/>
          <w:numId w:val="8"/>
        </w:numPr>
        <w:tabs>
          <w:tab w:pos="3482" w:val="left" w:leader="none"/>
        </w:tabs>
        <w:spacing w:line="302" w:lineRule="auto" w:before="0" w:after="0"/>
        <w:ind w:left="3163" w:right="726" w:firstLine="0"/>
        <w:jc w:val="both"/>
        <w:rPr>
          <w:sz w:val="21"/>
        </w:rPr>
      </w:pPr>
      <w:r>
        <w:rPr>
          <w:spacing w:val="-9"/>
          <w:sz w:val="21"/>
        </w:rPr>
        <w:t>中医药治疗 </w:t>
      </w:r>
      <w:r>
        <w:rPr>
          <w:rFonts w:ascii="Times New Roman" w:eastAsia="Times New Roman"/>
          <w:sz w:val="21"/>
        </w:rPr>
        <w:t>AD</w:t>
      </w:r>
      <w:r>
        <w:rPr>
          <w:rFonts w:ascii="Times New Roman" w:eastAsia="Times New Roman"/>
          <w:spacing w:val="12"/>
          <w:sz w:val="21"/>
        </w:rPr>
        <w:t> </w:t>
      </w:r>
      <w:r>
        <w:rPr>
          <w:spacing w:val="-7"/>
          <w:sz w:val="21"/>
        </w:rPr>
        <w:t>痴呆可根据临床分期，通过辨证施治进行个体化治疗</w:t>
      </w:r>
      <w:r>
        <w:rPr>
          <w:spacing w:val="-8"/>
          <w:sz w:val="21"/>
        </w:rPr>
        <w:t>（</w:t>
      </w:r>
      <w:r>
        <w:rPr>
          <w:rFonts w:ascii="Times New Roman" w:eastAsia="Times New Roman"/>
          <w:spacing w:val="-8"/>
          <w:sz w:val="21"/>
        </w:rPr>
        <w:t>3C</w:t>
      </w:r>
      <w:r>
        <w:rPr>
          <w:spacing w:val="-8"/>
          <w:sz w:val="21"/>
        </w:rPr>
        <w:t>） </w:t>
      </w:r>
      <w:r>
        <w:rPr>
          <w:spacing w:val="-6"/>
          <w:sz w:val="21"/>
        </w:rPr>
        <w:t>。清宫寿桃丸对前驱期 </w:t>
      </w:r>
      <w:r>
        <w:rPr>
          <w:rFonts w:ascii="Times New Roman" w:eastAsia="Times New Roman"/>
          <w:sz w:val="21"/>
        </w:rPr>
        <w:t>AD</w:t>
      </w:r>
      <w:r>
        <w:rPr>
          <w:rFonts w:ascii="Times New Roman" w:eastAsia="Times New Roman"/>
          <w:spacing w:val="22"/>
          <w:sz w:val="21"/>
        </w:rPr>
        <w:t> </w:t>
      </w:r>
      <w:r>
        <w:rPr>
          <w:spacing w:val="-1"/>
          <w:sz w:val="21"/>
        </w:rPr>
        <w:t>认知有益</w:t>
      </w:r>
      <w:r>
        <w:rPr>
          <w:sz w:val="21"/>
        </w:rPr>
        <w:t>（</w:t>
      </w:r>
      <w:r>
        <w:rPr>
          <w:rFonts w:ascii="Times New Roman" w:eastAsia="Times New Roman"/>
          <w:sz w:val="21"/>
        </w:rPr>
        <w:t>2B</w:t>
      </w:r>
      <w:r>
        <w:rPr>
          <w:sz w:val="21"/>
        </w:rPr>
        <w:t>）</w:t>
      </w:r>
      <w:r>
        <w:rPr>
          <w:spacing w:val="-7"/>
          <w:sz w:val="21"/>
        </w:rPr>
        <w:t>，银杏叶提取物 </w:t>
      </w:r>
      <w:r>
        <w:rPr>
          <w:rFonts w:ascii="Times New Roman" w:eastAsia="Times New Roman"/>
          <w:sz w:val="21"/>
        </w:rPr>
        <w:t>EGb761</w:t>
      </w:r>
      <w:r>
        <w:rPr>
          <w:rFonts w:ascii="Times New Roman" w:eastAsia="Times New Roman"/>
          <w:spacing w:val="20"/>
          <w:sz w:val="21"/>
        </w:rPr>
        <w:t> </w:t>
      </w:r>
      <w:r>
        <w:rPr>
          <w:spacing w:val="-2"/>
          <w:sz w:val="21"/>
        </w:rPr>
        <w:t>对早中期</w:t>
      </w:r>
      <w:r>
        <w:rPr>
          <w:rFonts w:ascii="Times New Roman" w:eastAsia="Times New Roman"/>
          <w:spacing w:val="-2"/>
          <w:sz w:val="21"/>
        </w:rPr>
        <w:t>AD</w:t>
      </w:r>
      <w:r>
        <w:rPr>
          <w:spacing w:val="-3"/>
          <w:sz w:val="21"/>
        </w:rPr>
        <w:t>痴呆认知、行为和功能有轻微疗效</w:t>
      </w:r>
      <w:r>
        <w:rPr>
          <w:sz w:val="21"/>
        </w:rPr>
        <w:t>（</w:t>
      </w:r>
      <w:r>
        <w:rPr>
          <w:rFonts w:ascii="Times New Roman" w:eastAsia="Times New Roman"/>
          <w:sz w:val="21"/>
        </w:rPr>
        <w:t>2B</w:t>
      </w:r>
      <w:r>
        <w:rPr>
          <w:sz w:val="21"/>
        </w:rPr>
        <w:t>）</w:t>
      </w:r>
      <w:r>
        <w:rPr>
          <w:spacing w:val="-7"/>
          <w:sz w:val="21"/>
        </w:rPr>
        <w:t>。序贯疗法加常规西药对 </w:t>
      </w:r>
      <w:r>
        <w:rPr>
          <w:rFonts w:ascii="Times New Roman" w:eastAsia="Times New Roman"/>
          <w:sz w:val="21"/>
        </w:rPr>
        <w:t>AD</w:t>
      </w:r>
      <w:r>
        <w:rPr>
          <w:rFonts w:ascii="Times New Roman" w:eastAsia="Times New Roman"/>
          <w:spacing w:val="4"/>
          <w:sz w:val="21"/>
        </w:rPr>
        <w:t> </w:t>
      </w:r>
      <w:r>
        <w:rPr>
          <w:spacing w:val="-2"/>
          <w:sz w:val="21"/>
        </w:rPr>
        <w:t>痴呆</w:t>
      </w:r>
      <w:r>
        <w:rPr>
          <w:spacing w:val="-3"/>
          <w:sz w:val="21"/>
        </w:rPr>
        <w:t>认知和行为有协同效益</w:t>
      </w:r>
      <w:r>
        <w:rPr>
          <w:sz w:val="21"/>
        </w:rPr>
        <w:t>（</w:t>
      </w:r>
      <w:r>
        <w:rPr>
          <w:rFonts w:ascii="Times New Roman" w:eastAsia="Times New Roman"/>
          <w:sz w:val="21"/>
        </w:rPr>
        <w:t>3C</w:t>
      </w:r>
      <w:r>
        <w:rPr>
          <w:sz w:val="21"/>
        </w:rPr>
        <w:t>）。</w:t>
      </w:r>
    </w:p>
    <w:p>
      <w:pPr>
        <w:pStyle w:val="BodyText"/>
        <w:spacing w:before="9"/>
        <w:rPr>
          <w:sz w:val="17"/>
        </w:rPr>
      </w:pPr>
    </w:p>
    <w:p>
      <w:pPr>
        <w:spacing w:line="254" w:lineRule="auto" w:before="0"/>
        <w:ind w:left="3163" w:right="724" w:firstLine="0"/>
        <w:jc w:val="both"/>
        <w:rPr>
          <w:sz w:val="21"/>
        </w:rPr>
      </w:pPr>
      <w:r>
        <w:rPr>
          <w:rFonts w:ascii="Times New Roman" w:eastAsia="Times New Roman"/>
          <w:b/>
          <w:sz w:val="21"/>
        </w:rPr>
        <w:t>AD </w:t>
      </w:r>
      <w:r>
        <w:rPr>
          <w:rFonts w:ascii="Microsoft JhengHei" w:eastAsia="Microsoft JhengHei" w:hint="eastAsia"/>
          <w:b/>
          <w:sz w:val="21"/>
        </w:rPr>
        <w:t>新药研发成功率低至 </w:t>
      </w:r>
      <w:r>
        <w:rPr>
          <w:rFonts w:ascii="Times New Roman" w:eastAsia="Times New Roman"/>
          <w:b/>
          <w:spacing w:val="-11"/>
          <w:sz w:val="21"/>
        </w:rPr>
        <w:t>2.7%</w:t>
      </w:r>
      <w:r>
        <w:rPr>
          <w:rFonts w:ascii="Microsoft JhengHei" w:eastAsia="Microsoft JhengHei" w:hint="eastAsia"/>
          <w:b/>
          <w:spacing w:val="-2"/>
          <w:sz w:val="21"/>
        </w:rPr>
        <w:t>，甚至有近 </w:t>
      </w:r>
      <w:r>
        <w:rPr>
          <w:rFonts w:ascii="Times New Roman" w:eastAsia="Times New Roman"/>
          <w:b/>
          <w:sz w:val="21"/>
        </w:rPr>
        <w:t>18%</w:t>
      </w:r>
      <w:r>
        <w:rPr>
          <w:rFonts w:ascii="Microsoft JhengHei" w:eastAsia="Microsoft JhengHei" w:hint="eastAsia"/>
          <w:b/>
          <w:sz w:val="21"/>
        </w:rPr>
        <w:t>的产品在临床 </w:t>
      </w:r>
      <w:r>
        <w:rPr>
          <w:rFonts w:ascii="Times New Roman" w:eastAsia="Times New Roman"/>
          <w:b/>
          <w:sz w:val="21"/>
        </w:rPr>
        <w:t>3 </w:t>
      </w:r>
      <w:r>
        <w:rPr>
          <w:rFonts w:ascii="Microsoft JhengHei" w:eastAsia="Microsoft JhengHei" w:hint="eastAsia"/>
          <w:b/>
          <w:spacing w:val="-1"/>
          <w:sz w:val="21"/>
        </w:rPr>
        <w:t>期及之后失败</w:t>
      </w:r>
      <w:r>
        <w:rPr>
          <w:spacing w:val="-24"/>
          <w:sz w:val="21"/>
        </w:rPr>
        <w:t>。为</w:t>
      </w:r>
      <w:r>
        <w:rPr>
          <w:spacing w:val="-19"/>
          <w:sz w:val="21"/>
        </w:rPr>
        <w:t>了鼓励早期 </w:t>
      </w:r>
      <w:r>
        <w:rPr>
          <w:rFonts w:ascii="Times New Roman" w:eastAsia="Times New Roman"/>
          <w:sz w:val="21"/>
        </w:rPr>
        <w:t>AD </w:t>
      </w:r>
      <w:r>
        <w:rPr>
          <w:spacing w:val="-3"/>
          <w:sz w:val="21"/>
        </w:rPr>
        <w:t>新药的研发，</w:t>
      </w:r>
      <w:r>
        <w:rPr>
          <w:rFonts w:ascii="Times New Roman" w:eastAsia="Times New Roman"/>
          <w:sz w:val="21"/>
        </w:rPr>
        <w:t>2018 </w:t>
      </w:r>
      <w:r>
        <w:rPr>
          <w:spacing w:val="-26"/>
          <w:sz w:val="21"/>
        </w:rPr>
        <w:t>年 </w:t>
      </w:r>
      <w:r>
        <w:rPr>
          <w:rFonts w:ascii="Times New Roman" w:eastAsia="Times New Roman"/>
          <w:sz w:val="21"/>
        </w:rPr>
        <w:t>FDA </w:t>
      </w:r>
      <w:r>
        <w:rPr>
          <w:spacing w:val="-15"/>
          <w:sz w:val="21"/>
        </w:rPr>
        <w:t>修订了 </w:t>
      </w:r>
      <w:r>
        <w:rPr>
          <w:rFonts w:ascii="Times New Roman" w:eastAsia="Times New Roman"/>
          <w:sz w:val="21"/>
        </w:rPr>
        <w:t>2013 </w:t>
      </w:r>
      <w:r>
        <w:rPr>
          <w:spacing w:val="-12"/>
          <w:sz w:val="21"/>
        </w:rPr>
        <w:t>年版的早期 </w:t>
      </w:r>
      <w:r>
        <w:rPr>
          <w:rFonts w:ascii="Times New Roman" w:eastAsia="Times New Roman"/>
          <w:sz w:val="21"/>
        </w:rPr>
        <w:t>AD </w:t>
      </w:r>
      <w:r>
        <w:rPr>
          <w:spacing w:val="-3"/>
          <w:sz w:val="21"/>
        </w:rPr>
        <w:t>药物《研</w:t>
      </w:r>
    </w:p>
    <w:p>
      <w:pPr>
        <w:pStyle w:val="BodyText"/>
        <w:spacing w:line="302" w:lineRule="auto" w:before="57"/>
        <w:ind w:left="3163" w:right="724"/>
        <w:jc w:val="both"/>
      </w:pPr>
      <w:r>
        <w:rPr>
          <w:spacing w:val="-5"/>
        </w:rPr>
        <w:t>发指南》，关于临床试验终点的选择方面，</w:t>
      </w:r>
      <w:r>
        <w:rPr>
          <w:rFonts w:ascii="Times New Roman" w:eastAsia="Times New Roman"/>
          <w:spacing w:val="-4"/>
        </w:rPr>
        <w:t>FDA </w:t>
      </w:r>
      <w:r>
        <w:rPr>
          <w:spacing w:val="-4"/>
        </w:rPr>
        <w:t>指出将摒弃双指标评估原则</w:t>
      </w:r>
      <w:r>
        <w:rPr/>
        <w:t>（即认知</w:t>
      </w:r>
      <w:r>
        <w:rPr>
          <w:rFonts w:ascii="Times New Roman" w:eastAsia="Times New Roman"/>
        </w:rPr>
        <w:t>+</w:t>
      </w:r>
      <w:r>
        <w:rPr>
          <w:spacing w:val="-2"/>
        </w:rPr>
        <w:t>功能</w:t>
      </w:r>
      <w:r>
        <w:rPr>
          <w:spacing w:val="-45"/>
        </w:rPr>
        <w:t>）</w:t>
      </w:r>
      <w:r>
        <w:rPr>
          <w:spacing w:val="-29"/>
        </w:rPr>
        <w:t>，在 </w:t>
      </w:r>
      <w:r>
        <w:rPr>
          <w:rFonts w:ascii="Times New Roman" w:eastAsia="Times New Roman"/>
        </w:rPr>
        <w:t>AD </w:t>
      </w:r>
      <w:r>
        <w:rPr>
          <w:spacing w:val="-3"/>
        </w:rPr>
        <w:t>早期阶段的药物研发中接受生物标志物评估结果改善作为临床终点。</w:t>
      </w:r>
    </w:p>
    <w:p>
      <w:pPr>
        <w:pStyle w:val="BodyText"/>
        <w:spacing w:before="1"/>
        <w:rPr>
          <w:sz w:val="28"/>
        </w:rPr>
      </w:pPr>
    </w:p>
    <w:tbl>
      <w:tblPr>
        <w:tblW w:w="0" w:type="auto"/>
        <w:jc w:val="left"/>
        <w:tblInd w:w="4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299"/>
        <w:gridCol w:w="4974"/>
      </w:tblGrid>
      <w:tr>
        <w:trPr>
          <w:trHeight w:val="336" w:hRule="atLeast"/>
        </w:trPr>
        <w:tc>
          <w:tcPr>
            <w:tcW w:w="5299" w:type="dxa"/>
            <w:tcBorders>
              <w:bottom w:val="single" w:sz="4" w:space="0" w:color="000000"/>
            </w:tcBorders>
          </w:tcPr>
          <w:p>
            <w:pPr>
              <w:pStyle w:val="TableParagraph"/>
              <w:spacing w:line="295" w:lineRule="exact"/>
              <w:ind w:left="107"/>
              <w:rPr>
                <w:rFonts w:ascii="Microsoft JhengHei" w:eastAsia="Microsoft JhengHei" w:hint="eastAsia"/>
                <w:b/>
                <w:sz w:val="21"/>
              </w:rPr>
            </w:pPr>
            <w:bookmarkStart w:name="_bookmark35" w:id="54"/>
            <w:bookmarkEnd w:id="54"/>
            <w:r>
              <w:rPr/>
            </w:r>
            <w:r>
              <w:rPr>
                <w:rFonts w:ascii="Microsoft JhengHei" w:eastAsia="Microsoft JhengHei" w:hint="eastAsia"/>
                <w:b/>
                <w:spacing w:val="3"/>
                <w:sz w:val="21"/>
              </w:rPr>
              <w:t>图 </w:t>
            </w:r>
            <w:r>
              <w:rPr>
                <w:rFonts w:ascii="Times New Roman" w:eastAsia="Times New Roman"/>
                <w:b/>
                <w:spacing w:val="-9"/>
                <w:sz w:val="21"/>
              </w:rPr>
              <w:t>11</w:t>
            </w:r>
            <w:r>
              <w:rPr>
                <w:rFonts w:ascii="Microsoft JhengHei" w:eastAsia="Microsoft JhengHei" w:hint="eastAsia"/>
                <w:b/>
                <w:spacing w:val="-34"/>
                <w:sz w:val="21"/>
              </w:rPr>
              <w:t>、</w:t>
            </w:r>
            <w:r>
              <w:rPr>
                <w:rFonts w:ascii="Times New Roman" w:eastAsia="Times New Roman"/>
                <w:b/>
                <w:sz w:val="21"/>
              </w:rPr>
              <w:t>1998-2017 </w:t>
            </w:r>
            <w:r>
              <w:rPr>
                <w:rFonts w:ascii="Microsoft JhengHei" w:eastAsia="Microsoft JhengHei" w:hint="eastAsia"/>
                <w:b/>
                <w:spacing w:val="2"/>
                <w:sz w:val="21"/>
              </w:rPr>
              <w:t>年 </w:t>
            </w:r>
            <w:r>
              <w:rPr>
                <w:rFonts w:ascii="Times New Roman" w:eastAsia="Times New Roman"/>
                <w:b/>
                <w:sz w:val="21"/>
              </w:rPr>
              <w:t>AD </w:t>
            </w:r>
            <w:r>
              <w:rPr>
                <w:rFonts w:ascii="Microsoft JhengHei" w:eastAsia="Microsoft JhengHei" w:hint="eastAsia"/>
                <w:b/>
                <w:spacing w:val="-6"/>
                <w:sz w:val="21"/>
              </w:rPr>
              <w:t>研发成功与失败案例总计</w:t>
            </w:r>
            <w:r>
              <w:rPr>
                <w:rFonts w:ascii="Microsoft JhengHei" w:eastAsia="Microsoft JhengHei" w:hint="eastAsia"/>
                <w:b/>
                <w:spacing w:val="-3"/>
                <w:sz w:val="21"/>
              </w:rPr>
              <w:t>（</w:t>
            </w:r>
            <w:r>
              <w:rPr>
                <w:rFonts w:ascii="Microsoft JhengHei" w:eastAsia="Microsoft JhengHei" w:hint="eastAsia"/>
                <w:b/>
                <w:sz w:val="21"/>
              </w:rPr>
              <w:t>例）</w:t>
            </w:r>
          </w:p>
        </w:tc>
        <w:tc>
          <w:tcPr>
            <w:tcW w:w="4974" w:type="dxa"/>
            <w:tcBorders>
              <w:bottom w:val="single" w:sz="4" w:space="0" w:color="000000"/>
            </w:tcBorders>
          </w:tcPr>
          <w:p>
            <w:pPr>
              <w:pStyle w:val="TableParagraph"/>
              <w:spacing w:line="295" w:lineRule="exact"/>
              <w:ind w:left="54"/>
              <w:rPr>
                <w:rFonts w:ascii="Microsoft JhengHei" w:eastAsia="Microsoft JhengHei" w:hint="eastAsia"/>
                <w:b/>
                <w:sz w:val="21"/>
              </w:rPr>
            </w:pPr>
            <w:bookmarkStart w:name="_bookmark36" w:id="55"/>
            <w:bookmarkEnd w:id="55"/>
            <w:r>
              <w:rPr/>
            </w:r>
            <w:r>
              <w:rPr>
                <w:rFonts w:ascii="Microsoft JhengHei" w:eastAsia="Microsoft JhengHei" w:hint="eastAsia"/>
                <w:b/>
                <w:sz w:val="21"/>
              </w:rPr>
              <w:t>图 </w:t>
            </w:r>
            <w:r>
              <w:rPr>
                <w:rFonts w:ascii="Times New Roman" w:eastAsia="Times New Roman"/>
                <w:b/>
                <w:sz w:val="21"/>
              </w:rPr>
              <w:t>12</w:t>
            </w:r>
            <w:r>
              <w:rPr>
                <w:rFonts w:ascii="Microsoft JhengHei" w:eastAsia="Microsoft JhengHei" w:hint="eastAsia"/>
                <w:b/>
                <w:sz w:val="21"/>
              </w:rPr>
              <w:t>、</w:t>
            </w:r>
            <w:r>
              <w:rPr>
                <w:rFonts w:ascii="Times New Roman" w:eastAsia="Times New Roman"/>
                <w:b/>
                <w:sz w:val="21"/>
              </w:rPr>
              <w:t>1998-2017 </w:t>
            </w:r>
            <w:r>
              <w:rPr>
                <w:rFonts w:ascii="Microsoft JhengHei" w:eastAsia="Microsoft JhengHei" w:hint="eastAsia"/>
                <w:b/>
                <w:sz w:val="21"/>
              </w:rPr>
              <w:t>年 </w:t>
            </w:r>
            <w:r>
              <w:rPr>
                <w:rFonts w:ascii="Times New Roman" w:eastAsia="Times New Roman"/>
                <w:b/>
                <w:sz w:val="21"/>
              </w:rPr>
              <w:t>AD </w:t>
            </w:r>
            <w:r>
              <w:rPr>
                <w:rFonts w:ascii="Microsoft JhengHei" w:eastAsia="Microsoft JhengHei" w:hint="eastAsia"/>
                <w:b/>
                <w:sz w:val="21"/>
              </w:rPr>
              <w:t>研发失败阶段占比</w:t>
            </w:r>
          </w:p>
        </w:tc>
      </w:tr>
      <w:tr>
        <w:trPr>
          <w:trHeight w:val="3417" w:hRule="atLeast"/>
        </w:trPr>
        <w:tc>
          <w:tcPr>
            <w:tcW w:w="5299" w:type="dxa"/>
            <w:tcBorders>
              <w:top w:val="single" w:sz="4" w:space="0" w:color="000000"/>
              <w:bottom w:val="single" w:sz="4" w:space="0" w:color="000000"/>
            </w:tcBorders>
          </w:tcPr>
          <w:p>
            <w:pPr>
              <w:pStyle w:val="TableParagraph"/>
              <w:spacing w:before="11"/>
              <w:rPr>
                <w:sz w:val="19"/>
              </w:rPr>
            </w:pPr>
          </w:p>
          <w:p>
            <w:pPr>
              <w:pStyle w:val="TableParagraph"/>
              <w:ind w:left="122"/>
              <w:rPr>
                <w:sz w:val="20"/>
              </w:rPr>
            </w:pPr>
            <w:r>
              <w:rPr>
                <w:sz w:val="20"/>
              </w:rPr>
              <w:drawing>
                <wp:inline distT="0" distB="0" distL="0" distR="0">
                  <wp:extent cx="3251815" cy="1842516"/>
                  <wp:effectExtent l="0" t="0" r="0" b="0"/>
                  <wp:docPr id="29" name="image15.jpeg"/>
                  <wp:cNvGraphicFramePr>
                    <a:graphicFrameLocks noChangeAspect="1"/>
                  </wp:cNvGraphicFramePr>
                  <a:graphic>
                    <a:graphicData uri="http://schemas.openxmlformats.org/drawingml/2006/picture">
                      <pic:pic>
                        <pic:nvPicPr>
                          <pic:cNvPr id="30" name="image15.jpeg"/>
                          <pic:cNvPicPr/>
                        </pic:nvPicPr>
                        <pic:blipFill>
                          <a:blip r:embed="rId34" cstate="print"/>
                          <a:stretch>
                            <a:fillRect/>
                          </a:stretch>
                        </pic:blipFill>
                        <pic:spPr>
                          <a:xfrm>
                            <a:off x="0" y="0"/>
                            <a:ext cx="3251815" cy="1842516"/>
                          </a:xfrm>
                          <a:prstGeom prst="rect">
                            <a:avLst/>
                          </a:prstGeom>
                        </pic:spPr>
                      </pic:pic>
                    </a:graphicData>
                  </a:graphic>
                </wp:inline>
              </w:drawing>
            </w:r>
            <w:r>
              <w:rPr>
                <w:sz w:val="20"/>
              </w:rPr>
            </w:r>
          </w:p>
        </w:tc>
        <w:tc>
          <w:tcPr>
            <w:tcW w:w="4974" w:type="dxa"/>
            <w:tcBorders>
              <w:top w:val="single" w:sz="4" w:space="0" w:color="000000"/>
              <w:bottom w:val="single" w:sz="4" w:space="0" w:color="000000"/>
            </w:tcBorders>
          </w:tcPr>
          <w:p>
            <w:pPr>
              <w:pStyle w:val="TableParagraph"/>
              <w:rPr>
                <w:sz w:val="20"/>
              </w:rPr>
            </w:pPr>
          </w:p>
          <w:p>
            <w:pPr>
              <w:pStyle w:val="TableParagraph"/>
              <w:rPr>
                <w:sz w:val="20"/>
              </w:rPr>
            </w:pPr>
          </w:p>
          <w:p>
            <w:pPr>
              <w:pStyle w:val="TableParagraph"/>
              <w:spacing w:before="10"/>
              <w:rPr>
                <w:sz w:val="15"/>
              </w:rPr>
            </w:pPr>
          </w:p>
          <w:p>
            <w:pPr>
              <w:pStyle w:val="TableParagraph"/>
              <w:ind w:left="807"/>
              <w:rPr>
                <w:sz w:val="20"/>
              </w:rPr>
            </w:pPr>
            <w:r>
              <w:rPr>
                <w:sz w:val="20"/>
              </w:rPr>
              <w:drawing>
                <wp:inline distT="0" distB="0" distL="0" distR="0">
                  <wp:extent cx="2072923" cy="1216152"/>
                  <wp:effectExtent l="0" t="0" r="0" b="0"/>
                  <wp:docPr id="31" name="image16.jpeg"/>
                  <wp:cNvGraphicFramePr>
                    <a:graphicFrameLocks noChangeAspect="1"/>
                  </wp:cNvGraphicFramePr>
                  <a:graphic>
                    <a:graphicData uri="http://schemas.openxmlformats.org/drawingml/2006/picture">
                      <pic:pic>
                        <pic:nvPicPr>
                          <pic:cNvPr id="32" name="image16.jpeg"/>
                          <pic:cNvPicPr/>
                        </pic:nvPicPr>
                        <pic:blipFill>
                          <a:blip r:embed="rId35" cstate="print"/>
                          <a:stretch>
                            <a:fillRect/>
                          </a:stretch>
                        </pic:blipFill>
                        <pic:spPr>
                          <a:xfrm>
                            <a:off x="0" y="0"/>
                            <a:ext cx="2072923" cy="1216152"/>
                          </a:xfrm>
                          <a:prstGeom prst="rect">
                            <a:avLst/>
                          </a:prstGeom>
                        </pic:spPr>
                      </pic:pic>
                    </a:graphicData>
                  </a:graphic>
                </wp:inline>
              </w:drawing>
            </w:r>
            <w:r>
              <w:rPr>
                <w:sz w:val="20"/>
              </w:rPr>
            </w:r>
          </w:p>
        </w:tc>
      </w:tr>
      <w:tr>
        <w:trPr>
          <w:trHeight w:val="240" w:hRule="atLeast"/>
        </w:trPr>
        <w:tc>
          <w:tcPr>
            <w:tcW w:w="10273" w:type="dxa"/>
            <w:gridSpan w:val="2"/>
            <w:tcBorders>
              <w:top w:val="single" w:sz="4" w:space="0" w:color="000000"/>
            </w:tcBorders>
          </w:tcPr>
          <w:p>
            <w:pPr>
              <w:pStyle w:val="TableParagraph"/>
              <w:spacing w:line="199" w:lineRule="exact" w:before="21"/>
              <w:ind w:left="107"/>
              <w:rPr>
                <w:sz w:val="18"/>
              </w:rPr>
            </w:pPr>
            <w:r>
              <w:rPr>
                <w:sz w:val="18"/>
              </w:rPr>
              <w:t>资料来源：</w:t>
            </w:r>
            <w:r>
              <w:rPr>
                <w:rFonts w:ascii="Times New Roman" w:eastAsia="Times New Roman"/>
                <w:sz w:val="18"/>
              </w:rPr>
              <w:t>Alzheimer's Medicines: Setbacks and Stepping Stones</w:t>
            </w:r>
            <w:r>
              <w:rPr>
                <w:sz w:val="18"/>
              </w:rPr>
              <w:t>，兴业证券经济与金融研究院整理</w:t>
            </w:r>
          </w:p>
        </w:tc>
      </w:tr>
    </w:tbl>
    <w:p>
      <w:pPr>
        <w:pStyle w:val="BodyText"/>
        <w:rPr>
          <w:sz w:val="20"/>
        </w:rPr>
      </w:pPr>
    </w:p>
    <w:p>
      <w:pPr>
        <w:pStyle w:val="BodyText"/>
        <w:rPr>
          <w:sz w:val="27"/>
        </w:rPr>
      </w:pPr>
    </w:p>
    <w:p>
      <w:pPr>
        <w:pStyle w:val="BodyText"/>
        <w:spacing w:line="304" w:lineRule="auto" w:before="1"/>
        <w:ind w:left="3163" w:right="726"/>
        <w:jc w:val="both"/>
      </w:pPr>
      <w:r>
        <w:rPr>
          <w:spacing w:val="-10"/>
        </w:rPr>
        <w:t>整体来看，疾病修饰疗法</w:t>
      </w:r>
      <w:r>
        <w:rPr/>
        <w:t>（</w:t>
      </w:r>
      <w:r>
        <w:rPr>
          <w:rFonts w:ascii="Times New Roman" w:eastAsia="Times New Roman"/>
        </w:rPr>
        <w:t>disease-modifying </w:t>
      </w:r>
      <w:r>
        <w:rPr>
          <w:rFonts w:ascii="Times New Roman" w:eastAsia="Times New Roman"/>
          <w:spacing w:val="-7"/>
        </w:rPr>
        <w:t>therapies</w:t>
      </w:r>
      <w:r>
        <w:rPr>
          <w:spacing w:val="-7"/>
        </w:rPr>
        <w:t>，</w:t>
      </w:r>
      <w:r>
        <w:rPr>
          <w:rFonts w:ascii="Times New Roman" w:eastAsia="Times New Roman"/>
          <w:spacing w:val="-7"/>
        </w:rPr>
        <w:t>DMTs</w:t>
      </w:r>
      <w:r>
        <w:rPr>
          <w:spacing w:val="-7"/>
        </w:rPr>
        <w:t>）</w:t>
      </w:r>
      <w:r>
        <w:rPr>
          <w:spacing w:val="-3"/>
        </w:rPr>
        <w:t>在临床阶段的产品</w:t>
      </w:r>
      <w:r>
        <w:rPr>
          <w:spacing w:val="-10"/>
        </w:rPr>
        <w:t>数量占比为 </w:t>
      </w:r>
      <w:r>
        <w:rPr>
          <w:rFonts w:ascii="Times New Roman" w:eastAsia="Times New Roman"/>
        </w:rPr>
        <w:t>78%</w:t>
      </w:r>
      <w:r>
        <w:rPr>
          <w:spacing w:val="-8"/>
        </w:rPr>
        <w:t>，但进展至临床 </w:t>
      </w:r>
      <w:r>
        <w:rPr>
          <w:rFonts w:ascii="Times New Roman" w:eastAsia="Times New Roman"/>
        </w:rPr>
        <w:t>III </w:t>
      </w:r>
      <w:r>
        <w:rPr>
          <w:spacing w:val="-8"/>
        </w:rPr>
        <w:t>期后该数值下降至 </w:t>
      </w:r>
      <w:r>
        <w:rPr>
          <w:rFonts w:ascii="Times New Roman" w:eastAsia="Times New Roman"/>
        </w:rPr>
        <w:t>67%(</w:t>
      </w:r>
      <w:r>
        <w:rPr>
          <w:spacing w:val="-18"/>
        </w:rPr>
        <w:t>包括 </w:t>
      </w:r>
      <w:r>
        <w:rPr>
          <w:rFonts w:ascii="Times New Roman" w:eastAsia="Times New Roman"/>
        </w:rPr>
        <w:t>25%</w:t>
      </w:r>
      <w:r>
        <w:rPr>
          <w:spacing w:val="-3"/>
        </w:rPr>
        <w:t>的大分子和</w:t>
      </w:r>
      <w:r>
        <w:rPr>
          <w:rFonts w:ascii="Times New Roman" w:eastAsia="Times New Roman"/>
          <w:spacing w:val="-3"/>
        </w:rPr>
        <w:t>42%</w:t>
      </w:r>
      <w:r>
        <w:rPr>
          <w:spacing w:val="-3"/>
        </w:rPr>
        <w:t>的小分子药物</w:t>
      </w:r>
      <w:r>
        <w:rPr>
          <w:rFonts w:ascii="Times New Roman" w:eastAsia="Times New Roman"/>
        </w:rPr>
        <w:t>)</w:t>
      </w:r>
      <w:r>
        <w:rPr>
          <w:spacing w:val="-5"/>
        </w:rPr>
        <w:t>。这部分处于临床 </w:t>
      </w:r>
      <w:r>
        <w:rPr>
          <w:rFonts w:ascii="Times New Roman" w:eastAsia="Times New Roman"/>
        </w:rPr>
        <w:t>III </w:t>
      </w:r>
      <w:r>
        <w:rPr>
          <w:spacing w:val="-5"/>
        </w:rPr>
        <w:t>期阶段的疾病修饰疗法中 </w:t>
      </w:r>
      <w:r>
        <w:rPr>
          <w:rFonts w:ascii="Times New Roman" w:eastAsia="Times New Roman"/>
        </w:rPr>
        <w:t>19%</w:t>
      </w:r>
      <w:r>
        <w:rPr>
          <w:spacing w:val="-2"/>
        </w:rPr>
        <w:t>的药物针</w:t>
      </w:r>
    </w:p>
    <w:p>
      <w:pPr>
        <w:spacing w:after="0" w:line="304" w:lineRule="auto"/>
        <w:jc w:val="both"/>
        <w:sectPr>
          <w:pgSz w:w="11910" w:h="16840"/>
          <w:pgMar w:header="868" w:footer="1201" w:top="1400" w:bottom="1400" w:left="240" w:right="400"/>
        </w:sectPr>
      </w:pPr>
    </w:p>
    <w:p>
      <w:pPr>
        <w:pStyle w:val="BodyText"/>
        <w:spacing w:before="4"/>
        <w:rPr>
          <w:sz w:val="13"/>
        </w:rPr>
      </w:pPr>
    </w:p>
    <w:p>
      <w:pPr>
        <w:pStyle w:val="BodyText"/>
        <w:spacing w:line="20" w:lineRule="exact"/>
        <w:ind w:left="614"/>
        <w:rPr>
          <w:sz w:val="2"/>
        </w:rPr>
      </w:pPr>
      <w:r>
        <w:rPr>
          <w:sz w:val="2"/>
        </w:rPr>
        <w:pict>
          <v:group style="width:508.1pt;height:.75pt;mso-position-horizontal-relative:char;mso-position-vertical-relative:line" coordorigin="0,0" coordsize="10162,15">
            <v:rect style="position:absolute;left:0;top:0;width:10162;height:15" filled="true" fillcolor="#333366" stroked="false">
              <v:fill type="solid"/>
            </v:rect>
          </v:group>
        </w:pict>
      </w:r>
      <w:r>
        <w:rPr>
          <w:sz w:val="2"/>
        </w:rPr>
      </w:r>
    </w:p>
    <w:p>
      <w:pPr>
        <w:pStyle w:val="BodyText"/>
        <w:spacing w:line="267" w:lineRule="exact"/>
        <w:ind w:left="351"/>
        <w:jc w:val="center"/>
      </w:pPr>
      <w:r>
        <w:rPr/>
        <w:t>对淀粉样蛋白，</w:t>
      </w:r>
      <w:r>
        <w:rPr>
          <w:rFonts w:ascii="Times New Roman" w:eastAsia="Times New Roman"/>
        </w:rPr>
        <w:t>17%</w:t>
      </w:r>
      <w:r>
        <w:rPr/>
        <w:t>作用于神经保护，</w:t>
      </w:r>
      <w:r>
        <w:rPr>
          <w:rFonts w:ascii="Times New Roman" w:eastAsia="Times New Roman"/>
        </w:rPr>
        <w:t>8%</w:t>
      </w:r>
      <w:r>
        <w:rPr/>
        <w:t>针对氧化应激。</w:t>
      </w:r>
    </w:p>
    <w:p>
      <w:pPr>
        <w:pStyle w:val="BodyText"/>
        <w:rPr>
          <w:sz w:val="20"/>
        </w:rPr>
      </w:pPr>
    </w:p>
    <w:p>
      <w:pPr>
        <w:pStyle w:val="BodyText"/>
        <w:spacing w:before="2"/>
        <w:rPr>
          <w:sz w:val="12"/>
        </w:rPr>
      </w:pPr>
    </w:p>
    <w:tbl>
      <w:tblPr>
        <w:tblW w:w="0" w:type="auto"/>
        <w:jc w:val="left"/>
        <w:tblInd w:w="13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734"/>
      </w:tblGrid>
      <w:tr>
        <w:trPr>
          <w:trHeight w:val="339" w:hRule="atLeast"/>
        </w:trPr>
        <w:tc>
          <w:tcPr>
            <w:tcW w:w="9734" w:type="dxa"/>
            <w:tcBorders>
              <w:bottom w:val="single" w:sz="4" w:space="0" w:color="000000"/>
            </w:tcBorders>
          </w:tcPr>
          <w:p>
            <w:pPr>
              <w:pStyle w:val="TableParagraph"/>
              <w:spacing w:line="295" w:lineRule="exact"/>
              <w:ind w:left="108"/>
              <w:rPr>
                <w:rFonts w:ascii="Microsoft JhengHei" w:eastAsia="Microsoft JhengHei" w:hint="eastAsia"/>
                <w:b/>
                <w:sz w:val="21"/>
              </w:rPr>
            </w:pPr>
            <w:bookmarkStart w:name="_bookmark37" w:id="56"/>
            <w:bookmarkEnd w:id="56"/>
            <w:r>
              <w:rPr/>
            </w:r>
            <w:r>
              <w:rPr>
                <w:rFonts w:ascii="Microsoft JhengHei" w:eastAsia="Microsoft JhengHei" w:hint="eastAsia"/>
                <w:b/>
                <w:sz w:val="21"/>
              </w:rPr>
              <w:t>图 </w:t>
            </w:r>
            <w:r>
              <w:rPr>
                <w:rFonts w:ascii="Times New Roman" w:eastAsia="Times New Roman"/>
                <w:b/>
                <w:sz w:val="21"/>
              </w:rPr>
              <w:t>13</w:t>
            </w:r>
            <w:r>
              <w:rPr>
                <w:rFonts w:ascii="Microsoft JhengHei" w:eastAsia="Microsoft JhengHei" w:hint="eastAsia"/>
                <w:b/>
                <w:sz w:val="21"/>
              </w:rPr>
              <w:t>、全球在研药物临床阶段和对应机制分析</w:t>
            </w:r>
          </w:p>
        </w:tc>
      </w:tr>
      <w:tr>
        <w:trPr>
          <w:trHeight w:val="4524" w:hRule="atLeast"/>
        </w:trPr>
        <w:tc>
          <w:tcPr>
            <w:tcW w:w="9734" w:type="dxa"/>
            <w:tcBorders>
              <w:top w:val="single" w:sz="4" w:space="0" w:color="000000"/>
              <w:bottom w:val="single" w:sz="4" w:space="0" w:color="000000"/>
            </w:tcBorders>
          </w:tcPr>
          <w:p>
            <w:pPr>
              <w:pStyle w:val="TableParagraph"/>
              <w:spacing w:before="12"/>
              <w:rPr>
                <w:sz w:val="4"/>
              </w:rPr>
            </w:pPr>
          </w:p>
          <w:p>
            <w:pPr>
              <w:pStyle w:val="TableParagraph"/>
              <w:ind w:left="107"/>
              <w:rPr>
                <w:sz w:val="20"/>
              </w:rPr>
            </w:pPr>
            <w:r>
              <w:rPr>
                <w:sz w:val="20"/>
              </w:rPr>
              <w:drawing>
                <wp:inline distT="0" distB="0" distL="0" distR="0">
                  <wp:extent cx="5955314" cy="2747772"/>
                  <wp:effectExtent l="0" t="0" r="0" b="0"/>
                  <wp:docPr id="33" name="image17.jpeg"/>
                  <wp:cNvGraphicFramePr>
                    <a:graphicFrameLocks noChangeAspect="1"/>
                  </wp:cNvGraphicFramePr>
                  <a:graphic>
                    <a:graphicData uri="http://schemas.openxmlformats.org/drawingml/2006/picture">
                      <pic:pic>
                        <pic:nvPicPr>
                          <pic:cNvPr id="34" name="image17.jpeg"/>
                          <pic:cNvPicPr/>
                        </pic:nvPicPr>
                        <pic:blipFill>
                          <a:blip r:embed="rId36" cstate="print"/>
                          <a:stretch>
                            <a:fillRect/>
                          </a:stretch>
                        </pic:blipFill>
                        <pic:spPr>
                          <a:xfrm>
                            <a:off x="0" y="0"/>
                            <a:ext cx="5955314" cy="2747772"/>
                          </a:xfrm>
                          <a:prstGeom prst="rect">
                            <a:avLst/>
                          </a:prstGeom>
                        </pic:spPr>
                      </pic:pic>
                    </a:graphicData>
                  </a:graphic>
                </wp:inline>
              </w:drawing>
            </w:r>
            <w:r>
              <w:rPr>
                <w:sz w:val="20"/>
              </w:rPr>
            </w:r>
          </w:p>
        </w:tc>
      </w:tr>
      <w:tr>
        <w:trPr>
          <w:trHeight w:val="240" w:hRule="atLeast"/>
        </w:trPr>
        <w:tc>
          <w:tcPr>
            <w:tcW w:w="9734" w:type="dxa"/>
            <w:tcBorders>
              <w:top w:val="single" w:sz="4" w:space="0" w:color="000000"/>
            </w:tcBorders>
          </w:tcPr>
          <w:p>
            <w:pPr>
              <w:pStyle w:val="TableParagraph"/>
              <w:spacing w:line="199" w:lineRule="exact" w:before="21"/>
              <w:ind w:left="108"/>
              <w:rPr>
                <w:sz w:val="18"/>
              </w:rPr>
            </w:pPr>
            <w:r>
              <w:rPr>
                <w:sz w:val="18"/>
              </w:rPr>
              <w:t>资料来源：</w:t>
            </w:r>
            <w:r>
              <w:rPr>
                <w:rFonts w:ascii="Times New Roman" w:eastAsia="Times New Roman"/>
                <w:sz w:val="18"/>
              </w:rPr>
              <w:t>Alzheimers Dement (N Y), 2023, 9(2):e12385</w:t>
            </w:r>
            <w:r>
              <w:rPr>
                <w:sz w:val="18"/>
              </w:rPr>
              <w:t>，兴业证券经济与金融研究院整理</w:t>
            </w:r>
          </w:p>
        </w:tc>
      </w:tr>
    </w:tbl>
    <w:p>
      <w:pPr>
        <w:pStyle w:val="BodyText"/>
        <w:spacing w:before="4"/>
        <w:rPr>
          <w:sz w:val="23"/>
        </w:rPr>
      </w:pPr>
    </w:p>
    <w:p>
      <w:pPr>
        <w:pStyle w:val="Heading3"/>
        <w:numPr>
          <w:ilvl w:val="3"/>
          <w:numId w:val="3"/>
        </w:numPr>
        <w:tabs>
          <w:tab w:pos="3849" w:val="left" w:leader="none"/>
        </w:tabs>
        <w:spacing w:line="240" w:lineRule="auto" w:before="9" w:after="0"/>
        <w:ind w:left="3848" w:right="0" w:hanging="686"/>
        <w:jc w:val="left"/>
      </w:pPr>
      <w:r>
        <w:rPr/>
        <w:t>抗 </w:t>
      </w:r>
      <w:r>
        <w:rPr>
          <w:rFonts w:ascii="Times New Roman" w:hAnsi="Times New Roman" w:eastAsia="Times New Roman"/>
        </w:rPr>
        <w:t>Aβ</w:t>
      </w:r>
      <w:r>
        <w:rPr>
          <w:rFonts w:ascii="Times New Roman" w:hAnsi="Times New Roman" w:eastAsia="Times New Roman"/>
          <w:spacing w:val="-3"/>
        </w:rPr>
        <w:t> </w:t>
      </w:r>
      <w:r>
        <w:rPr/>
        <w:t>疗法</w:t>
      </w:r>
    </w:p>
    <w:p>
      <w:pPr>
        <w:pStyle w:val="BodyText"/>
        <w:spacing w:before="25"/>
        <w:ind w:left="3163"/>
      </w:pPr>
      <w:r>
        <w:rPr>
          <w:rFonts w:ascii="Times New Roman" w:hAnsi="Times New Roman" w:eastAsia="Times New Roman"/>
        </w:rPr>
        <w:t>Aβ </w:t>
      </w:r>
      <w:r>
        <w:rPr/>
        <w:t>免疫疗法可通过至少六种不相互排斥的可能机制引起体液应答：</w:t>
      </w:r>
    </w:p>
    <w:p>
      <w:pPr>
        <w:pStyle w:val="ListParagraph"/>
        <w:numPr>
          <w:ilvl w:val="0"/>
          <w:numId w:val="9"/>
        </w:numPr>
        <w:tabs>
          <w:tab w:pos="3694" w:val="left" w:leader="none"/>
        </w:tabs>
        <w:spacing w:line="304" w:lineRule="auto" w:before="71" w:after="0"/>
        <w:ind w:left="3163" w:right="726" w:firstLine="0"/>
        <w:jc w:val="left"/>
        <w:rPr>
          <w:rFonts w:ascii="Times New Roman" w:hAnsi="Times New Roman" w:eastAsia="Times New Roman"/>
          <w:sz w:val="21"/>
        </w:rPr>
      </w:pPr>
      <w:r>
        <w:rPr>
          <w:spacing w:val="-7"/>
          <w:sz w:val="21"/>
        </w:rPr>
        <w:t>对特定构象具有选择性的 </w:t>
      </w:r>
      <w:r>
        <w:rPr>
          <w:rFonts w:ascii="Times New Roman" w:hAnsi="Times New Roman" w:eastAsia="Times New Roman"/>
          <w:sz w:val="21"/>
        </w:rPr>
        <w:t>Aβ</w:t>
      </w:r>
      <w:r>
        <w:rPr>
          <w:rFonts w:ascii="Times New Roman" w:hAnsi="Times New Roman" w:eastAsia="Times New Roman"/>
          <w:spacing w:val="16"/>
          <w:sz w:val="21"/>
        </w:rPr>
        <w:t> </w:t>
      </w:r>
      <w:r>
        <w:rPr>
          <w:spacing w:val="-6"/>
          <w:sz w:val="21"/>
        </w:rPr>
        <w:t>抗体可能针对大脑中的 </w:t>
      </w:r>
      <w:r>
        <w:rPr>
          <w:rFonts w:ascii="Times New Roman" w:hAnsi="Times New Roman" w:eastAsia="Times New Roman"/>
          <w:sz w:val="21"/>
        </w:rPr>
        <w:t>Aβ</w:t>
      </w:r>
      <w:r>
        <w:rPr>
          <w:rFonts w:ascii="Times New Roman" w:hAnsi="Times New Roman" w:eastAsia="Times New Roman"/>
          <w:spacing w:val="12"/>
          <w:sz w:val="21"/>
        </w:rPr>
        <w:t> </w:t>
      </w:r>
      <w:r>
        <w:rPr>
          <w:spacing w:val="-3"/>
          <w:sz w:val="21"/>
        </w:rPr>
        <w:t>沉积物，导致直接</w:t>
      </w:r>
      <w:r>
        <w:rPr>
          <w:spacing w:val="-7"/>
          <w:sz w:val="21"/>
        </w:rPr>
        <w:t>分解。一些抗体能够在体外溶解 </w:t>
      </w:r>
      <w:r>
        <w:rPr>
          <w:rFonts w:ascii="Times New Roman" w:hAnsi="Times New Roman" w:eastAsia="Times New Roman"/>
          <w:sz w:val="21"/>
        </w:rPr>
        <w:t>Aβ</w:t>
      </w:r>
      <w:r>
        <w:rPr>
          <w:rFonts w:ascii="Times New Roman" w:hAnsi="Times New Roman" w:eastAsia="Times New Roman"/>
          <w:spacing w:val="-1"/>
          <w:sz w:val="21"/>
        </w:rPr>
        <w:t> </w:t>
      </w:r>
      <w:r>
        <w:rPr>
          <w:spacing w:val="-3"/>
          <w:sz w:val="21"/>
        </w:rPr>
        <w:t>原纤维，防止重组和抑制毒性</w:t>
      </w:r>
      <w:r>
        <w:rPr>
          <w:rFonts w:ascii="Times New Roman" w:hAnsi="Times New Roman" w:eastAsia="Times New Roman"/>
          <w:sz w:val="21"/>
        </w:rPr>
        <w:t>;</w:t>
      </w:r>
    </w:p>
    <w:p>
      <w:pPr>
        <w:pStyle w:val="ListParagraph"/>
        <w:numPr>
          <w:ilvl w:val="0"/>
          <w:numId w:val="9"/>
        </w:numPr>
        <w:tabs>
          <w:tab w:pos="3694" w:val="left" w:leader="none"/>
        </w:tabs>
        <w:spacing w:line="304" w:lineRule="auto" w:before="0" w:after="0"/>
        <w:ind w:left="3163" w:right="726" w:firstLine="0"/>
        <w:jc w:val="left"/>
        <w:rPr>
          <w:sz w:val="21"/>
        </w:rPr>
      </w:pPr>
      <w:r>
        <w:rPr>
          <w:spacing w:val="-5"/>
          <w:sz w:val="21"/>
        </w:rPr>
        <w:t>在大脑中，这些抗体也可能通过诱导 </w:t>
      </w:r>
      <w:r>
        <w:rPr>
          <w:rFonts w:ascii="Times New Roman" w:eastAsia="Times New Roman"/>
          <w:sz w:val="21"/>
        </w:rPr>
        <w:t>Fc</w:t>
      </w:r>
      <w:r>
        <w:rPr>
          <w:rFonts w:ascii="Times New Roman" w:eastAsia="Times New Roman"/>
          <w:spacing w:val="27"/>
          <w:sz w:val="21"/>
        </w:rPr>
        <w:t> </w:t>
      </w:r>
      <w:r>
        <w:rPr>
          <w:spacing w:val="-3"/>
          <w:sz w:val="21"/>
        </w:rPr>
        <w:t>介导的吞噬作用激活小胶质细胞清除斑块；</w:t>
      </w:r>
    </w:p>
    <w:p>
      <w:pPr>
        <w:pStyle w:val="ListParagraph"/>
        <w:numPr>
          <w:ilvl w:val="0"/>
          <w:numId w:val="9"/>
        </w:numPr>
        <w:tabs>
          <w:tab w:pos="3694" w:val="left" w:leader="none"/>
        </w:tabs>
        <w:spacing w:line="304" w:lineRule="auto" w:before="0" w:after="0"/>
        <w:ind w:left="3163" w:right="726" w:firstLine="0"/>
        <w:jc w:val="left"/>
        <w:rPr>
          <w:sz w:val="21"/>
        </w:rPr>
      </w:pPr>
      <w:r>
        <w:rPr>
          <w:spacing w:val="-8"/>
          <w:sz w:val="21"/>
        </w:rPr>
        <w:t>直接应用 </w:t>
      </w:r>
      <w:r>
        <w:rPr>
          <w:rFonts w:ascii="Times New Roman" w:hAnsi="Times New Roman" w:eastAsia="Times New Roman"/>
          <w:sz w:val="21"/>
        </w:rPr>
        <w:t>Aβ</w:t>
      </w:r>
      <w:r>
        <w:rPr>
          <w:rFonts w:ascii="Times New Roman" w:hAnsi="Times New Roman" w:eastAsia="Times New Roman"/>
          <w:spacing w:val="27"/>
          <w:sz w:val="21"/>
        </w:rPr>
        <w:t> </w:t>
      </w:r>
      <w:r>
        <w:rPr>
          <w:spacing w:val="-8"/>
          <w:sz w:val="21"/>
        </w:rPr>
        <w:t>抗体的 </w:t>
      </w:r>
      <w:r>
        <w:rPr>
          <w:rFonts w:ascii="Times New Roman" w:hAnsi="Times New Roman" w:eastAsia="Times New Roman"/>
          <w:sz w:val="21"/>
        </w:rPr>
        <w:t>F(ab´)2</w:t>
      </w:r>
      <w:r>
        <w:rPr>
          <w:rFonts w:ascii="Times New Roman" w:hAnsi="Times New Roman" w:eastAsia="Times New Roman"/>
          <w:spacing w:val="24"/>
          <w:sz w:val="21"/>
        </w:rPr>
        <w:t> </w:t>
      </w:r>
      <w:r>
        <w:rPr>
          <w:spacing w:val="-3"/>
          <w:sz w:val="21"/>
        </w:rPr>
        <w:t>片段可以清除体内淀粉样蛋白沉积。提示了一</w:t>
      </w:r>
      <w:r>
        <w:rPr>
          <w:spacing w:val="-13"/>
          <w:sz w:val="21"/>
        </w:rPr>
        <w:t>种不依赖 </w:t>
      </w:r>
      <w:r>
        <w:rPr>
          <w:rFonts w:ascii="Times New Roman" w:hAnsi="Times New Roman" w:eastAsia="Times New Roman"/>
          <w:sz w:val="21"/>
        </w:rPr>
        <w:t>Fc </w:t>
      </w:r>
      <w:r>
        <w:rPr>
          <w:spacing w:val="-3"/>
          <w:sz w:val="21"/>
        </w:rPr>
        <w:t>的吞噬和降解机制；</w:t>
      </w:r>
    </w:p>
    <w:p>
      <w:pPr>
        <w:pStyle w:val="ListParagraph"/>
        <w:numPr>
          <w:ilvl w:val="0"/>
          <w:numId w:val="9"/>
        </w:numPr>
        <w:tabs>
          <w:tab w:pos="3694" w:val="left" w:leader="none"/>
        </w:tabs>
        <w:spacing w:line="304" w:lineRule="auto" w:before="0" w:after="0"/>
        <w:ind w:left="3163" w:right="728" w:firstLine="0"/>
        <w:jc w:val="left"/>
        <w:rPr>
          <w:sz w:val="21"/>
        </w:rPr>
      </w:pPr>
      <w:r>
        <w:rPr>
          <w:spacing w:val="-5"/>
          <w:sz w:val="21"/>
        </w:rPr>
        <w:t>产生外周吸收效应，即清除多余的循环可溶性 </w:t>
      </w:r>
      <w:r>
        <w:rPr>
          <w:rFonts w:ascii="Times New Roman" w:hAnsi="Times New Roman" w:eastAsia="Times New Roman"/>
          <w:sz w:val="21"/>
        </w:rPr>
        <w:t>Aβ</w:t>
      </w:r>
      <w:r>
        <w:rPr>
          <w:rFonts w:ascii="Times New Roman" w:hAnsi="Times New Roman" w:eastAsia="Times New Roman"/>
          <w:spacing w:val="14"/>
          <w:sz w:val="21"/>
        </w:rPr>
        <w:t> </w:t>
      </w:r>
      <w:r>
        <w:rPr>
          <w:spacing w:val="-10"/>
          <w:sz w:val="21"/>
        </w:rPr>
        <w:t>将可溶性 </w:t>
      </w:r>
      <w:r>
        <w:rPr>
          <w:rFonts w:ascii="Times New Roman" w:hAnsi="Times New Roman" w:eastAsia="Times New Roman"/>
          <w:sz w:val="21"/>
        </w:rPr>
        <w:t>Aβ</w:t>
      </w:r>
      <w:r>
        <w:rPr>
          <w:rFonts w:ascii="Times New Roman" w:hAnsi="Times New Roman" w:eastAsia="Times New Roman"/>
          <w:spacing w:val="14"/>
          <w:sz w:val="21"/>
        </w:rPr>
        <w:t> </w:t>
      </w:r>
      <w:r>
        <w:rPr>
          <w:spacing w:val="-3"/>
          <w:sz w:val="21"/>
        </w:rPr>
        <w:t>从大脑中吸收。这种机制的潜在重要性在主动免疫实验中得到了证明；</w:t>
      </w:r>
    </w:p>
    <w:p>
      <w:pPr>
        <w:pStyle w:val="ListParagraph"/>
        <w:numPr>
          <w:ilvl w:val="0"/>
          <w:numId w:val="9"/>
        </w:numPr>
        <w:tabs>
          <w:tab w:pos="3694" w:val="left" w:leader="none"/>
        </w:tabs>
        <w:spacing w:line="265" w:lineRule="exact" w:before="0" w:after="0"/>
        <w:ind w:left="3693" w:right="0" w:hanging="531"/>
        <w:jc w:val="left"/>
        <w:rPr>
          <w:sz w:val="21"/>
        </w:rPr>
      </w:pPr>
      <w:r>
        <w:rPr>
          <w:rFonts w:ascii="Times New Roman" w:hAnsi="Times New Roman" w:eastAsia="Times New Roman"/>
          <w:sz w:val="21"/>
        </w:rPr>
        <w:t>IgM</w:t>
      </w:r>
      <w:r>
        <w:rPr>
          <w:rFonts w:ascii="Times New Roman" w:hAnsi="Times New Roman" w:eastAsia="Times New Roman"/>
          <w:spacing w:val="-1"/>
          <w:sz w:val="21"/>
        </w:rPr>
        <w:t> </w:t>
      </w:r>
      <w:r>
        <w:rPr>
          <w:spacing w:val="4"/>
          <w:sz w:val="21"/>
        </w:rPr>
        <w:t>也可能通过水解</w:t>
      </w:r>
      <w:r>
        <w:rPr>
          <w:rFonts w:ascii="Times New Roman" w:hAnsi="Times New Roman" w:eastAsia="Times New Roman"/>
          <w:sz w:val="21"/>
        </w:rPr>
        <w:t>Aβ</w:t>
      </w:r>
      <w:r>
        <w:rPr>
          <w:rFonts w:ascii="Times New Roman" w:hAnsi="Times New Roman" w:eastAsia="Times New Roman"/>
          <w:spacing w:val="-2"/>
          <w:sz w:val="21"/>
        </w:rPr>
        <w:t> </w:t>
      </w:r>
      <w:r>
        <w:rPr>
          <w:spacing w:val="-2"/>
          <w:sz w:val="21"/>
        </w:rPr>
        <w:t>发挥作用；</w:t>
      </w:r>
    </w:p>
    <w:p>
      <w:pPr>
        <w:pStyle w:val="ListParagraph"/>
        <w:numPr>
          <w:ilvl w:val="0"/>
          <w:numId w:val="9"/>
        </w:numPr>
        <w:tabs>
          <w:tab w:pos="3694" w:val="left" w:leader="none"/>
        </w:tabs>
        <w:spacing w:line="240" w:lineRule="auto" w:before="65" w:after="0"/>
        <w:ind w:left="3693" w:right="0" w:hanging="531"/>
        <w:jc w:val="left"/>
        <w:rPr>
          <w:sz w:val="21"/>
        </w:rPr>
      </w:pPr>
      <w:r>
        <w:rPr>
          <w:spacing w:val="-3"/>
          <w:sz w:val="21"/>
        </w:rPr>
        <w:t>抗体也可能中和神经毒性低聚物。</w:t>
      </w:r>
    </w:p>
    <w:p>
      <w:pPr>
        <w:spacing w:after="0" w:line="240" w:lineRule="auto"/>
        <w:jc w:val="left"/>
        <w:rPr>
          <w:sz w:val="21"/>
        </w:rPr>
        <w:sectPr>
          <w:pgSz w:w="11910" w:h="16840"/>
          <w:pgMar w:header="868" w:footer="1201" w:top="1400" w:bottom="1400" w:left="240" w:right="400"/>
        </w:sectPr>
      </w:pPr>
    </w:p>
    <w:p>
      <w:pPr>
        <w:pStyle w:val="BodyText"/>
        <w:spacing w:before="4"/>
        <w:rPr>
          <w:sz w:val="13"/>
        </w:rPr>
      </w:pPr>
    </w:p>
    <w:tbl>
      <w:tblPr>
        <w:tblW w:w="0" w:type="auto"/>
        <w:jc w:val="left"/>
        <w:tblInd w:w="6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549"/>
        <w:gridCol w:w="7543"/>
        <w:gridCol w:w="70"/>
      </w:tblGrid>
      <w:tr>
        <w:trPr>
          <w:trHeight w:val="361" w:hRule="atLeast"/>
        </w:trPr>
        <w:tc>
          <w:tcPr>
            <w:tcW w:w="2549" w:type="dxa"/>
            <w:tcBorders>
              <w:top w:val="single" w:sz="6" w:space="0" w:color="333366"/>
            </w:tcBorders>
          </w:tcPr>
          <w:p>
            <w:pPr>
              <w:pStyle w:val="TableParagraph"/>
              <w:rPr>
                <w:rFonts w:ascii="Times New Roman"/>
                <w:sz w:val="20"/>
              </w:rPr>
            </w:pPr>
          </w:p>
        </w:tc>
        <w:tc>
          <w:tcPr>
            <w:tcW w:w="7543" w:type="dxa"/>
            <w:tcBorders>
              <w:top w:val="single" w:sz="6" w:space="0" w:color="333366"/>
              <w:bottom w:val="single" w:sz="4" w:space="0" w:color="000000"/>
            </w:tcBorders>
          </w:tcPr>
          <w:p>
            <w:pPr>
              <w:pStyle w:val="TableParagraph"/>
              <w:spacing w:line="318" w:lineRule="exact"/>
              <w:ind w:left="108"/>
              <w:rPr>
                <w:rFonts w:ascii="Microsoft JhengHei" w:hAnsi="Microsoft JhengHei" w:eastAsia="Microsoft JhengHei" w:hint="eastAsia"/>
                <w:b/>
                <w:sz w:val="21"/>
              </w:rPr>
            </w:pPr>
            <w:bookmarkStart w:name="_bookmark38" w:id="57"/>
            <w:bookmarkEnd w:id="57"/>
            <w:r>
              <w:rPr/>
            </w:r>
            <w:r>
              <w:rPr>
                <w:rFonts w:ascii="Microsoft JhengHei" w:hAnsi="Microsoft JhengHei" w:eastAsia="Microsoft JhengHei" w:hint="eastAsia"/>
                <w:b/>
                <w:sz w:val="21"/>
              </w:rPr>
              <w:t>图 </w:t>
            </w:r>
            <w:r>
              <w:rPr>
                <w:rFonts w:ascii="Times New Roman" w:hAnsi="Times New Roman" w:eastAsia="Times New Roman"/>
                <w:b/>
                <w:sz w:val="21"/>
              </w:rPr>
              <w:t>14</w:t>
            </w:r>
            <w:r>
              <w:rPr>
                <w:rFonts w:ascii="Microsoft JhengHei" w:hAnsi="Microsoft JhengHei" w:eastAsia="Microsoft JhengHei" w:hint="eastAsia"/>
                <w:b/>
                <w:sz w:val="21"/>
              </w:rPr>
              <w:t>、淀粉样蛋白</w:t>
            </w:r>
            <w:r>
              <w:rPr>
                <w:rFonts w:ascii="Times New Roman" w:hAnsi="Times New Roman" w:eastAsia="Times New Roman"/>
                <w:b/>
                <w:sz w:val="21"/>
              </w:rPr>
              <w:t>-</w:t>
            </w:r>
            <w:r>
              <w:rPr>
                <w:rFonts w:ascii="Microsoft JhengHei" w:hAnsi="Microsoft JhengHei" w:eastAsia="Microsoft JhengHei" w:hint="eastAsia"/>
                <w:b/>
                <w:sz w:val="21"/>
              </w:rPr>
              <w:t>β相关病理免疫调节的潜在机制</w:t>
            </w:r>
          </w:p>
        </w:tc>
        <w:tc>
          <w:tcPr>
            <w:tcW w:w="70" w:type="dxa"/>
            <w:tcBorders>
              <w:top w:val="single" w:sz="6" w:space="0" w:color="333366"/>
            </w:tcBorders>
          </w:tcPr>
          <w:p>
            <w:pPr>
              <w:pStyle w:val="TableParagraph"/>
              <w:rPr>
                <w:rFonts w:ascii="Times New Roman"/>
                <w:sz w:val="20"/>
              </w:rPr>
            </w:pPr>
          </w:p>
        </w:tc>
      </w:tr>
      <w:tr>
        <w:trPr>
          <w:trHeight w:val="5260" w:hRule="atLeast"/>
        </w:trPr>
        <w:tc>
          <w:tcPr>
            <w:tcW w:w="2549" w:type="dxa"/>
          </w:tcPr>
          <w:p>
            <w:pPr>
              <w:pStyle w:val="TableParagraph"/>
              <w:rPr>
                <w:rFonts w:ascii="Times New Roman"/>
                <w:sz w:val="20"/>
              </w:rPr>
            </w:pPr>
          </w:p>
        </w:tc>
        <w:tc>
          <w:tcPr>
            <w:tcW w:w="7543" w:type="dxa"/>
            <w:tcBorders>
              <w:top w:val="single" w:sz="4" w:space="0" w:color="000000"/>
              <w:bottom w:val="single" w:sz="4" w:space="0" w:color="000000"/>
            </w:tcBorders>
          </w:tcPr>
          <w:p>
            <w:pPr>
              <w:pStyle w:val="TableParagraph"/>
              <w:spacing w:before="2"/>
              <w:rPr>
                <w:sz w:val="6"/>
              </w:rPr>
            </w:pPr>
          </w:p>
          <w:p>
            <w:pPr>
              <w:pStyle w:val="TableParagraph"/>
              <w:ind w:left="708"/>
              <w:rPr>
                <w:sz w:val="20"/>
              </w:rPr>
            </w:pPr>
            <w:r>
              <w:rPr>
                <w:sz w:val="20"/>
              </w:rPr>
              <w:drawing>
                <wp:inline distT="0" distB="0" distL="0" distR="0">
                  <wp:extent cx="3879442" cy="3182112"/>
                  <wp:effectExtent l="0" t="0" r="0" b="0"/>
                  <wp:docPr id="35" name="image18.jpeg"/>
                  <wp:cNvGraphicFramePr>
                    <a:graphicFrameLocks noChangeAspect="1"/>
                  </wp:cNvGraphicFramePr>
                  <a:graphic>
                    <a:graphicData uri="http://schemas.openxmlformats.org/drawingml/2006/picture">
                      <pic:pic>
                        <pic:nvPicPr>
                          <pic:cNvPr id="36" name="image18.jpeg"/>
                          <pic:cNvPicPr/>
                        </pic:nvPicPr>
                        <pic:blipFill>
                          <a:blip r:embed="rId37" cstate="print"/>
                          <a:stretch>
                            <a:fillRect/>
                          </a:stretch>
                        </pic:blipFill>
                        <pic:spPr>
                          <a:xfrm>
                            <a:off x="0" y="0"/>
                            <a:ext cx="3879442" cy="3182112"/>
                          </a:xfrm>
                          <a:prstGeom prst="rect">
                            <a:avLst/>
                          </a:prstGeom>
                        </pic:spPr>
                      </pic:pic>
                    </a:graphicData>
                  </a:graphic>
                </wp:inline>
              </w:drawing>
            </w:r>
            <w:r>
              <w:rPr>
                <w:sz w:val="20"/>
              </w:rPr>
            </w:r>
          </w:p>
        </w:tc>
        <w:tc>
          <w:tcPr>
            <w:tcW w:w="70" w:type="dxa"/>
          </w:tcPr>
          <w:p>
            <w:pPr>
              <w:pStyle w:val="TableParagraph"/>
              <w:rPr>
                <w:rFonts w:ascii="Times New Roman"/>
                <w:sz w:val="20"/>
              </w:rPr>
            </w:pPr>
          </w:p>
        </w:tc>
      </w:tr>
      <w:tr>
        <w:trPr>
          <w:trHeight w:val="240" w:hRule="atLeast"/>
        </w:trPr>
        <w:tc>
          <w:tcPr>
            <w:tcW w:w="2549" w:type="dxa"/>
          </w:tcPr>
          <w:p>
            <w:pPr>
              <w:pStyle w:val="TableParagraph"/>
              <w:rPr>
                <w:rFonts w:ascii="Times New Roman"/>
                <w:sz w:val="16"/>
              </w:rPr>
            </w:pPr>
          </w:p>
        </w:tc>
        <w:tc>
          <w:tcPr>
            <w:tcW w:w="7543" w:type="dxa"/>
            <w:tcBorders>
              <w:top w:val="single" w:sz="4" w:space="0" w:color="000000"/>
            </w:tcBorders>
          </w:tcPr>
          <w:p>
            <w:pPr>
              <w:pStyle w:val="TableParagraph"/>
              <w:spacing w:line="199" w:lineRule="exact" w:before="21"/>
              <w:ind w:left="108"/>
              <w:rPr>
                <w:sz w:val="18"/>
              </w:rPr>
            </w:pPr>
            <w:r>
              <w:rPr>
                <w:sz w:val="18"/>
              </w:rPr>
              <w:t>资料来源：</w:t>
            </w:r>
            <w:r>
              <w:rPr>
                <w:rFonts w:ascii="Times New Roman" w:eastAsia="Times New Roman"/>
                <w:sz w:val="18"/>
              </w:rPr>
              <w:t>Lancet Neurol, 2008, 7(9):805-11</w:t>
            </w:r>
            <w:r>
              <w:rPr>
                <w:sz w:val="18"/>
              </w:rPr>
              <w:t>，兴业证券经济与金融研究院整理</w:t>
            </w:r>
          </w:p>
        </w:tc>
        <w:tc>
          <w:tcPr>
            <w:tcW w:w="70" w:type="dxa"/>
          </w:tcPr>
          <w:p>
            <w:pPr>
              <w:pStyle w:val="TableParagraph"/>
              <w:rPr>
                <w:rFonts w:ascii="Times New Roman"/>
                <w:sz w:val="16"/>
              </w:rPr>
            </w:pPr>
          </w:p>
        </w:tc>
      </w:tr>
    </w:tbl>
    <w:p>
      <w:pPr>
        <w:pStyle w:val="BodyText"/>
        <w:spacing w:before="7"/>
        <w:rPr>
          <w:sz w:val="17"/>
        </w:rPr>
      </w:pPr>
    </w:p>
    <w:p>
      <w:pPr>
        <w:pStyle w:val="BodyText"/>
        <w:spacing w:line="302" w:lineRule="auto" w:before="78"/>
        <w:ind w:left="3163" w:right="726"/>
        <w:jc w:val="both"/>
      </w:pPr>
      <w:r>
        <w:rPr>
          <w:spacing w:val="-6"/>
        </w:rPr>
        <w:t>目前已有两款疾病修饰疗法获得 </w:t>
      </w:r>
      <w:r>
        <w:rPr>
          <w:rFonts w:ascii="Times New Roman" w:eastAsia="Times New Roman"/>
        </w:rPr>
        <w:t>FDA </w:t>
      </w:r>
      <w:r>
        <w:rPr>
          <w:spacing w:val="-16"/>
        </w:rPr>
        <w:t>批准，均由 </w:t>
      </w:r>
      <w:r>
        <w:rPr>
          <w:rFonts w:ascii="Times New Roman" w:eastAsia="Times New Roman"/>
        </w:rPr>
        <w:t>Biogen </w:t>
      </w:r>
      <w:r>
        <w:rPr>
          <w:spacing w:val="-24"/>
        </w:rPr>
        <w:t>和 </w:t>
      </w:r>
      <w:hyperlink r:id="rId38">
        <w:r>
          <w:rPr>
            <w:rFonts w:ascii="Times New Roman" w:eastAsia="Times New Roman"/>
          </w:rPr>
          <w:t>Eisai </w:t>
        </w:r>
      </w:hyperlink>
      <w:r>
        <w:rPr>
          <w:spacing w:val="-9"/>
        </w:rPr>
        <w:t>公司推出，分别</w:t>
      </w:r>
      <w:r>
        <w:rPr>
          <w:spacing w:val="-20"/>
        </w:rPr>
        <w:t>是 </w:t>
      </w:r>
      <w:r>
        <w:rPr>
          <w:rFonts w:ascii="Times New Roman" w:eastAsia="Times New Roman"/>
        </w:rPr>
        <w:t>2021 </w:t>
      </w:r>
      <w:r>
        <w:rPr>
          <w:spacing w:val="-11"/>
        </w:rPr>
        <w:t>年获批的 </w:t>
      </w:r>
      <w:r>
        <w:rPr>
          <w:rFonts w:ascii="Times New Roman" w:eastAsia="Times New Roman"/>
        </w:rPr>
        <w:t>Aducanumab</w:t>
      </w:r>
      <w:r>
        <w:rPr/>
        <w:t>（</w:t>
      </w:r>
      <w:r>
        <w:rPr>
          <w:spacing w:val="-11"/>
        </w:rPr>
        <w:t>商品名是 </w:t>
      </w:r>
      <w:r>
        <w:rPr>
          <w:rFonts w:ascii="Times New Roman" w:eastAsia="Times New Roman"/>
        </w:rPr>
        <w:t>Aduhelm</w:t>
      </w:r>
      <w:r>
        <w:rPr/>
        <w:t>）</w:t>
      </w:r>
      <w:r>
        <w:rPr>
          <w:spacing w:val="-21"/>
        </w:rPr>
        <w:t>和 </w:t>
      </w:r>
      <w:r>
        <w:rPr>
          <w:rFonts w:ascii="Times New Roman" w:eastAsia="Times New Roman"/>
        </w:rPr>
        <w:t>2023 </w:t>
      </w:r>
      <w:r>
        <w:rPr>
          <w:spacing w:val="-20"/>
        </w:rPr>
        <w:t>年 </w:t>
      </w:r>
      <w:r>
        <w:rPr>
          <w:rFonts w:ascii="Times New Roman" w:eastAsia="Times New Roman"/>
        </w:rPr>
        <w:t>7 </w:t>
      </w:r>
      <w:r>
        <w:rPr>
          <w:spacing w:val="-21"/>
        </w:rPr>
        <w:t>月 </w:t>
      </w:r>
      <w:r>
        <w:rPr>
          <w:rFonts w:ascii="Times New Roman" w:eastAsia="Times New Roman"/>
        </w:rPr>
        <w:t>6 </w:t>
      </w:r>
      <w:r>
        <w:rPr>
          <w:spacing w:val="-2"/>
        </w:rPr>
        <w:t>日获得完</w:t>
      </w:r>
      <w:r>
        <w:rPr>
          <w:spacing w:val="-13"/>
        </w:rPr>
        <w:t>全批准的 </w:t>
      </w:r>
      <w:r>
        <w:rPr>
          <w:rFonts w:ascii="Times New Roman" w:eastAsia="Times New Roman"/>
        </w:rPr>
        <w:t>lecanemab-irmb</w:t>
      </w:r>
      <w:r>
        <w:rPr/>
        <w:t>（</w:t>
      </w:r>
      <w:r>
        <w:rPr>
          <w:spacing w:val="15"/>
        </w:rPr>
        <w:t>商品名</w:t>
      </w:r>
      <w:r>
        <w:rPr>
          <w:rFonts w:ascii="Times New Roman" w:eastAsia="Times New Roman"/>
        </w:rPr>
        <w:t>Leqembi</w:t>
      </w:r>
      <w:r>
        <w:rPr/>
        <w:t>）</w:t>
      </w:r>
      <w:r>
        <w:rPr>
          <w:spacing w:val="-5"/>
        </w:rPr>
        <w:t>。</w:t>
      </w:r>
      <w:r>
        <w:rPr>
          <w:rFonts w:ascii="Times New Roman" w:eastAsia="Times New Roman"/>
        </w:rPr>
        <w:t>Aducanumab </w:t>
      </w:r>
      <w:r>
        <w:rPr>
          <w:spacing w:val="-3"/>
        </w:rPr>
        <w:t>的治疗费用由抵制前</w:t>
      </w:r>
      <w:r>
        <w:rPr>
          <w:spacing w:val="-24"/>
        </w:rPr>
        <w:t>的 </w:t>
      </w:r>
      <w:r>
        <w:rPr>
          <w:rFonts w:ascii="Times New Roman" w:eastAsia="Times New Roman"/>
        </w:rPr>
        <w:t>5.8 </w:t>
      </w:r>
      <w:r>
        <w:rPr>
          <w:spacing w:val="-2"/>
        </w:rPr>
        <w:t>万美元</w:t>
      </w:r>
      <w:r>
        <w:rPr>
          <w:rFonts w:ascii="Times New Roman" w:eastAsia="Times New Roman"/>
        </w:rPr>
        <w:t>/</w:t>
      </w:r>
      <w:r>
        <w:rPr>
          <w:spacing w:val="-14"/>
        </w:rPr>
        <w:t>年降至 </w:t>
      </w:r>
      <w:r>
        <w:rPr>
          <w:rFonts w:ascii="Times New Roman" w:eastAsia="Times New Roman"/>
        </w:rPr>
        <w:t>2.82 </w:t>
      </w:r>
      <w:r>
        <w:rPr/>
        <w:t>万美元</w:t>
      </w:r>
      <w:r>
        <w:rPr>
          <w:rFonts w:ascii="Times New Roman" w:eastAsia="Times New Roman"/>
          <w:spacing w:val="-4"/>
        </w:rPr>
        <w:t>/</w:t>
      </w:r>
      <w:r>
        <w:rPr/>
        <w:t>年，</w:t>
      </w:r>
      <w:r>
        <w:rPr>
          <w:rFonts w:ascii="Times New Roman" w:eastAsia="Times New Roman"/>
        </w:rPr>
        <w:t>Lecanemab </w:t>
      </w:r>
      <w:r>
        <w:rPr>
          <w:spacing w:val="-24"/>
        </w:rPr>
        <w:t>为 </w:t>
      </w:r>
      <w:r>
        <w:rPr>
          <w:rFonts w:ascii="Times New Roman" w:eastAsia="Times New Roman"/>
        </w:rPr>
        <w:t>2.65 </w:t>
      </w:r>
      <w:r>
        <w:rPr>
          <w:spacing w:val="-2"/>
        </w:rPr>
        <w:t>万美元</w:t>
      </w:r>
      <w:r>
        <w:rPr>
          <w:rFonts w:ascii="Times New Roman" w:eastAsia="Times New Roman"/>
        </w:rPr>
        <w:t>/</w:t>
      </w:r>
      <w:r>
        <w:rPr>
          <w:spacing w:val="-3"/>
        </w:rPr>
        <w:t>年。此外礼来的</w:t>
      </w:r>
      <w:r>
        <w:rPr>
          <w:rFonts w:ascii="Times New Roman" w:eastAsia="Times New Roman"/>
          <w:spacing w:val="-3"/>
        </w:rPr>
        <w:t>Donanemab </w:t>
      </w:r>
      <w:r>
        <w:rPr>
          <w:spacing w:val="-10"/>
        </w:rPr>
        <w:t>也已完成临床 </w:t>
      </w:r>
      <w:r>
        <w:rPr>
          <w:rFonts w:ascii="Times New Roman" w:eastAsia="Times New Roman"/>
        </w:rPr>
        <w:t>III </w:t>
      </w:r>
      <w:r>
        <w:rPr>
          <w:spacing w:val="-3"/>
        </w:rPr>
        <w:t>期试验，并于近期披露相关临床试验结果。</w:t>
      </w:r>
    </w:p>
    <w:p>
      <w:pPr>
        <w:pStyle w:val="BodyText"/>
        <w:spacing w:before="4"/>
        <w:rPr>
          <w:sz w:val="19"/>
        </w:rPr>
      </w:pPr>
    </w:p>
    <w:p>
      <w:pPr>
        <w:pStyle w:val="BodyText"/>
        <w:spacing w:line="340" w:lineRule="exact"/>
        <w:ind w:left="3163" w:right="704"/>
        <w:jc w:val="both"/>
        <w:rPr>
          <w:rFonts w:ascii="Times New Roman" w:hAnsi="Times New Roman" w:eastAsia="Times New Roman"/>
        </w:rPr>
      </w:pPr>
      <w:r>
        <w:rPr>
          <w:rFonts w:ascii="Times New Roman" w:hAnsi="Times New Roman" w:eastAsia="Times New Roman"/>
          <w:b/>
        </w:rPr>
        <w:t>1 </w:t>
      </w:r>
      <w:r>
        <w:rPr>
          <w:rFonts w:ascii="Microsoft JhengHei" w:hAnsi="Microsoft JhengHei" w:eastAsia="Microsoft JhengHei" w:hint="eastAsia"/>
          <w:b/>
        </w:rPr>
        <w:t>） </w:t>
      </w:r>
      <w:r>
        <w:rPr>
          <w:rFonts w:ascii="Times New Roman" w:hAnsi="Times New Roman" w:eastAsia="Times New Roman"/>
          <w:b/>
        </w:rPr>
        <w:t>Aducanumab</w:t>
      </w:r>
      <w:r>
        <w:rPr>
          <w:rFonts w:ascii="Microsoft JhengHei" w:hAnsi="Microsoft JhengHei" w:eastAsia="Microsoft JhengHei" w:hint="eastAsia"/>
          <w:b/>
          <w:spacing w:val="-16"/>
        </w:rPr>
        <w:t>： </w:t>
      </w:r>
      <w:r>
        <w:rPr>
          <w:spacing w:val="16"/>
        </w:rPr>
        <w:t>适用于轻度认知障碍或轻度痴呆阶段的 </w:t>
      </w:r>
      <w:r>
        <w:rPr>
          <w:rFonts w:ascii="Times New Roman" w:hAnsi="Times New Roman" w:eastAsia="Times New Roman"/>
        </w:rPr>
        <w:t>AD </w:t>
      </w:r>
      <w:r>
        <w:rPr>
          <w:spacing w:val="16"/>
        </w:rPr>
        <w:t>患者，是由</w:t>
      </w:r>
      <w:r>
        <w:rPr>
          <w:rFonts w:ascii="Times New Roman" w:hAnsi="Times New Roman" w:eastAsia="Times New Roman"/>
        </w:rPr>
        <w:t>Neurimmune</w:t>
      </w:r>
      <w:r>
        <w:rPr>
          <w:spacing w:val="-32"/>
        </w:rPr>
        <w:t>、</w:t>
      </w:r>
      <w:r>
        <w:rPr>
          <w:rFonts w:ascii="Times New Roman" w:hAnsi="Times New Roman" w:eastAsia="Times New Roman"/>
        </w:rPr>
        <w:t>Biogen </w:t>
      </w:r>
      <w:r>
        <w:rPr>
          <w:spacing w:val="-26"/>
        </w:rPr>
        <w:t>和 </w:t>
      </w:r>
      <w:hyperlink r:id="rId38">
        <w:r>
          <w:rPr>
            <w:rFonts w:ascii="Times New Roman" w:hAnsi="Times New Roman" w:eastAsia="Times New Roman"/>
          </w:rPr>
          <w:t>Eisai </w:t>
        </w:r>
      </w:hyperlink>
      <w:r>
        <w:rPr>
          <w:spacing w:val="3"/>
        </w:rPr>
        <w:t>公司研发的首款获</w:t>
      </w:r>
      <w:r>
        <w:rPr>
          <w:rFonts w:ascii="Times New Roman" w:hAnsi="Times New Roman" w:eastAsia="Times New Roman"/>
        </w:rPr>
        <w:t>FDA </w:t>
      </w:r>
      <w:r>
        <w:rPr>
          <w:spacing w:val="-13"/>
        </w:rPr>
        <w:t>批准的抗 </w:t>
      </w:r>
      <w:r>
        <w:rPr>
          <w:rFonts w:ascii="Times New Roman" w:hAnsi="Times New Roman" w:eastAsia="Times New Roman"/>
        </w:rPr>
        <w:t>A</w:t>
      </w:r>
      <w:r>
        <w:rPr/>
        <w:t>β</w:t>
      </w:r>
      <w:r>
        <w:rPr>
          <w:spacing w:val="-7"/>
        </w:rPr>
        <w:t>单抗，开启了</w:t>
      </w:r>
      <w:r>
        <w:rPr>
          <w:spacing w:val="-12"/>
        </w:rPr>
        <w:t>以替代终点</w:t>
      </w:r>
      <w:r>
        <w:rPr/>
        <w:t>（β</w:t>
      </w:r>
      <w:r>
        <w:rPr>
          <w:rFonts w:ascii="Times New Roman" w:hAnsi="Times New Roman" w:eastAsia="Times New Roman"/>
        </w:rPr>
        <w:t>-</w:t>
      </w:r>
      <w:r>
        <w:rPr>
          <w:spacing w:val="-3"/>
        </w:rPr>
        <w:t>淀粉样蛋白降低</w:t>
      </w:r>
      <w:r>
        <w:rPr>
          <w:spacing w:val="-36"/>
        </w:rPr>
        <w:t>）</w:t>
      </w:r>
      <w:r>
        <w:rPr>
          <w:spacing w:val="-19"/>
        </w:rPr>
        <w:t>获批 </w:t>
      </w:r>
      <w:r>
        <w:rPr>
          <w:rFonts w:ascii="Times New Roman" w:hAnsi="Times New Roman" w:eastAsia="Times New Roman"/>
        </w:rPr>
        <w:t>AD </w:t>
      </w:r>
      <w:r>
        <w:rPr>
          <w:spacing w:val="-12"/>
        </w:rPr>
        <w:t>的先河。</w:t>
      </w:r>
      <w:r>
        <w:rPr>
          <w:rFonts w:ascii="Times New Roman" w:hAnsi="Times New Roman" w:eastAsia="Times New Roman"/>
        </w:rPr>
        <w:t>2019 </w:t>
      </w:r>
      <w:r>
        <w:rPr>
          <w:spacing w:val="-24"/>
        </w:rPr>
        <w:t>年 </w:t>
      </w:r>
      <w:r>
        <w:rPr>
          <w:rFonts w:ascii="Times New Roman" w:hAnsi="Times New Roman" w:eastAsia="Times New Roman"/>
        </w:rPr>
        <w:t>3 </w:t>
      </w:r>
      <w:r>
        <w:rPr>
          <w:spacing w:val="-14"/>
        </w:rPr>
        <w:t>月，基于早期 </w:t>
      </w:r>
      <w:r>
        <w:rPr>
          <w:rFonts w:ascii="Times New Roman" w:hAnsi="Times New Roman" w:eastAsia="Times New Roman"/>
        </w:rPr>
        <w:t>1748</w:t>
      </w:r>
    </w:p>
    <w:p>
      <w:pPr>
        <w:pStyle w:val="BodyText"/>
        <w:spacing w:line="302" w:lineRule="auto" w:before="64"/>
        <w:ind w:left="3163" w:right="724"/>
        <w:jc w:val="both"/>
      </w:pPr>
      <w:r>
        <w:rPr>
          <w:spacing w:val="-12"/>
        </w:rPr>
        <w:t>例患者的分析，渤健提前 </w:t>
      </w:r>
      <w:r>
        <w:rPr>
          <w:rFonts w:ascii="Times New Roman" w:hAnsi="Times New Roman" w:eastAsia="Times New Roman"/>
        </w:rPr>
        <w:t>2 </w:t>
      </w:r>
      <w:r>
        <w:rPr>
          <w:spacing w:val="-8"/>
        </w:rPr>
        <w:t>月终止了两项全球 </w:t>
      </w:r>
      <w:r>
        <w:rPr>
          <w:rFonts w:ascii="Times New Roman" w:hAnsi="Times New Roman" w:eastAsia="Times New Roman"/>
        </w:rPr>
        <w:t>III </w:t>
      </w:r>
      <w:r>
        <w:rPr>
          <w:spacing w:val="-9"/>
        </w:rPr>
        <w:t>期临床研究。对更大样本的试验</w:t>
      </w:r>
      <w:r>
        <w:rPr>
          <w:spacing w:val="-11"/>
        </w:rPr>
        <w:t>数据</w:t>
      </w:r>
      <w:r>
        <w:rPr/>
        <w:t>（</w:t>
      </w:r>
      <w:r>
        <w:rPr>
          <w:rFonts w:ascii="Times New Roman" w:hAnsi="Times New Roman" w:eastAsia="Times New Roman"/>
        </w:rPr>
        <w:t>EMERGE &amp; </w:t>
      </w:r>
      <w:r>
        <w:rPr>
          <w:rFonts w:ascii="Times New Roman" w:hAnsi="Times New Roman" w:eastAsia="Times New Roman"/>
          <w:spacing w:val="-3"/>
        </w:rPr>
        <w:t>ENGAGE</w:t>
      </w:r>
      <w:r>
        <w:rPr>
          <w:spacing w:val="-3"/>
        </w:rPr>
        <w:t>）</w:t>
      </w:r>
      <w:r>
        <w:rPr>
          <w:spacing w:val="-9"/>
        </w:rPr>
        <w:t>分析后，工作人员发现 </w:t>
      </w:r>
      <w:r>
        <w:rPr>
          <w:rFonts w:ascii="Times New Roman" w:hAnsi="Times New Roman" w:eastAsia="Times New Roman"/>
        </w:rPr>
        <w:t>EMERGE </w:t>
      </w:r>
      <w:r>
        <w:rPr>
          <w:spacing w:val="-3"/>
        </w:rPr>
        <w:t>高剂量组主要终</w:t>
      </w:r>
      <w:r>
        <w:rPr>
          <w:spacing w:val="-21"/>
        </w:rPr>
        <w:t>点 </w:t>
      </w:r>
      <w:r>
        <w:rPr>
          <w:rFonts w:ascii="Times New Roman" w:hAnsi="Times New Roman" w:eastAsia="Times New Roman"/>
        </w:rPr>
        <w:t>CDR-SB </w:t>
      </w:r>
      <w:r>
        <w:rPr>
          <w:spacing w:val="-3"/>
        </w:rPr>
        <w:t>的指标改善更佳</w:t>
      </w:r>
      <w:r>
        <w:rPr/>
        <w:t>（</w:t>
      </w:r>
      <w:r>
        <w:rPr>
          <w:rFonts w:ascii="Times New Roman" w:hAnsi="Times New Roman" w:eastAsia="Times New Roman"/>
        </w:rPr>
        <w:t>-22%</w:t>
      </w:r>
      <w:r>
        <w:rPr/>
        <w:t>）</w:t>
      </w:r>
      <w:r>
        <w:rPr>
          <w:spacing w:val="-13"/>
        </w:rPr>
        <w:t>，但 </w:t>
      </w:r>
      <w:r>
        <w:rPr>
          <w:rFonts w:ascii="Times New Roman" w:hAnsi="Times New Roman" w:eastAsia="Times New Roman"/>
        </w:rPr>
        <w:t>ENGAGE </w:t>
      </w:r>
      <w:r>
        <w:rPr>
          <w:spacing w:val="-3"/>
        </w:rPr>
        <w:t>组无显著差异。考虑到患者的临床需求，</w:t>
      </w:r>
      <w:r>
        <w:rPr>
          <w:rFonts w:ascii="Times New Roman" w:hAnsi="Times New Roman" w:eastAsia="Times New Roman"/>
        </w:rPr>
        <w:t>FDA </w:t>
      </w:r>
      <w:r>
        <w:rPr>
          <w:spacing w:val="-17"/>
        </w:rPr>
        <w:t>同意 </w:t>
      </w:r>
      <w:r>
        <w:rPr>
          <w:rFonts w:ascii="Times New Roman" w:hAnsi="Times New Roman" w:eastAsia="Times New Roman"/>
        </w:rPr>
        <w:t>Aducanumab </w:t>
      </w:r>
      <w:r>
        <w:rPr>
          <w:spacing w:val="-7"/>
        </w:rPr>
        <w:t>以替代重点申请上市，但 </w:t>
      </w:r>
      <w:r>
        <w:rPr>
          <w:rFonts w:ascii="Times New Roman" w:hAnsi="Times New Roman" w:eastAsia="Times New Roman"/>
        </w:rPr>
        <w:t>A</w:t>
      </w:r>
      <w:r>
        <w:rPr/>
        <w:t>β</w:t>
      </w:r>
      <w:r>
        <w:rPr>
          <w:spacing w:val="-13"/>
        </w:rPr>
        <w:t>减少与 </w:t>
      </w:r>
      <w:r>
        <w:rPr>
          <w:rFonts w:ascii="Times New Roman" w:hAnsi="Times New Roman" w:eastAsia="Times New Roman"/>
        </w:rPr>
        <w:t>AD </w:t>
      </w:r>
      <w:r>
        <w:rPr/>
        <w:t>改</w:t>
      </w:r>
      <w:r>
        <w:rPr>
          <w:spacing w:val="-3"/>
        </w:rPr>
        <w:t>善之间的因果关系不明，这也是争议的焦点所在。</w:t>
      </w:r>
    </w:p>
    <w:p>
      <w:pPr>
        <w:pStyle w:val="BodyText"/>
        <w:spacing w:before="2"/>
        <w:rPr>
          <w:sz w:val="24"/>
        </w:rPr>
      </w:pPr>
    </w:p>
    <w:p>
      <w:pPr>
        <w:pStyle w:val="BodyText"/>
        <w:spacing w:line="304" w:lineRule="auto"/>
        <w:ind w:left="3163" w:right="723"/>
        <w:jc w:val="both"/>
      </w:pPr>
      <w:r>
        <w:rPr>
          <w:rFonts w:ascii="Times New Roman" w:hAnsi="Times New Roman" w:eastAsia="Times New Roman"/>
        </w:rPr>
        <w:t>Aducanumab </w:t>
      </w:r>
      <w:r>
        <w:rPr>
          <w:spacing w:val="-24"/>
        </w:rPr>
        <w:t>于 </w:t>
      </w:r>
      <w:r>
        <w:rPr>
          <w:rFonts w:ascii="Times New Roman" w:hAnsi="Times New Roman" w:eastAsia="Times New Roman"/>
        </w:rPr>
        <w:t>2020 </w:t>
      </w:r>
      <w:r>
        <w:rPr>
          <w:spacing w:val="-25"/>
        </w:rPr>
        <w:t>年 </w:t>
      </w:r>
      <w:r>
        <w:rPr>
          <w:rFonts w:ascii="Times New Roman" w:hAnsi="Times New Roman" w:eastAsia="Times New Roman"/>
        </w:rPr>
        <w:t>8 </w:t>
      </w:r>
      <w:r>
        <w:rPr>
          <w:spacing w:val="-25"/>
        </w:rPr>
        <w:t>月 </w:t>
      </w:r>
      <w:r>
        <w:rPr>
          <w:rFonts w:ascii="Times New Roman" w:hAnsi="Times New Roman" w:eastAsia="Times New Roman"/>
        </w:rPr>
        <w:t>7 </w:t>
      </w:r>
      <w:r>
        <w:rPr>
          <w:spacing w:val="-14"/>
        </w:rPr>
        <w:t>日进行 </w:t>
      </w:r>
      <w:r>
        <w:rPr>
          <w:rFonts w:ascii="Times New Roman" w:hAnsi="Times New Roman" w:eastAsia="Times New Roman"/>
        </w:rPr>
        <w:t>BLA </w:t>
      </w:r>
      <w:r>
        <w:rPr>
          <w:spacing w:val="-3"/>
        </w:rPr>
        <w:t>优先审查。</w:t>
      </w:r>
      <w:r>
        <w:rPr>
          <w:rFonts w:ascii="Times New Roman" w:hAnsi="Times New Roman" w:eastAsia="Times New Roman"/>
        </w:rPr>
        <w:t>2020 </w:t>
      </w:r>
      <w:r>
        <w:rPr>
          <w:spacing w:val="-24"/>
        </w:rPr>
        <w:t>年 </w:t>
      </w:r>
      <w:r>
        <w:rPr>
          <w:rFonts w:ascii="Times New Roman" w:hAnsi="Times New Roman" w:eastAsia="Times New Roman"/>
          <w:spacing w:val="-5"/>
        </w:rPr>
        <w:t>11 </w:t>
      </w:r>
      <w:r>
        <w:rPr>
          <w:spacing w:val="-25"/>
        </w:rPr>
        <w:t>月 </w:t>
      </w:r>
      <w:r>
        <w:rPr>
          <w:rFonts w:ascii="Times New Roman" w:hAnsi="Times New Roman" w:eastAsia="Times New Roman"/>
        </w:rPr>
        <w:t>6 </w:t>
      </w:r>
      <w:r>
        <w:rPr>
          <w:spacing w:val="-24"/>
        </w:rPr>
        <w:t>日 </w:t>
      </w:r>
      <w:r>
        <w:rPr>
          <w:rFonts w:ascii="Times New Roman" w:hAnsi="Times New Roman" w:eastAsia="Times New Roman"/>
        </w:rPr>
        <w:t>FDA </w:t>
      </w:r>
      <w:r>
        <w:rPr/>
        <w:t>外</w:t>
      </w:r>
      <w:r>
        <w:rPr>
          <w:spacing w:val="-5"/>
        </w:rPr>
        <w:t>周和中枢神经系统药物咨询委员会针对“且不说 </w:t>
      </w:r>
      <w:r>
        <w:rPr>
          <w:rFonts w:ascii="Times New Roman" w:hAnsi="Times New Roman" w:eastAsia="Times New Roman"/>
        </w:rPr>
        <w:t>ENGAGE </w:t>
      </w:r>
      <w:r>
        <w:rPr>
          <w:spacing w:val="-9"/>
        </w:rPr>
        <w:t>研究，单从 </w:t>
      </w:r>
      <w:r>
        <w:rPr>
          <w:rFonts w:ascii="Times New Roman" w:hAnsi="Times New Roman" w:eastAsia="Times New Roman"/>
        </w:rPr>
        <w:t>EMERGE </w:t>
      </w:r>
      <w:r>
        <w:rPr>
          <w:spacing w:val="-5"/>
        </w:rPr>
        <w:t>研究来看，有强有力的证据支持 </w:t>
      </w:r>
      <w:r>
        <w:rPr>
          <w:rFonts w:ascii="Times New Roman" w:hAnsi="Times New Roman" w:eastAsia="Times New Roman"/>
        </w:rPr>
        <w:t>Aducanumab </w:t>
      </w:r>
      <w:r>
        <w:rPr>
          <w:spacing w:val="-11"/>
        </w:rPr>
        <w:t>治疗 </w:t>
      </w:r>
      <w:r>
        <w:rPr>
          <w:rFonts w:ascii="Times New Roman" w:hAnsi="Times New Roman" w:eastAsia="Times New Roman"/>
        </w:rPr>
        <w:t>AD </w:t>
      </w:r>
      <w:r>
        <w:rPr>
          <w:spacing w:val="-3"/>
        </w:rPr>
        <w:t>的优效性吗？”的问题， </w:t>
      </w:r>
      <w:r>
        <w:rPr>
          <w:spacing w:val="-17"/>
        </w:rPr>
        <w:t>投了 </w:t>
      </w:r>
      <w:r>
        <w:rPr>
          <w:rFonts w:ascii="Times New Roman" w:hAnsi="Times New Roman" w:eastAsia="Times New Roman"/>
        </w:rPr>
        <w:t>8</w:t>
      </w:r>
      <w:r>
        <w:rPr/>
        <w:t>：</w:t>
      </w:r>
      <w:r>
        <w:rPr>
          <w:rFonts w:ascii="Times New Roman" w:hAnsi="Times New Roman" w:eastAsia="Times New Roman"/>
        </w:rPr>
        <w:t>1</w:t>
      </w:r>
      <w:r>
        <w:rPr/>
        <w:t>（</w:t>
      </w:r>
      <w:r>
        <w:rPr>
          <w:rFonts w:ascii="Times New Roman" w:hAnsi="Times New Roman" w:eastAsia="Times New Roman"/>
        </w:rPr>
        <w:t>2 </w:t>
      </w:r>
      <w:r>
        <w:rPr>
          <w:spacing w:val="-3"/>
        </w:rPr>
        <w:t>票不确定）的反对票。尽管如此，</w:t>
      </w:r>
      <w:r>
        <w:rPr>
          <w:rFonts w:ascii="Times New Roman" w:hAnsi="Times New Roman" w:eastAsia="Times New Roman"/>
        </w:rPr>
        <w:t>2021 </w:t>
      </w:r>
      <w:r>
        <w:rPr>
          <w:spacing w:val="-21"/>
        </w:rPr>
        <w:t>年 </w:t>
      </w:r>
      <w:r>
        <w:rPr>
          <w:rFonts w:ascii="Times New Roman" w:hAnsi="Times New Roman" w:eastAsia="Times New Roman"/>
        </w:rPr>
        <w:t>6 </w:t>
      </w:r>
      <w:r>
        <w:rPr>
          <w:spacing w:val="-21"/>
        </w:rPr>
        <w:t>月 </w:t>
      </w:r>
      <w:r>
        <w:rPr>
          <w:rFonts w:ascii="Times New Roman" w:hAnsi="Times New Roman" w:eastAsia="Times New Roman"/>
        </w:rPr>
        <w:t>7 </w:t>
      </w:r>
      <w:r>
        <w:rPr>
          <w:spacing w:val="-21"/>
        </w:rPr>
        <w:t>日 </w:t>
      </w:r>
      <w:r>
        <w:rPr>
          <w:rFonts w:ascii="Times New Roman" w:hAnsi="Times New Roman" w:eastAsia="Times New Roman"/>
        </w:rPr>
        <w:t>FDA </w:t>
      </w:r>
      <w:r>
        <w:rPr>
          <w:spacing w:val="-3"/>
        </w:rPr>
        <w:t>仍然加速</w:t>
      </w:r>
      <w:r>
        <w:rPr>
          <w:spacing w:val="-8"/>
        </w:rPr>
        <w:t>审批通过了 </w:t>
      </w:r>
      <w:r>
        <w:rPr>
          <w:rFonts w:ascii="Times New Roman" w:hAnsi="Times New Roman" w:eastAsia="Times New Roman"/>
        </w:rPr>
        <w:t>Aduhelm </w:t>
      </w:r>
      <w:r>
        <w:rPr>
          <w:spacing w:val="-6"/>
        </w:rPr>
        <w:t>的上市申请。除了有效性的争议之外，安全性担忧也令这款产品的推广困难重重。截止到当年 </w:t>
      </w:r>
      <w:r>
        <w:rPr>
          <w:rFonts w:ascii="Times New Roman" w:hAnsi="Times New Roman" w:eastAsia="Times New Roman"/>
        </w:rPr>
        <w:t>9 </w:t>
      </w:r>
      <w:r>
        <w:rPr>
          <w:spacing w:val="-3"/>
        </w:rPr>
        <w:t>月底的不良反应报告汇总后发现一例脑水肿</w:t>
      </w:r>
      <w:r>
        <w:rPr>
          <w:spacing w:val="-2"/>
        </w:rPr>
        <w:t>死亡案例，且超过四成的高剂量治疗者出现 </w:t>
      </w:r>
      <w:r>
        <w:rPr>
          <w:rFonts w:ascii="Times New Roman" w:hAnsi="Times New Roman" w:eastAsia="Times New Roman"/>
        </w:rPr>
        <w:t>ARIA</w:t>
      </w:r>
      <w:r>
        <w:rPr/>
        <w:t>（</w:t>
      </w:r>
      <w:r>
        <w:rPr>
          <w:spacing w:val="-1"/>
        </w:rPr>
        <w:t>淀粉样蛋白相关成像异常，</w:t>
      </w:r>
    </w:p>
    <w:p>
      <w:pPr>
        <w:spacing w:after="0" w:line="304" w:lineRule="auto"/>
        <w:jc w:val="both"/>
        <w:sectPr>
          <w:pgSz w:w="11910" w:h="16840"/>
          <w:pgMar w:header="868" w:footer="1201" w:top="1400" w:bottom="1400" w:left="240" w:right="400"/>
        </w:sectPr>
      </w:pPr>
    </w:p>
    <w:p>
      <w:pPr>
        <w:pStyle w:val="BodyText"/>
        <w:spacing w:before="4"/>
        <w:rPr>
          <w:sz w:val="13"/>
        </w:rPr>
      </w:pPr>
    </w:p>
    <w:p>
      <w:pPr>
        <w:pStyle w:val="BodyText"/>
        <w:spacing w:line="20" w:lineRule="exact"/>
        <w:ind w:left="614"/>
        <w:rPr>
          <w:sz w:val="2"/>
        </w:rPr>
      </w:pPr>
      <w:r>
        <w:rPr>
          <w:sz w:val="2"/>
        </w:rPr>
        <w:pict>
          <v:group style="width:508.1pt;height:.75pt;mso-position-horizontal-relative:char;mso-position-vertical-relative:line" coordorigin="0,0" coordsize="10162,15">
            <v:rect style="position:absolute;left:0;top:0;width:10162;height:15" filled="true" fillcolor="#333366" stroked="false">
              <v:fill type="solid"/>
            </v:rect>
          </v:group>
        </w:pict>
      </w:r>
      <w:r>
        <w:rPr>
          <w:sz w:val="2"/>
        </w:rPr>
      </w:r>
    </w:p>
    <w:p>
      <w:pPr>
        <w:pStyle w:val="BodyText"/>
        <w:spacing w:line="304" w:lineRule="auto"/>
        <w:ind w:left="3163" w:right="726"/>
        <w:rPr>
          <w:rFonts w:ascii="Times New Roman" w:eastAsia="Times New Roman"/>
        </w:rPr>
      </w:pPr>
      <w:r>
        <w:rPr>
          <w:spacing w:val="-2"/>
        </w:rPr>
        <w:t>可能是大脑水肿</w:t>
      </w:r>
      <w:r>
        <w:rPr>
          <w:rFonts w:ascii="Times New Roman" w:eastAsia="Times New Roman"/>
        </w:rPr>
        <w:t>(ARIA-E)</w:t>
      </w:r>
      <w:r>
        <w:rPr>
          <w:spacing w:val="-1"/>
        </w:rPr>
        <w:t>或微出血</w:t>
      </w:r>
      <w:r>
        <w:rPr>
          <w:rFonts w:ascii="Times New Roman" w:eastAsia="Times New Roman"/>
        </w:rPr>
        <w:t>(ARIA-H)</w:t>
      </w:r>
      <w:r>
        <w:rPr>
          <w:spacing w:val="-3"/>
        </w:rPr>
        <w:t>的迹象</w:t>
      </w:r>
      <w:r>
        <w:rPr>
          <w:spacing w:val="-10"/>
        </w:rPr>
        <w:t>）</w:t>
      </w:r>
      <w:r>
        <w:rPr>
          <w:spacing w:val="-9"/>
        </w:rPr>
        <w:t>。</w:t>
      </w:r>
      <w:r>
        <w:rPr>
          <w:rFonts w:ascii="Times New Roman" w:eastAsia="Times New Roman"/>
        </w:rPr>
        <w:t>2021 </w:t>
      </w:r>
      <w:r>
        <w:rPr/>
        <w:t>年，</w:t>
      </w:r>
      <w:r>
        <w:rPr>
          <w:rFonts w:ascii="Times New Roman" w:eastAsia="Times New Roman"/>
        </w:rPr>
        <w:t>Evaluate </w:t>
      </w:r>
      <w:r>
        <w:rPr>
          <w:spacing w:val="-2"/>
        </w:rPr>
        <w:t>将其列</w:t>
      </w:r>
      <w:r>
        <w:rPr>
          <w:spacing w:val="-6"/>
        </w:rPr>
        <w:t>为销售额最高的药物，预计到 </w:t>
      </w:r>
      <w:r>
        <w:rPr>
          <w:rFonts w:ascii="Times New Roman" w:eastAsia="Times New Roman"/>
        </w:rPr>
        <w:t>2026 </w:t>
      </w:r>
      <w:r>
        <w:rPr>
          <w:spacing w:val="-10"/>
        </w:rPr>
        <w:t>年可以达到 </w:t>
      </w:r>
      <w:r>
        <w:rPr>
          <w:rFonts w:ascii="Times New Roman" w:eastAsia="Times New Roman"/>
        </w:rPr>
        <w:t>48 </w:t>
      </w:r>
      <w:r>
        <w:rPr>
          <w:spacing w:val="-7"/>
        </w:rPr>
        <w:t>亿美元。然而事实上 </w:t>
      </w:r>
      <w:r>
        <w:rPr>
          <w:rFonts w:ascii="Times New Roman" w:eastAsia="Times New Roman"/>
        </w:rPr>
        <w:t>Aduhelm</w:t>
      </w:r>
    </w:p>
    <w:p>
      <w:pPr>
        <w:pStyle w:val="BodyText"/>
        <w:spacing w:line="304" w:lineRule="auto"/>
        <w:ind w:left="3163" w:right="731"/>
      </w:pPr>
      <w:r>
        <w:rPr>
          <w:rFonts w:ascii="Times New Roman" w:eastAsia="Times New Roman"/>
        </w:rPr>
        <w:t>2021 </w:t>
      </w:r>
      <w:r>
        <w:rPr>
          <w:spacing w:val="-11"/>
        </w:rPr>
        <w:t>年销售额为 </w:t>
      </w:r>
      <w:r>
        <w:rPr>
          <w:rFonts w:ascii="Times New Roman" w:eastAsia="Times New Roman"/>
        </w:rPr>
        <w:t>300 </w:t>
      </w:r>
      <w:r>
        <w:rPr>
          <w:spacing w:val="-3"/>
        </w:rPr>
        <w:t>万美元，</w:t>
      </w:r>
      <w:r>
        <w:rPr>
          <w:rFonts w:ascii="Times New Roman" w:eastAsia="Times New Roman"/>
          <w:spacing w:val="-4"/>
        </w:rPr>
        <w:t>2022 </w:t>
      </w:r>
      <w:r>
        <w:rPr>
          <w:spacing w:val="-13"/>
        </w:rPr>
        <w:t>年也仅为 </w:t>
      </w:r>
      <w:r>
        <w:rPr>
          <w:rFonts w:ascii="Times New Roman" w:eastAsia="Times New Roman"/>
        </w:rPr>
        <w:t>480 </w:t>
      </w:r>
      <w:r>
        <w:rPr>
          <w:spacing w:val="-6"/>
        </w:rPr>
        <w:t>万美元。</w:t>
      </w:r>
      <w:r>
        <w:rPr>
          <w:rFonts w:ascii="Times New Roman" w:eastAsia="Times New Roman"/>
        </w:rPr>
        <w:t>2022 </w:t>
      </w:r>
      <w:r>
        <w:rPr>
          <w:spacing w:val="-26"/>
        </w:rPr>
        <w:t>年 </w:t>
      </w:r>
      <w:r>
        <w:rPr>
          <w:rFonts w:ascii="Times New Roman" w:eastAsia="Times New Roman"/>
        </w:rPr>
        <w:t>4 </w:t>
      </w:r>
      <w:r>
        <w:rPr>
          <w:spacing w:val="-26"/>
        </w:rPr>
        <w:t>月 </w:t>
      </w:r>
      <w:r>
        <w:rPr>
          <w:rFonts w:ascii="Times New Roman" w:eastAsia="Times New Roman"/>
        </w:rPr>
        <w:t>22 </w:t>
      </w:r>
      <w:r>
        <w:rPr>
          <w:spacing w:val="-3"/>
        </w:rPr>
        <w:t>日渤健宣布撤回欧洲的上市申请。</w:t>
      </w:r>
    </w:p>
    <w:p>
      <w:pPr>
        <w:pStyle w:val="BodyText"/>
        <w:spacing w:before="8"/>
        <w:rPr>
          <w:sz w:val="24"/>
        </w:rPr>
      </w:pPr>
    </w:p>
    <w:tbl>
      <w:tblPr>
        <w:tblW w:w="0" w:type="auto"/>
        <w:jc w:val="left"/>
        <w:tblInd w:w="31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543"/>
      </w:tblGrid>
      <w:tr>
        <w:trPr>
          <w:trHeight w:val="336" w:hRule="atLeast"/>
        </w:trPr>
        <w:tc>
          <w:tcPr>
            <w:tcW w:w="7543" w:type="dxa"/>
            <w:tcBorders>
              <w:bottom w:val="single" w:sz="4" w:space="0" w:color="000000"/>
            </w:tcBorders>
          </w:tcPr>
          <w:p>
            <w:pPr>
              <w:pStyle w:val="TableParagraph"/>
              <w:spacing w:line="295" w:lineRule="exact"/>
              <w:ind w:left="108"/>
              <w:rPr>
                <w:rFonts w:ascii="Microsoft JhengHei" w:eastAsia="Microsoft JhengHei" w:hint="eastAsia"/>
                <w:b/>
                <w:sz w:val="21"/>
              </w:rPr>
            </w:pPr>
            <w:bookmarkStart w:name="_bookmark39" w:id="58"/>
            <w:bookmarkEnd w:id="58"/>
            <w:r>
              <w:rPr/>
            </w:r>
            <w:r>
              <w:rPr>
                <w:rFonts w:ascii="Microsoft JhengHei" w:eastAsia="Microsoft JhengHei" w:hint="eastAsia"/>
                <w:b/>
                <w:sz w:val="21"/>
              </w:rPr>
              <w:t>图 </w:t>
            </w:r>
            <w:r>
              <w:rPr>
                <w:rFonts w:ascii="Times New Roman" w:eastAsia="Times New Roman"/>
                <w:b/>
                <w:sz w:val="21"/>
              </w:rPr>
              <w:t>15</w:t>
            </w:r>
            <w:r>
              <w:rPr>
                <w:rFonts w:ascii="Microsoft JhengHei" w:eastAsia="Microsoft JhengHei" w:hint="eastAsia"/>
                <w:b/>
                <w:sz w:val="21"/>
              </w:rPr>
              <w:t>、</w:t>
            </w:r>
            <w:r>
              <w:rPr>
                <w:rFonts w:ascii="Times New Roman" w:eastAsia="Times New Roman"/>
                <w:b/>
                <w:sz w:val="21"/>
              </w:rPr>
              <w:t>Aducanumab </w:t>
            </w:r>
            <w:r>
              <w:rPr>
                <w:rFonts w:ascii="Microsoft JhengHei" w:eastAsia="Microsoft JhengHei" w:hint="eastAsia"/>
                <w:b/>
                <w:sz w:val="21"/>
              </w:rPr>
              <w:t>临床试验结果</w:t>
            </w:r>
          </w:p>
        </w:tc>
      </w:tr>
      <w:tr>
        <w:trPr>
          <w:trHeight w:val="3504" w:hRule="atLeast"/>
        </w:trPr>
        <w:tc>
          <w:tcPr>
            <w:tcW w:w="7543" w:type="dxa"/>
            <w:tcBorders>
              <w:top w:val="single" w:sz="4" w:space="0" w:color="000000"/>
              <w:bottom w:val="single" w:sz="4" w:space="0" w:color="000000"/>
            </w:tcBorders>
          </w:tcPr>
          <w:p>
            <w:pPr>
              <w:pStyle w:val="TableParagraph"/>
              <w:spacing w:before="10"/>
              <w:rPr>
                <w:sz w:val="5"/>
              </w:rPr>
            </w:pPr>
          </w:p>
          <w:p>
            <w:pPr>
              <w:pStyle w:val="TableParagraph"/>
              <w:ind w:left="209"/>
              <w:rPr>
                <w:sz w:val="20"/>
              </w:rPr>
            </w:pPr>
            <w:r>
              <w:rPr>
                <w:sz w:val="20"/>
              </w:rPr>
              <w:drawing>
                <wp:inline distT="0" distB="0" distL="0" distR="0">
                  <wp:extent cx="4526653" cy="2099691"/>
                  <wp:effectExtent l="0" t="0" r="0" b="0"/>
                  <wp:docPr id="37" name="image19.jpeg"/>
                  <wp:cNvGraphicFramePr>
                    <a:graphicFrameLocks noChangeAspect="1"/>
                  </wp:cNvGraphicFramePr>
                  <a:graphic>
                    <a:graphicData uri="http://schemas.openxmlformats.org/drawingml/2006/picture">
                      <pic:pic>
                        <pic:nvPicPr>
                          <pic:cNvPr id="38" name="image19.jpeg"/>
                          <pic:cNvPicPr/>
                        </pic:nvPicPr>
                        <pic:blipFill>
                          <a:blip r:embed="rId39" cstate="print"/>
                          <a:stretch>
                            <a:fillRect/>
                          </a:stretch>
                        </pic:blipFill>
                        <pic:spPr>
                          <a:xfrm>
                            <a:off x="0" y="0"/>
                            <a:ext cx="4526653" cy="2099691"/>
                          </a:xfrm>
                          <a:prstGeom prst="rect">
                            <a:avLst/>
                          </a:prstGeom>
                        </pic:spPr>
                      </pic:pic>
                    </a:graphicData>
                  </a:graphic>
                </wp:inline>
              </w:drawing>
            </w:r>
            <w:r>
              <w:rPr>
                <w:sz w:val="20"/>
              </w:rPr>
            </w:r>
          </w:p>
        </w:tc>
      </w:tr>
      <w:tr>
        <w:trPr>
          <w:trHeight w:val="296" w:hRule="atLeast"/>
        </w:trPr>
        <w:tc>
          <w:tcPr>
            <w:tcW w:w="7543" w:type="dxa"/>
            <w:tcBorders>
              <w:top w:val="single" w:sz="4" w:space="0" w:color="000000"/>
            </w:tcBorders>
          </w:tcPr>
          <w:p>
            <w:pPr>
              <w:pStyle w:val="TableParagraph"/>
              <w:spacing w:line="265" w:lineRule="exact" w:before="12"/>
              <w:ind w:left="108"/>
              <w:rPr>
                <w:sz w:val="18"/>
              </w:rPr>
            </w:pPr>
            <w:r>
              <w:rPr>
                <w:sz w:val="18"/>
              </w:rPr>
              <w:t>资料来源：</w:t>
            </w:r>
            <w:r>
              <w:rPr>
                <w:rFonts w:ascii="Times New Roman" w:hAnsi="Times New Roman" w:eastAsia="Times New Roman"/>
                <w:sz w:val="18"/>
              </w:rPr>
              <w:t>AD/PD</w:t>
            </w:r>
            <w:r>
              <w:rPr>
                <w:rFonts w:ascii="微软雅黑" w:hAnsi="微软雅黑" w:eastAsia="微软雅黑" w:hint="eastAsia"/>
                <w:sz w:val="18"/>
              </w:rPr>
              <w:t>™ </w:t>
            </w:r>
            <w:r>
              <w:rPr>
                <w:rFonts w:ascii="Times New Roman" w:hAnsi="Times New Roman" w:eastAsia="Times New Roman"/>
                <w:sz w:val="18"/>
              </w:rPr>
              <w:t>2021</w:t>
            </w:r>
            <w:r>
              <w:rPr>
                <w:sz w:val="18"/>
              </w:rPr>
              <w:t>，医药魔方，兴业证券经济与金融研究院整理</w:t>
            </w:r>
          </w:p>
        </w:tc>
      </w:tr>
    </w:tbl>
    <w:p>
      <w:pPr>
        <w:pStyle w:val="BodyText"/>
        <w:rPr>
          <w:sz w:val="20"/>
        </w:rPr>
      </w:pPr>
    </w:p>
    <w:p>
      <w:pPr>
        <w:pStyle w:val="BodyText"/>
        <w:spacing w:before="9"/>
        <w:rPr>
          <w:sz w:val="16"/>
        </w:rPr>
      </w:pPr>
    </w:p>
    <w:p>
      <w:pPr>
        <w:pStyle w:val="ListParagraph"/>
        <w:numPr>
          <w:ilvl w:val="0"/>
          <w:numId w:val="10"/>
        </w:numPr>
        <w:tabs>
          <w:tab w:pos="3381" w:val="left" w:leader="none"/>
        </w:tabs>
        <w:spacing w:line="240" w:lineRule="auto" w:before="9" w:after="0"/>
        <w:ind w:left="3380" w:right="0" w:hanging="218"/>
        <w:jc w:val="left"/>
        <w:rPr>
          <w:sz w:val="21"/>
        </w:rPr>
      </w:pPr>
      <w:r>
        <w:rPr>
          <w:rFonts w:ascii="Times New Roman" w:eastAsia="Times New Roman"/>
          <w:b/>
          <w:sz w:val="21"/>
        </w:rPr>
        <w:t>Lecanemab-irmb</w:t>
      </w:r>
      <w:r>
        <w:rPr>
          <w:rFonts w:ascii="Microsoft JhengHei" w:eastAsia="Microsoft JhengHei" w:hint="eastAsia"/>
          <w:b/>
          <w:sz w:val="21"/>
        </w:rPr>
        <w:t>：</w:t>
      </w:r>
      <w:r>
        <w:rPr>
          <w:spacing w:val="50"/>
          <w:sz w:val="21"/>
        </w:rPr>
        <w:t>由</w:t>
      </w:r>
      <w:r>
        <w:rPr>
          <w:rFonts w:ascii="Times New Roman" w:eastAsia="Times New Roman"/>
          <w:sz w:val="21"/>
        </w:rPr>
        <w:t>BioArctic</w:t>
      </w:r>
      <w:r>
        <w:rPr>
          <w:spacing w:val="-15"/>
          <w:sz w:val="21"/>
        </w:rPr>
        <w:t>、</w:t>
      </w:r>
      <w:r>
        <w:rPr>
          <w:rFonts w:ascii="Times New Roman" w:eastAsia="Times New Roman"/>
          <w:sz w:val="21"/>
        </w:rPr>
        <w:t>Biogen</w:t>
      </w:r>
      <w:r>
        <w:rPr>
          <w:rFonts w:ascii="Times New Roman" w:eastAsia="Times New Roman"/>
          <w:spacing w:val="-4"/>
          <w:sz w:val="21"/>
        </w:rPr>
        <w:t> </w:t>
      </w:r>
      <w:r>
        <w:rPr>
          <w:spacing w:val="-27"/>
          <w:sz w:val="21"/>
        </w:rPr>
        <w:t>和 </w:t>
      </w:r>
      <w:hyperlink r:id="rId38">
        <w:r>
          <w:rPr>
            <w:rFonts w:ascii="Times New Roman" w:eastAsia="Times New Roman"/>
            <w:sz w:val="21"/>
          </w:rPr>
          <w:t>Eisai</w:t>
        </w:r>
        <w:r>
          <w:rPr>
            <w:rFonts w:ascii="Times New Roman" w:eastAsia="Times New Roman"/>
            <w:spacing w:val="-3"/>
            <w:sz w:val="21"/>
          </w:rPr>
          <w:t> </w:t>
        </w:r>
      </w:hyperlink>
      <w:r>
        <w:rPr>
          <w:spacing w:val="-3"/>
          <w:sz w:val="21"/>
        </w:rPr>
        <w:t>共同研发的用于治疗轻度认知</w:t>
      </w:r>
    </w:p>
    <w:p>
      <w:pPr>
        <w:pStyle w:val="BodyText"/>
        <w:spacing w:line="302" w:lineRule="auto" w:before="25"/>
        <w:ind w:left="3163" w:right="726"/>
        <w:jc w:val="both"/>
      </w:pPr>
      <w:r>
        <w:rPr>
          <w:spacing w:val="-5"/>
        </w:rPr>
        <w:t>障碍或轻度痴呆阶段的 </w:t>
      </w:r>
      <w:r>
        <w:rPr>
          <w:rFonts w:ascii="Times New Roman" w:hAnsi="Times New Roman" w:eastAsia="Times New Roman"/>
        </w:rPr>
        <w:t>AD </w:t>
      </w:r>
      <w:r>
        <w:rPr>
          <w:spacing w:val="-3"/>
        </w:rPr>
        <w:t>患者的单克隆抗体。</w:t>
      </w:r>
      <w:r>
        <w:rPr>
          <w:rFonts w:ascii="Times New Roman" w:hAnsi="Times New Roman" w:eastAsia="Times New Roman"/>
        </w:rPr>
        <w:t>2022 </w:t>
      </w:r>
      <w:r>
        <w:rPr>
          <w:spacing w:val="-12"/>
        </w:rPr>
        <w:t>年 </w:t>
      </w:r>
      <w:r>
        <w:rPr>
          <w:rFonts w:ascii="Times New Roman" w:hAnsi="Times New Roman" w:eastAsia="Times New Roman"/>
        </w:rPr>
        <w:t>12 </w:t>
      </w:r>
      <w:r>
        <w:rPr>
          <w:spacing w:val="-11"/>
        </w:rPr>
        <w:t>月 </w:t>
      </w:r>
      <w:r>
        <w:rPr>
          <w:rFonts w:ascii="Times New Roman" w:hAnsi="Times New Roman" w:eastAsia="Times New Roman"/>
        </w:rPr>
        <w:t>22 </w:t>
      </w:r>
      <w:r>
        <w:rPr>
          <w:spacing w:val="-3"/>
        </w:rPr>
        <w:t>日申请中国上</w:t>
      </w:r>
      <w:r>
        <w:rPr>
          <w:spacing w:val="-5"/>
        </w:rPr>
        <w:t>市，</w:t>
      </w:r>
      <w:r>
        <w:rPr>
          <w:rFonts w:ascii="Times New Roman" w:hAnsi="Times New Roman" w:eastAsia="Times New Roman"/>
          <w:spacing w:val="-6"/>
        </w:rPr>
        <w:t>FDA </w:t>
      </w:r>
      <w:r>
        <w:rPr>
          <w:spacing w:val="-26"/>
        </w:rPr>
        <w:t>在 </w:t>
      </w:r>
      <w:r>
        <w:rPr>
          <w:rFonts w:ascii="Times New Roman" w:hAnsi="Times New Roman" w:eastAsia="Times New Roman"/>
        </w:rPr>
        <w:t>2023 </w:t>
      </w:r>
      <w:r>
        <w:rPr>
          <w:spacing w:val="-25"/>
        </w:rPr>
        <w:t>年 </w:t>
      </w:r>
      <w:r>
        <w:rPr>
          <w:rFonts w:ascii="Times New Roman" w:hAnsi="Times New Roman" w:eastAsia="Times New Roman"/>
        </w:rPr>
        <w:t>1 </w:t>
      </w:r>
      <w:r>
        <w:rPr>
          <w:spacing w:val="-25"/>
        </w:rPr>
        <w:t>月 </w:t>
      </w:r>
      <w:r>
        <w:rPr>
          <w:rFonts w:ascii="Times New Roman" w:hAnsi="Times New Roman" w:eastAsia="Times New Roman"/>
        </w:rPr>
        <w:t>6 </w:t>
      </w:r>
      <w:r>
        <w:rPr>
          <w:spacing w:val="6"/>
        </w:rPr>
        <w:t>日加速批准了</w:t>
      </w:r>
      <w:r>
        <w:rPr>
          <w:rFonts w:ascii="Times New Roman" w:hAnsi="Times New Roman" w:eastAsia="Times New Roman"/>
        </w:rPr>
        <w:t>Lecanemab </w:t>
      </w:r>
      <w:r>
        <w:rPr>
          <w:spacing w:val="-10"/>
        </w:rPr>
        <w:t>的上市申请。作为 </w:t>
      </w:r>
      <w:r>
        <w:rPr>
          <w:rFonts w:ascii="Times New Roman" w:hAnsi="Times New Roman" w:eastAsia="Times New Roman"/>
        </w:rPr>
        <w:t>Biogen </w:t>
      </w:r>
      <w:r>
        <w:rPr/>
        <w:t>和</w:t>
      </w:r>
      <w:hyperlink r:id="rId38">
        <w:r>
          <w:rPr>
            <w:rFonts w:ascii="Times New Roman" w:hAnsi="Times New Roman" w:eastAsia="Times New Roman"/>
          </w:rPr>
          <w:t>Eisai </w:t>
        </w:r>
      </w:hyperlink>
      <w:r>
        <w:rPr>
          <w:spacing w:val="4"/>
        </w:rPr>
        <w:t>推出的第二款抗</w:t>
      </w:r>
      <w:r>
        <w:rPr>
          <w:rFonts w:ascii="Times New Roman" w:hAnsi="Times New Roman" w:eastAsia="Times New Roman"/>
        </w:rPr>
        <w:t>A</w:t>
      </w:r>
      <w:r>
        <w:rPr/>
        <w:t>β</w:t>
      </w:r>
      <w:r>
        <w:rPr>
          <w:spacing w:val="-3"/>
        </w:rPr>
        <w:t>单抗，</w:t>
      </w:r>
      <w:r>
        <w:rPr>
          <w:rFonts w:ascii="Times New Roman" w:hAnsi="Times New Roman" w:eastAsia="Times New Roman"/>
          <w:spacing w:val="-4"/>
        </w:rPr>
        <w:t>Lecanemab </w:t>
      </w:r>
      <w:r>
        <w:rPr>
          <w:spacing w:val="-11"/>
        </w:rPr>
        <w:t>更受公众认可，也已于 </w:t>
      </w:r>
      <w:r>
        <w:rPr>
          <w:rFonts w:ascii="Times New Roman" w:hAnsi="Times New Roman" w:eastAsia="Times New Roman"/>
        </w:rPr>
        <w:t>2023 </w:t>
      </w:r>
      <w:r>
        <w:rPr>
          <w:spacing w:val="-24"/>
        </w:rPr>
        <w:t>年 </w:t>
      </w:r>
      <w:r>
        <w:rPr>
          <w:rFonts w:ascii="Times New Roman" w:hAnsi="Times New Roman" w:eastAsia="Times New Roman"/>
        </w:rPr>
        <w:t>7 </w:t>
      </w:r>
      <w:r>
        <w:rPr>
          <w:spacing w:val="-24"/>
        </w:rPr>
        <w:t>月 </w:t>
      </w:r>
      <w:r>
        <w:rPr>
          <w:rFonts w:ascii="Times New Roman" w:hAnsi="Times New Roman" w:eastAsia="Times New Roman"/>
        </w:rPr>
        <w:t>6 </w:t>
      </w:r>
      <w:r>
        <w:rPr>
          <w:spacing w:val="2"/>
        </w:rPr>
        <w:t>日获得 </w:t>
      </w:r>
      <w:r>
        <w:rPr>
          <w:rFonts w:ascii="Times New Roman" w:hAnsi="Times New Roman" w:eastAsia="Times New Roman"/>
        </w:rPr>
        <w:t>FDA </w:t>
      </w:r>
      <w:r>
        <w:rPr>
          <w:spacing w:val="-3"/>
        </w:rPr>
        <w:t>完全批准。美国联邦医疗保险和补助服务中心</w:t>
      </w:r>
      <w:r>
        <w:rPr/>
        <w:t>（</w:t>
      </w:r>
      <w:r>
        <w:rPr>
          <w:rFonts w:ascii="Times New Roman" w:hAnsi="Times New Roman" w:eastAsia="Times New Roman"/>
        </w:rPr>
        <w:t>CMS</w:t>
      </w:r>
      <w:r>
        <w:rPr/>
        <w:t>）</w:t>
      </w:r>
      <w:r>
        <w:rPr>
          <w:spacing w:val="-3"/>
        </w:rPr>
        <w:t>今年也曾表</w:t>
      </w:r>
      <w:r>
        <w:rPr>
          <w:spacing w:val="10"/>
        </w:rPr>
        <w:t>示，只要</w:t>
      </w:r>
      <w:r>
        <w:rPr>
          <w:rFonts w:ascii="Times New Roman" w:hAnsi="Times New Roman" w:eastAsia="Times New Roman"/>
        </w:rPr>
        <w:t>Lecanemab </w:t>
      </w:r>
      <w:r>
        <w:rPr>
          <w:spacing w:val="-3"/>
        </w:rPr>
        <w:t>获得完全批准，</w:t>
      </w:r>
      <w:r>
        <w:rPr>
          <w:rFonts w:ascii="Times New Roman" w:hAnsi="Times New Roman" w:eastAsia="Times New Roman"/>
        </w:rPr>
        <w:t>CMS </w:t>
      </w:r>
      <w:r>
        <w:rPr>
          <w:spacing w:val="-3"/>
        </w:rPr>
        <w:t>将提供更大范围的医保覆盖。</w:t>
      </w:r>
    </w:p>
    <w:p>
      <w:pPr>
        <w:pStyle w:val="BodyText"/>
        <w:spacing w:before="1"/>
        <w:rPr>
          <w:sz w:val="24"/>
        </w:rPr>
      </w:pPr>
    </w:p>
    <w:p>
      <w:pPr>
        <w:pStyle w:val="BodyText"/>
        <w:spacing w:line="304" w:lineRule="auto"/>
        <w:ind w:left="3163" w:right="726"/>
        <w:jc w:val="both"/>
      </w:pPr>
      <w:r>
        <w:rPr>
          <w:spacing w:val="-2"/>
        </w:rPr>
        <w:t>在有效性方面，</w:t>
      </w:r>
      <w:r>
        <w:rPr>
          <w:rFonts w:ascii="Times New Roman" w:eastAsia="Times New Roman"/>
        </w:rPr>
        <w:t>III </w:t>
      </w:r>
      <w:r>
        <w:rPr>
          <w:spacing w:val="7"/>
        </w:rPr>
        <w:t>期临床试验</w:t>
      </w:r>
      <w:r>
        <w:rPr>
          <w:rFonts w:ascii="Times New Roman" w:eastAsia="Times New Roman"/>
        </w:rPr>
        <w:t>Clarity AD </w:t>
      </w:r>
      <w:r>
        <w:rPr>
          <w:spacing w:val="-3"/>
        </w:rPr>
        <w:t>显示达到了主要研究终点。与安慰剂相</w:t>
      </w:r>
      <w:r>
        <w:rPr>
          <w:spacing w:val="-4"/>
        </w:rPr>
        <w:t>比，</w:t>
      </w:r>
      <w:r>
        <w:rPr>
          <w:rFonts w:ascii="Times New Roman" w:eastAsia="Times New Roman"/>
          <w:spacing w:val="-5"/>
        </w:rPr>
        <w:t>Lecanemab </w:t>
      </w:r>
      <w:r>
        <w:rPr>
          <w:spacing w:val="-10"/>
        </w:rPr>
        <w:t>治疗组患者 </w:t>
      </w:r>
      <w:r>
        <w:rPr>
          <w:rFonts w:ascii="Times New Roman" w:eastAsia="Times New Roman"/>
        </w:rPr>
        <w:t>CDR-SB </w:t>
      </w:r>
      <w:r>
        <w:rPr>
          <w:spacing w:val="-10"/>
        </w:rPr>
        <w:t>下降减少了 </w:t>
      </w:r>
      <w:r>
        <w:rPr>
          <w:rFonts w:ascii="Times New Roman" w:eastAsia="Times New Roman"/>
          <w:spacing w:val="-3"/>
        </w:rPr>
        <w:t>27%</w:t>
      </w:r>
      <w:r>
        <w:rPr>
          <w:spacing w:val="-9"/>
        </w:rPr>
        <w:t>。在安全性方面，</w:t>
      </w:r>
      <w:r>
        <w:rPr>
          <w:rFonts w:ascii="Times New Roman" w:eastAsia="Times New Roman"/>
          <w:spacing w:val="-6"/>
        </w:rPr>
        <w:t>Lecanemab </w:t>
      </w:r>
      <w:r>
        <w:rPr>
          <w:spacing w:val="3"/>
        </w:rPr>
        <w:t>治疗组 </w:t>
      </w:r>
      <w:r>
        <w:rPr>
          <w:rFonts w:ascii="Times New Roman" w:eastAsia="Times New Roman"/>
        </w:rPr>
        <w:t>14.0%</w:t>
      </w:r>
      <w:r>
        <w:rPr>
          <w:spacing w:val="-3"/>
        </w:rPr>
        <w:t>的患者发生了严重不良事件，安慰剂组 </w:t>
      </w:r>
      <w:r>
        <w:rPr>
          <w:rFonts w:ascii="Times New Roman" w:eastAsia="Times New Roman"/>
          <w:spacing w:val="-3"/>
        </w:rPr>
        <w:t>11.3%</w:t>
      </w:r>
      <w:r>
        <w:rPr>
          <w:spacing w:val="-3"/>
        </w:rPr>
        <w:t>的患者发生了严重不</w:t>
      </w:r>
      <w:r>
        <w:rPr>
          <w:spacing w:val="-13"/>
        </w:rPr>
        <w:t>良事件。最常见的严重不良事件是输注相关反应、</w:t>
      </w:r>
      <w:r>
        <w:rPr>
          <w:rFonts w:ascii="Times New Roman" w:eastAsia="Times New Roman"/>
        </w:rPr>
        <w:t>ARIA-E</w:t>
      </w:r>
      <w:r>
        <w:rPr>
          <w:spacing w:val="-17"/>
        </w:rPr>
        <w:t>、房颤、晕厥及心绞痛。</w:t>
      </w:r>
      <w:r>
        <w:rPr>
          <w:rFonts w:ascii="Times New Roman" w:eastAsia="Times New Roman"/>
          <w:spacing w:val="-17"/>
        </w:rPr>
        <w:t>Lecanemab </w:t>
      </w:r>
      <w:r>
        <w:rPr>
          <w:spacing w:val="-9"/>
        </w:rPr>
        <w:t>治疗组出现了 </w:t>
      </w:r>
      <w:r>
        <w:rPr>
          <w:rFonts w:ascii="Times New Roman" w:eastAsia="Times New Roman"/>
        </w:rPr>
        <w:t>6 </w:t>
      </w:r>
      <w:r>
        <w:rPr>
          <w:spacing w:val="-6"/>
        </w:rPr>
        <w:t>例死亡，安慰剂组出现了 </w:t>
      </w:r>
      <w:r>
        <w:rPr>
          <w:rFonts w:ascii="Times New Roman" w:eastAsia="Times New Roman"/>
        </w:rPr>
        <w:t>7 </w:t>
      </w:r>
      <w:r>
        <w:rPr>
          <w:spacing w:val="-3"/>
        </w:rPr>
        <w:t>例死亡。调查人员认为死</w:t>
      </w:r>
      <w:r>
        <w:rPr>
          <w:spacing w:val="24"/>
        </w:rPr>
        <w:t>亡与</w:t>
      </w:r>
      <w:r>
        <w:rPr>
          <w:rFonts w:ascii="Times New Roman" w:eastAsia="Times New Roman"/>
        </w:rPr>
        <w:t>Lecanemab </w:t>
      </w:r>
      <w:r>
        <w:rPr>
          <w:spacing w:val="-15"/>
        </w:rPr>
        <w:t>治疗及 </w:t>
      </w:r>
      <w:r>
        <w:rPr>
          <w:rFonts w:ascii="Times New Roman" w:eastAsia="Times New Roman"/>
        </w:rPr>
        <w:t>ARIA </w:t>
      </w:r>
      <w:r>
        <w:rPr>
          <w:spacing w:val="-3"/>
        </w:rPr>
        <w:t>现象均无关。</w:t>
      </w:r>
    </w:p>
    <w:p>
      <w:pPr>
        <w:spacing w:after="0" w:line="304" w:lineRule="auto"/>
        <w:jc w:val="both"/>
        <w:sectPr>
          <w:pgSz w:w="11910" w:h="16840"/>
          <w:pgMar w:header="868" w:footer="1201" w:top="1400" w:bottom="1400" w:left="240" w:right="400"/>
        </w:sectPr>
      </w:pPr>
    </w:p>
    <w:p>
      <w:pPr>
        <w:pStyle w:val="BodyText"/>
        <w:spacing w:before="4"/>
        <w:rPr>
          <w:sz w:val="13"/>
        </w:rPr>
      </w:pPr>
    </w:p>
    <w:tbl>
      <w:tblPr>
        <w:tblW w:w="0" w:type="auto"/>
        <w:jc w:val="left"/>
        <w:tblInd w:w="6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549"/>
        <w:gridCol w:w="7543"/>
        <w:gridCol w:w="70"/>
      </w:tblGrid>
      <w:tr>
        <w:trPr>
          <w:trHeight w:val="361" w:hRule="atLeast"/>
        </w:trPr>
        <w:tc>
          <w:tcPr>
            <w:tcW w:w="2549" w:type="dxa"/>
            <w:tcBorders>
              <w:top w:val="single" w:sz="6" w:space="0" w:color="333366"/>
            </w:tcBorders>
          </w:tcPr>
          <w:p>
            <w:pPr>
              <w:pStyle w:val="TableParagraph"/>
              <w:rPr>
                <w:rFonts w:ascii="Times New Roman"/>
                <w:sz w:val="20"/>
              </w:rPr>
            </w:pPr>
          </w:p>
        </w:tc>
        <w:tc>
          <w:tcPr>
            <w:tcW w:w="7543" w:type="dxa"/>
            <w:tcBorders>
              <w:top w:val="single" w:sz="6" w:space="0" w:color="333366"/>
              <w:bottom w:val="single" w:sz="4" w:space="0" w:color="000000"/>
            </w:tcBorders>
          </w:tcPr>
          <w:p>
            <w:pPr>
              <w:pStyle w:val="TableParagraph"/>
              <w:spacing w:line="318" w:lineRule="exact"/>
              <w:ind w:left="108"/>
              <w:rPr>
                <w:rFonts w:ascii="Microsoft JhengHei" w:eastAsia="Microsoft JhengHei" w:hint="eastAsia"/>
                <w:b/>
                <w:sz w:val="21"/>
              </w:rPr>
            </w:pPr>
            <w:bookmarkStart w:name="_bookmark40" w:id="59"/>
            <w:bookmarkEnd w:id="59"/>
            <w:r>
              <w:rPr/>
            </w:r>
            <w:r>
              <w:rPr>
                <w:rFonts w:ascii="Microsoft JhengHei" w:eastAsia="Microsoft JhengHei" w:hint="eastAsia"/>
                <w:b/>
                <w:spacing w:val="1"/>
                <w:sz w:val="21"/>
              </w:rPr>
              <w:t>图 </w:t>
            </w:r>
            <w:r>
              <w:rPr>
                <w:rFonts w:ascii="Times New Roman" w:eastAsia="Times New Roman"/>
                <w:b/>
                <w:spacing w:val="-3"/>
                <w:sz w:val="21"/>
              </w:rPr>
              <w:t>16</w:t>
            </w:r>
            <w:r>
              <w:rPr>
                <w:rFonts w:ascii="Microsoft JhengHei" w:eastAsia="Microsoft JhengHei" w:hint="eastAsia"/>
                <w:b/>
                <w:sz w:val="21"/>
              </w:rPr>
              <w:t>、</w:t>
            </w:r>
            <w:r>
              <w:rPr>
                <w:rFonts w:ascii="Times New Roman" w:eastAsia="Times New Roman"/>
                <w:b/>
                <w:sz w:val="21"/>
              </w:rPr>
              <w:t>Lecanemab</w:t>
            </w:r>
            <w:r>
              <w:rPr>
                <w:rFonts w:ascii="Times New Roman" w:eastAsia="Times New Roman"/>
                <w:b/>
                <w:spacing w:val="51"/>
                <w:sz w:val="21"/>
              </w:rPr>
              <w:t> </w:t>
            </w:r>
            <w:r>
              <w:rPr>
                <w:rFonts w:ascii="Microsoft JhengHei" w:eastAsia="Microsoft JhengHei" w:hint="eastAsia"/>
                <w:b/>
                <w:spacing w:val="1"/>
                <w:sz w:val="21"/>
              </w:rPr>
              <w:t>的 </w:t>
            </w:r>
            <w:r>
              <w:rPr>
                <w:rFonts w:ascii="Times New Roman" w:eastAsia="Times New Roman"/>
                <w:b/>
                <w:sz w:val="21"/>
              </w:rPr>
              <w:t>III </w:t>
            </w:r>
            <w:r>
              <w:rPr>
                <w:rFonts w:ascii="Microsoft JhengHei" w:eastAsia="Microsoft JhengHei" w:hint="eastAsia"/>
                <w:b/>
                <w:sz w:val="21"/>
              </w:rPr>
              <w:t>期临床试验（</w:t>
            </w:r>
            <w:r>
              <w:rPr>
                <w:rFonts w:ascii="Times New Roman" w:eastAsia="Times New Roman"/>
                <w:b/>
                <w:sz w:val="21"/>
              </w:rPr>
              <w:t>Clarity AD</w:t>
            </w:r>
            <w:r>
              <w:rPr>
                <w:rFonts w:ascii="Microsoft JhengHei" w:eastAsia="Microsoft JhengHei" w:hint="eastAsia"/>
                <w:b/>
                <w:sz w:val="21"/>
              </w:rPr>
              <w:t>）</w:t>
            </w:r>
          </w:p>
        </w:tc>
        <w:tc>
          <w:tcPr>
            <w:tcW w:w="70" w:type="dxa"/>
            <w:tcBorders>
              <w:top w:val="single" w:sz="6" w:space="0" w:color="333366"/>
            </w:tcBorders>
          </w:tcPr>
          <w:p>
            <w:pPr>
              <w:pStyle w:val="TableParagraph"/>
              <w:rPr>
                <w:rFonts w:ascii="Times New Roman"/>
                <w:sz w:val="20"/>
              </w:rPr>
            </w:pPr>
          </w:p>
        </w:tc>
      </w:tr>
      <w:tr>
        <w:trPr>
          <w:trHeight w:val="6336" w:hRule="atLeast"/>
        </w:trPr>
        <w:tc>
          <w:tcPr>
            <w:tcW w:w="2549" w:type="dxa"/>
          </w:tcPr>
          <w:p>
            <w:pPr>
              <w:pStyle w:val="TableParagraph"/>
              <w:rPr>
                <w:rFonts w:ascii="Times New Roman"/>
                <w:sz w:val="20"/>
              </w:rPr>
            </w:pPr>
          </w:p>
        </w:tc>
        <w:tc>
          <w:tcPr>
            <w:tcW w:w="7543" w:type="dxa"/>
            <w:tcBorders>
              <w:top w:val="single" w:sz="4" w:space="0" w:color="000000"/>
              <w:bottom w:val="single" w:sz="6" w:space="0" w:color="000000"/>
            </w:tcBorders>
          </w:tcPr>
          <w:p>
            <w:pPr>
              <w:pStyle w:val="TableParagraph"/>
              <w:spacing w:before="6"/>
              <w:rPr>
                <w:sz w:val="8"/>
              </w:rPr>
            </w:pPr>
          </w:p>
          <w:p>
            <w:pPr>
              <w:pStyle w:val="TableParagraph"/>
              <w:ind w:left="1140"/>
              <w:rPr>
                <w:sz w:val="20"/>
              </w:rPr>
            </w:pPr>
            <w:r>
              <w:rPr>
                <w:sz w:val="20"/>
              </w:rPr>
              <w:drawing>
                <wp:inline distT="0" distB="0" distL="0" distR="0">
                  <wp:extent cx="3328279" cy="3845052"/>
                  <wp:effectExtent l="0" t="0" r="0" b="0"/>
                  <wp:docPr id="39" name="image20.jpeg"/>
                  <wp:cNvGraphicFramePr>
                    <a:graphicFrameLocks noChangeAspect="1"/>
                  </wp:cNvGraphicFramePr>
                  <a:graphic>
                    <a:graphicData uri="http://schemas.openxmlformats.org/drawingml/2006/picture">
                      <pic:pic>
                        <pic:nvPicPr>
                          <pic:cNvPr id="40" name="image20.jpeg"/>
                          <pic:cNvPicPr/>
                        </pic:nvPicPr>
                        <pic:blipFill>
                          <a:blip r:embed="rId40" cstate="print"/>
                          <a:stretch>
                            <a:fillRect/>
                          </a:stretch>
                        </pic:blipFill>
                        <pic:spPr>
                          <a:xfrm>
                            <a:off x="0" y="0"/>
                            <a:ext cx="3328279" cy="3845052"/>
                          </a:xfrm>
                          <a:prstGeom prst="rect">
                            <a:avLst/>
                          </a:prstGeom>
                        </pic:spPr>
                      </pic:pic>
                    </a:graphicData>
                  </a:graphic>
                </wp:inline>
              </w:drawing>
            </w:r>
            <w:r>
              <w:rPr>
                <w:sz w:val="20"/>
              </w:rPr>
            </w:r>
          </w:p>
        </w:tc>
        <w:tc>
          <w:tcPr>
            <w:tcW w:w="70" w:type="dxa"/>
          </w:tcPr>
          <w:p>
            <w:pPr>
              <w:pStyle w:val="TableParagraph"/>
              <w:rPr>
                <w:rFonts w:ascii="Times New Roman"/>
                <w:sz w:val="20"/>
              </w:rPr>
            </w:pPr>
          </w:p>
        </w:tc>
      </w:tr>
      <w:tr>
        <w:trPr>
          <w:trHeight w:val="240" w:hRule="atLeast"/>
        </w:trPr>
        <w:tc>
          <w:tcPr>
            <w:tcW w:w="2549" w:type="dxa"/>
          </w:tcPr>
          <w:p>
            <w:pPr>
              <w:pStyle w:val="TableParagraph"/>
              <w:rPr>
                <w:rFonts w:ascii="Times New Roman"/>
                <w:sz w:val="16"/>
              </w:rPr>
            </w:pPr>
          </w:p>
        </w:tc>
        <w:tc>
          <w:tcPr>
            <w:tcW w:w="7543" w:type="dxa"/>
            <w:tcBorders>
              <w:top w:val="single" w:sz="6" w:space="0" w:color="000000"/>
            </w:tcBorders>
          </w:tcPr>
          <w:p>
            <w:pPr>
              <w:pStyle w:val="TableParagraph"/>
              <w:spacing w:line="199" w:lineRule="exact" w:before="21"/>
              <w:ind w:left="108"/>
              <w:rPr>
                <w:sz w:val="18"/>
              </w:rPr>
            </w:pPr>
            <w:r>
              <w:rPr>
                <w:sz w:val="18"/>
              </w:rPr>
              <w:t>资料来源：</w:t>
            </w:r>
            <w:r>
              <w:rPr>
                <w:rFonts w:ascii="Times New Roman" w:eastAsia="Times New Roman"/>
                <w:sz w:val="18"/>
              </w:rPr>
              <w:t>N Engl J Med, 2023, 388(1):9-21</w:t>
            </w:r>
            <w:r>
              <w:rPr>
                <w:sz w:val="18"/>
              </w:rPr>
              <w:t>，兴业证券经济与金融研究院整理</w:t>
            </w:r>
          </w:p>
        </w:tc>
        <w:tc>
          <w:tcPr>
            <w:tcW w:w="70" w:type="dxa"/>
          </w:tcPr>
          <w:p>
            <w:pPr>
              <w:pStyle w:val="TableParagraph"/>
              <w:rPr>
                <w:rFonts w:ascii="Times New Roman"/>
                <w:sz w:val="16"/>
              </w:rPr>
            </w:pPr>
          </w:p>
        </w:tc>
      </w:tr>
    </w:tbl>
    <w:p>
      <w:pPr>
        <w:pStyle w:val="BodyText"/>
        <w:rPr>
          <w:sz w:val="20"/>
        </w:rPr>
      </w:pPr>
    </w:p>
    <w:p>
      <w:pPr>
        <w:pStyle w:val="BodyText"/>
        <w:spacing w:before="12"/>
        <w:rPr>
          <w:sz w:val="20"/>
        </w:rPr>
      </w:pPr>
    </w:p>
    <w:p>
      <w:pPr>
        <w:pStyle w:val="ListParagraph"/>
        <w:numPr>
          <w:ilvl w:val="0"/>
          <w:numId w:val="10"/>
        </w:numPr>
        <w:tabs>
          <w:tab w:pos="3418" w:val="left" w:leader="none"/>
        </w:tabs>
        <w:spacing w:line="232" w:lineRule="auto" w:before="17" w:after="0"/>
        <w:ind w:left="3163" w:right="726" w:firstLine="0"/>
        <w:jc w:val="both"/>
        <w:rPr>
          <w:rFonts w:ascii="Times New Roman" w:hAnsi="Times New Roman" w:eastAsia="Times New Roman"/>
          <w:sz w:val="21"/>
        </w:rPr>
      </w:pPr>
      <w:r>
        <w:rPr>
          <w:rFonts w:ascii="Times New Roman" w:hAnsi="Times New Roman" w:eastAsia="Times New Roman"/>
          <w:b/>
          <w:sz w:val="21"/>
        </w:rPr>
        <w:t>Donanemab</w:t>
      </w:r>
      <w:r>
        <w:rPr>
          <w:rFonts w:ascii="Times New Roman" w:hAnsi="Times New Roman" w:eastAsia="Times New Roman"/>
          <w:b/>
          <w:spacing w:val="35"/>
          <w:sz w:val="21"/>
        </w:rPr>
        <w:t> </w:t>
      </w:r>
      <w:r>
        <w:rPr>
          <w:rFonts w:ascii="Microsoft JhengHei" w:hAnsi="Microsoft JhengHei" w:eastAsia="Microsoft JhengHei" w:hint="eastAsia"/>
          <w:b/>
          <w:spacing w:val="-2"/>
          <w:sz w:val="21"/>
        </w:rPr>
        <w:t>是一款由礼来研发的抗淀粉样蛋白抗体药物，靶向 </w:t>
      </w:r>
      <w:r>
        <w:rPr>
          <w:rFonts w:ascii="Times New Roman" w:hAnsi="Times New Roman" w:eastAsia="Times New Roman"/>
          <w:b/>
          <w:sz w:val="21"/>
        </w:rPr>
        <w:t>A</w:t>
      </w:r>
      <w:r>
        <w:rPr>
          <w:rFonts w:ascii="Microsoft JhengHei" w:hAnsi="Microsoft JhengHei" w:eastAsia="Microsoft JhengHei" w:hint="eastAsia"/>
          <w:b/>
          <w:sz w:val="21"/>
        </w:rPr>
        <w:t>β</w:t>
      </w:r>
      <w:r>
        <w:rPr>
          <w:rFonts w:ascii="Microsoft JhengHei" w:hAnsi="Microsoft JhengHei" w:eastAsia="Microsoft JhengHei" w:hint="eastAsia"/>
          <w:b/>
          <w:spacing w:val="-2"/>
          <w:sz w:val="21"/>
        </w:rPr>
        <w:t>的特定形</w:t>
      </w:r>
      <w:r>
        <w:rPr>
          <w:rFonts w:ascii="Microsoft JhengHei" w:hAnsi="Microsoft JhengHei" w:eastAsia="Microsoft JhengHei" w:hint="eastAsia"/>
          <w:b/>
          <w:spacing w:val="-39"/>
          <w:sz w:val="21"/>
        </w:rPr>
        <w:t>式</w:t>
      </w:r>
      <w:r>
        <w:rPr>
          <w:rFonts w:ascii="Microsoft JhengHei" w:hAnsi="Microsoft JhengHei" w:eastAsia="Microsoft JhengHei" w:hint="eastAsia"/>
          <w:b/>
          <w:spacing w:val="-5"/>
          <w:sz w:val="21"/>
        </w:rPr>
        <w:t>（</w:t>
      </w:r>
      <w:r>
        <w:rPr>
          <w:rFonts w:ascii="Times New Roman" w:hAnsi="Times New Roman" w:eastAsia="Times New Roman"/>
          <w:spacing w:val="-5"/>
          <w:sz w:val="21"/>
        </w:rPr>
        <w:t>pGlu3-Aβ</w:t>
      </w:r>
      <w:r>
        <w:rPr>
          <w:rFonts w:ascii="Microsoft JhengHei" w:hAnsi="Microsoft JhengHei" w:eastAsia="Microsoft JhengHei" w:hint="eastAsia"/>
          <w:b/>
          <w:spacing w:val="-5"/>
          <w:sz w:val="21"/>
        </w:rPr>
        <w:t>）</w:t>
      </w:r>
      <w:r>
        <w:rPr>
          <w:rFonts w:ascii="Microsoft JhengHei" w:hAnsi="Microsoft JhengHei" w:eastAsia="Microsoft JhengHei" w:hint="eastAsia"/>
          <w:b/>
          <w:spacing w:val="-39"/>
          <w:sz w:val="21"/>
        </w:rPr>
        <w:t>。</w:t>
      </w:r>
      <w:r>
        <w:rPr>
          <w:spacing w:val="-8"/>
          <w:sz w:val="21"/>
        </w:rPr>
        <w:t>这种焦谷氨酸修饰的 </w:t>
      </w:r>
      <w:r>
        <w:rPr>
          <w:rFonts w:ascii="Times New Roman" w:hAnsi="Times New Roman" w:eastAsia="Times New Roman"/>
          <w:sz w:val="21"/>
        </w:rPr>
        <w:t>amyloid</w:t>
      </w:r>
      <w:r>
        <w:rPr>
          <w:rFonts w:ascii="Times New Roman" w:hAnsi="Times New Roman" w:eastAsia="Times New Roman"/>
          <w:spacing w:val="-14"/>
          <w:sz w:val="21"/>
        </w:rPr>
        <w:t> </w:t>
      </w:r>
      <w:r>
        <w:rPr>
          <w:rFonts w:ascii="Times New Roman" w:hAnsi="Times New Roman" w:eastAsia="Times New Roman"/>
          <w:sz w:val="21"/>
        </w:rPr>
        <w:t>beta</w:t>
      </w:r>
      <w:r>
        <w:rPr>
          <w:rFonts w:ascii="Times New Roman" w:hAnsi="Times New Roman" w:eastAsia="Times New Roman"/>
          <w:spacing w:val="3"/>
          <w:sz w:val="21"/>
        </w:rPr>
        <w:t> </w:t>
      </w:r>
      <w:r>
        <w:rPr>
          <w:spacing w:val="-18"/>
          <w:sz w:val="21"/>
        </w:rPr>
        <w:t>也叫 </w:t>
      </w:r>
      <w:r>
        <w:rPr>
          <w:rFonts w:ascii="Times New Roman" w:hAnsi="Times New Roman" w:eastAsia="Times New Roman"/>
          <w:sz w:val="21"/>
        </w:rPr>
        <w:t>A</w:t>
      </w:r>
      <w:r>
        <w:rPr>
          <w:sz w:val="21"/>
        </w:rPr>
        <w:t>β</w:t>
      </w:r>
      <w:r>
        <w:rPr>
          <w:spacing w:val="4"/>
          <w:sz w:val="21"/>
        </w:rPr>
        <w:t> </w:t>
      </w:r>
      <w:r>
        <w:rPr>
          <w:rFonts w:ascii="Times New Roman" w:hAnsi="Times New Roman" w:eastAsia="Times New Roman"/>
          <w:sz w:val="21"/>
        </w:rPr>
        <w:t>(p3-42)</w:t>
      </w:r>
      <w:r>
        <w:rPr>
          <w:spacing w:val="-39"/>
          <w:sz w:val="21"/>
        </w:rPr>
        <w:t>、</w:t>
      </w:r>
      <w:r>
        <w:rPr>
          <w:rFonts w:ascii="Times New Roman" w:hAnsi="Times New Roman" w:eastAsia="Times New Roman"/>
          <w:sz w:val="21"/>
        </w:rPr>
        <w:t>pE3-A</w:t>
      </w:r>
      <w:r>
        <w:rPr>
          <w:sz w:val="21"/>
        </w:rPr>
        <w:t>β</w:t>
      </w:r>
      <w:r>
        <w:rPr>
          <w:spacing w:val="-3"/>
          <w:sz w:val="21"/>
        </w:rPr>
        <w:t>、</w:t>
      </w:r>
      <w:r>
        <w:rPr>
          <w:rFonts w:ascii="Times New Roman" w:hAnsi="Times New Roman" w:eastAsia="Times New Roman"/>
          <w:spacing w:val="-1"/>
          <w:sz w:val="21"/>
        </w:rPr>
        <w:t>N3pG</w:t>
      </w:r>
      <w:r>
        <w:rPr>
          <w:sz w:val="21"/>
        </w:rPr>
        <w:t>。</w:t>
      </w:r>
      <w:r>
        <w:rPr>
          <w:rFonts w:ascii="Times New Roman" w:hAnsi="Times New Roman" w:eastAsia="Times New Roman"/>
          <w:sz w:val="21"/>
        </w:rPr>
        <w:t>pGlu3-A</w:t>
      </w:r>
      <w:r>
        <w:rPr>
          <w:sz w:val="21"/>
        </w:rPr>
        <w:t>β</w:t>
      </w:r>
      <w:r>
        <w:rPr>
          <w:spacing w:val="-3"/>
          <w:sz w:val="21"/>
        </w:rPr>
        <w:t>没有生理功能，存在于阿尔茨海默病淀粉样蛋白沉积物中。</w:t>
      </w:r>
      <w:r>
        <w:rPr>
          <w:rFonts w:ascii="Times New Roman" w:hAnsi="Times New Roman" w:eastAsia="Times New Roman"/>
          <w:sz w:val="21"/>
        </w:rPr>
        <w:t>III</w:t>
      </w:r>
    </w:p>
    <w:p>
      <w:pPr>
        <w:pStyle w:val="BodyText"/>
        <w:spacing w:line="304" w:lineRule="auto" w:before="71"/>
        <w:ind w:left="3163" w:right="726"/>
        <w:jc w:val="both"/>
      </w:pPr>
      <w:r>
        <w:rPr>
          <w:spacing w:val="-10"/>
        </w:rPr>
        <w:t>期临床试验 </w:t>
      </w:r>
      <w:r>
        <w:rPr>
          <w:rFonts w:ascii="Times New Roman" w:hAnsi="Times New Roman" w:eastAsia="Times New Roman"/>
        </w:rPr>
        <w:t>TRAILBLAZER-ALZ 4 </w:t>
      </w:r>
      <w:r>
        <w:rPr>
          <w:spacing w:val="15"/>
        </w:rPr>
        <w:t>是其与</w:t>
      </w:r>
      <w:r>
        <w:rPr>
          <w:rFonts w:ascii="Times New Roman" w:hAnsi="Times New Roman" w:eastAsia="Times New Roman"/>
        </w:rPr>
        <w:t>Aducanumab </w:t>
      </w:r>
      <w:r>
        <w:rPr>
          <w:spacing w:val="-4"/>
        </w:rPr>
        <w:t>的头对头试验，显示出更</w:t>
      </w:r>
      <w:r>
        <w:rPr>
          <w:spacing w:val="-17"/>
        </w:rPr>
        <w:t>高的 </w:t>
      </w:r>
      <w:r>
        <w:rPr>
          <w:rFonts w:ascii="Times New Roman" w:hAnsi="Times New Roman" w:eastAsia="Times New Roman"/>
        </w:rPr>
        <w:t>A</w:t>
      </w:r>
      <w:r>
        <w:rPr/>
        <w:t>β</w:t>
      </w:r>
      <w:r>
        <w:rPr>
          <w:spacing w:val="-7"/>
        </w:rPr>
        <w:t>清除率，在接受治疗 </w:t>
      </w:r>
      <w:r>
        <w:rPr>
          <w:rFonts w:ascii="Times New Roman" w:hAnsi="Times New Roman" w:eastAsia="Times New Roman"/>
        </w:rPr>
        <w:t>6 </w:t>
      </w:r>
      <w:r>
        <w:rPr>
          <w:spacing w:val="-2"/>
        </w:rPr>
        <w:t>个月后，</w:t>
      </w:r>
      <w:r>
        <w:rPr>
          <w:rFonts w:ascii="Times New Roman" w:hAnsi="Times New Roman" w:eastAsia="Times New Roman"/>
        </w:rPr>
        <w:t>Donanemab </w:t>
      </w:r>
      <w:r>
        <w:rPr>
          <w:spacing w:val="-20"/>
        </w:rPr>
        <w:t>组 </w:t>
      </w:r>
      <w:r>
        <w:rPr>
          <w:rFonts w:ascii="Times New Roman" w:hAnsi="Times New Roman" w:eastAsia="Times New Roman"/>
        </w:rPr>
        <w:t>37.9%</w:t>
      </w:r>
      <w:r>
        <w:rPr>
          <w:spacing w:val="-3"/>
        </w:rPr>
        <w:t>的患者达到大脑淀</w:t>
      </w:r>
      <w:r>
        <w:rPr>
          <w:spacing w:val="-6"/>
        </w:rPr>
        <w:t>粉样蛋白斑块清除的标准，对照组这一数值为 </w:t>
      </w:r>
      <w:r>
        <w:rPr>
          <w:rFonts w:ascii="Times New Roman" w:hAnsi="Times New Roman" w:eastAsia="Times New Roman"/>
        </w:rPr>
        <w:t>1.6%</w:t>
      </w:r>
      <w:r>
        <w:rPr/>
        <w:t>。</w:t>
      </w:r>
    </w:p>
    <w:p>
      <w:pPr>
        <w:pStyle w:val="BodyText"/>
        <w:spacing w:before="6"/>
        <w:rPr>
          <w:sz w:val="23"/>
        </w:rPr>
      </w:pPr>
    </w:p>
    <w:p>
      <w:pPr>
        <w:pStyle w:val="BodyText"/>
        <w:spacing w:line="302" w:lineRule="auto"/>
        <w:ind w:left="3163" w:right="723"/>
        <w:jc w:val="both"/>
      </w:pPr>
      <w:r>
        <w:rPr>
          <w:spacing w:val="-17"/>
        </w:rPr>
        <w:t>根据 </w:t>
      </w:r>
      <w:r>
        <w:rPr>
          <w:rFonts w:ascii="Times New Roman" w:eastAsia="Times New Roman"/>
        </w:rPr>
        <w:t>7 </w:t>
      </w:r>
      <w:r>
        <w:rPr>
          <w:spacing w:val="-24"/>
        </w:rPr>
        <w:t>月 </w:t>
      </w:r>
      <w:r>
        <w:rPr>
          <w:rFonts w:ascii="Times New Roman" w:eastAsia="Times New Roman"/>
        </w:rPr>
        <w:t>17 </w:t>
      </w:r>
      <w:r>
        <w:rPr>
          <w:spacing w:val="-10"/>
        </w:rPr>
        <w:t>日礼来披露的 </w:t>
      </w:r>
      <w:r>
        <w:rPr>
          <w:rFonts w:ascii="Times New Roman" w:eastAsia="Times New Roman"/>
        </w:rPr>
        <w:t>III </w:t>
      </w:r>
      <w:r>
        <w:rPr>
          <w:spacing w:val="-3"/>
        </w:rPr>
        <w:t>期完整研究数据</w:t>
      </w:r>
      <w:r>
        <w:rPr/>
        <w:t>（</w:t>
      </w:r>
      <w:r>
        <w:rPr>
          <w:rFonts w:ascii="Times New Roman" w:eastAsia="Times New Roman"/>
        </w:rPr>
        <w:t>TRAILBLAZER-ALZ 2</w:t>
      </w:r>
      <w:r>
        <w:rPr/>
        <w:t>），试验</w:t>
      </w:r>
      <w:r>
        <w:rPr>
          <w:spacing w:val="-12"/>
        </w:rPr>
        <w:t>纳入 </w:t>
      </w:r>
      <w:r>
        <w:rPr>
          <w:rFonts w:ascii="Times New Roman" w:eastAsia="Times New Roman"/>
        </w:rPr>
        <w:t>1736 </w:t>
      </w:r>
      <w:r>
        <w:rPr>
          <w:spacing w:val="-6"/>
        </w:rPr>
        <w:t>名随机受试者中，平均年龄 </w:t>
      </w:r>
      <w:r>
        <w:rPr>
          <w:rFonts w:ascii="Times New Roman" w:eastAsia="Times New Roman"/>
        </w:rPr>
        <w:t>73.0 </w:t>
      </w:r>
      <w:r>
        <w:rPr>
          <w:spacing w:val="-7"/>
        </w:rPr>
        <w:t>岁，其中 </w:t>
      </w:r>
      <w:r>
        <w:rPr>
          <w:rFonts w:ascii="Times New Roman" w:eastAsia="Times New Roman"/>
          <w:spacing w:val="-3"/>
        </w:rPr>
        <w:t>1182 </w:t>
      </w:r>
      <w:r>
        <w:rPr>
          <w:spacing w:val="-2"/>
        </w:rPr>
        <w:t>例为低</w:t>
      </w:r>
      <w:r>
        <w:rPr>
          <w:rFonts w:ascii="Times New Roman" w:eastAsia="Times New Roman"/>
        </w:rPr>
        <w:t>/</w:t>
      </w:r>
      <w:r>
        <w:rPr>
          <w:spacing w:val="-17"/>
        </w:rPr>
        <w:t>中 </w:t>
      </w:r>
      <w:r>
        <w:rPr>
          <w:rFonts w:ascii="Times New Roman" w:eastAsia="Times New Roman"/>
          <w:spacing w:val="-6"/>
        </w:rPr>
        <w:t>Tau </w:t>
      </w:r>
      <w:r>
        <w:rPr>
          <w:spacing w:val="-2"/>
        </w:rPr>
        <w:t>病理， </w:t>
      </w:r>
      <w:r>
        <w:rPr>
          <w:rFonts w:ascii="Times New Roman" w:eastAsia="Times New Roman"/>
          <w:spacing w:val="-2"/>
        </w:rPr>
        <w:t>552 </w:t>
      </w:r>
      <w:r>
        <w:rPr>
          <w:spacing w:val="-10"/>
        </w:rPr>
        <w:t>例为高 </w:t>
      </w:r>
      <w:r>
        <w:rPr>
          <w:rFonts w:ascii="Times New Roman" w:eastAsia="Times New Roman"/>
          <w:spacing w:val="-5"/>
        </w:rPr>
        <w:t>Tau </w:t>
      </w:r>
      <w:r>
        <w:rPr>
          <w:spacing w:val="-5"/>
        </w:rPr>
        <w:t>病理。本次试验采用了两种分析模型，其中 </w:t>
      </w:r>
      <w:r>
        <w:rPr>
          <w:rFonts w:ascii="Times New Roman" w:eastAsia="Times New Roman"/>
        </w:rPr>
        <w:t>NCS2 </w:t>
      </w:r>
      <w:r>
        <w:rPr>
          <w:spacing w:val="-3"/>
        </w:rPr>
        <w:t>模型不用于分</w:t>
      </w:r>
      <w:r>
        <w:rPr>
          <w:spacing w:val="-1"/>
        </w:rPr>
        <w:t>析 </w:t>
      </w:r>
      <w:r>
        <w:rPr>
          <w:rFonts w:ascii="Times New Roman" w:eastAsia="Times New Roman"/>
        </w:rPr>
        <w:t>CDR-SB </w:t>
      </w:r>
      <w:r>
        <w:rPr>
          <w:spacing w:val="-3"/>
        </w:rPr>
        <w:t>指标，重复测量混合模型</w:t>
      </w:r>
      <w:r>
        <w:rPr>
          <w:rFonts w:ascii="Times New Roman" w:eastAsia="Times New Roman"/>
        </w:rPr>
        <w:t>(MMRM)</w:t>
      </w:r>
      <w:r>
        <w:rPr>
          <w:spacing w:val="-3"/>
        </w:rPr>
        <w:t>主要用于评估 </w:t>
      </w:r>
      <w:r>
        <w:rPr>
          <w:rFonts w:ascii="Times New Roman" w:eastAsia="Times New Roman"/>
        </w:rPr>
        <w:t>CDR-SB</w:t>
      </w:r>
      <w:r>
        <w:rPr>
          <w:spacing w:val="-2"/>
        </w:rPr>
        <w:t>、血浆 </w:t>
      </w:r>
      <w:r>
        <w:rPr>
          <w:rFonts w:ascii="Times New Roman" w:eastAsia="Times New Roman"/>
        </w:rPr>
        <w:t>P- tau217</w:t>
      </w:r>
      <w:r>
        <w:rPr>
          <w:spacing w:val="6"/>
        </w:rPr>
        <w:t>、淀粉样蛋白</w:t>
      </w:r>
      <w:r>
        <w:rPr>
          <w:rFonts w:ascii="Times New Roman" w:eastAsia="Times New Roman"/>
        </w:rPr>
        <w:t>PET </w:t>
      </w:r>
      <w:r>
        <w:rPr>
          <w:spacing w:val="-26"/>
        </w:rPr>
        <w:t>和 </w:t>
      </w:r>
      <w:r>
        <w:rPr>
          <w:rFonts w:ascii="Times New Roman" w:eastAsia="Times New Roman"/>
        </w:rPr>
        <w:t>vMRI</w:t>
      </w:r>
      <w:r>
        <w:rPr/>
        <w:t>。</w:t>
      </w:r>
    </w:p>
    <w:p>
      <w:pPr>
        <w:pStyle w:val="BodyText"/>
        <w:spacing w:before="1"/>
        <w:rPr>
          <w:sz w:val="24"/>
        </w:rPr>
      </w:pPr>
    </w:p>
    <w:p>
      <w:pPr>
        <w:pStyle w:val="BodyText"/>
        <w:spacing w:line="302" w:lineRule="auto"/>
        <w:ind w:left="3163" w:right="620"/>
      </w:pPr>
      <w:r>
        <w:rPr>
          <w:spacing w:val="-3"/>
        </w:rPr>
        <w:t>关于有效性，在低</w:t>
      </w:r>
      <w:r>
        <w:rPr>
          <w:rFonts w:ascii="Times New Roman" w:eastAsia="Times New Roman"/>
        </w:rPr>
        <w:t>/</w:t>
      </w:r>
      <w:r>
        <w:rPr>
          <w:spacing w:val="-24"/>
        </w:rPr>
        <w:t>中 </w:t>
      </w:r>
      <w:r>
        <w:rPr>
          <w:rFonts w:ascii="Times New Roman" w:eastAsia="Times New Roman"/>
          <w:spacing w:val="-6"/>
        </w:rPr>
        <w:t>Tau </w:t>
      </w:r>
      <w:r>
        <w:rPr>
          <w:spacing w:val="-1"/>
        </w:rPr>
        <w:t>人群中，</w:t>
      </w:r>
      <w:r>
        <w:rPr>
          <w:rFonts w:ascii="Times New Roman" w:eastAsia="Times New Roman"/>
        </w:rPr>
        <w:t>76 </w:t>
      </w:r>
      <w:r>
        <w:rPr>
          <w:spacing w:val="-17"/>
        </w:rPr>
        <w:t>周时 </w:t>
      </w:r>
      <w:r>
        <w:rPr>
          <w:rFonts w:ascii="Times New Roman" w:eastAsia="Times New Roman"/>
        </w:rPr>
        <w:t>Donanemab </w:t>
      </w:r>
      <w:r>
        <w:rPr>
          <w:spacing w:val="-3"/>
        </w:rPr>
        <w:t>组的最小二乘均值</w:t>
      </w:r>
      <w:r>
        <w:rPr/>
        <w:t>（</w:t>
      </w:r>
      <w:r>
        <w:rPr>
          <w:rFonts w:ascii="Times New Roman" w:eastAsia="Times New Roman"/>
        </w:rPr>
        <w:t>least- squares mean</w:t>
      </w:r>
      <w:r>
        <w:rPr/>
        <w:t>，</w:t>
      </w:r>
      <w:r>
        <w:rPr>
          <w:rFonts w:ascii="Times New Roman" w:eastAsia="Times New Roman"/>
        </w:rPr>
        <w:t>LSM</w:t>
      </w:r>
      <w:r>
        <w:rPr/>
        <w:t>）</w:t>
      </w:r>
      <w:r>
        <w:rPr>
          <w:spacing w:val="-10"/>
        </w:rPr>
        <w:t>与基线相比的 </w:t>
      </w:r>
      <w:r>
        <w:rPr>
          <w:rFonts w:ascii="Times New Roman" w:eastAsia="Times New Roman"/>
        </w:rPr>
        <w:t>iADRS </w:t>
      </w:r>
      <w:r>
        <w:rPr>
          <w:spacing w:val="-3"/>
        </w:rPr>
        <w:t>评分变化为</w:t>
      </w:r>
      <w:r>
        <w:rPr>
          <w:rFonts w:ascii="Times New Roman" w:eastAsia="Times New Roman"/>
          <w:spacing w:val="14"/>
        </w:rPr>
        <w:t>- </w:t>
      </w:r>
      <w:r>
        <w:rPr>
          <w:rFonts w:ascii="Times New Roman" w:eastAsia="Times New Roman"/>
        </w:rPr>
        <w:t>6.02</w:t>
      </w:r>
      <w:r>
        <w:rPr>
          <w:spacing w:val="-3"/>
        </w:rPr>
        <w:t>，安慰剂组为</w:t>
      </w:r>
      <w:r>
        <w:rPr>
          <w:rFonts w:ascii="Times New Roman" w:eastAsia="Times New Roman"/>
        </w:rPr>
        <w:t>-9.27</w:t>
      </w:r>
      <w:r>
        <w:rPr/>
        <w:t>， </w:t>
      </w:r>
      <w:r>
        <w:rPr>
          <w:spacing w:val="-6"/>
        </w:rPr>
        <w:t>代表疾病进展减缓 </w:t>
      </w:r>
      <w:r>
        <w:rPr>
          <w:rFonts w:ascii="Times New Roman" w:eastAsia="Times New Roman"/>
        </w:rPr>
        <w:t>35.1%</w:t>
      </w:r>
      <w:r>
        <w:rPr>
          <w:spacing w:val="-2"/>
        </w:rPr>
        <w:t>。在全人群中，</w:t>
      </w:r>
      <w:r>
        <w:rPr>
          <w:rFonts w:ascii="Times New Roman" w:eastAsia="Times New Roman"/>
        </w:rPr>
        <w:t>76 </w:t>
      </w:r>
      <w:r>
        <w:rPr>
          <w:spacing w:val="-6"/>
        </w:rPr>
        <w:t>周时实验组的 </w:t>
      </w:r>
      <w:r>
        <w:rPr>
          <w:rFonts w:ascii="Times New Roman" w:eastAsia="Times New Roman"/>
        </w:rPr>
        <w:t>LSM </w:t>
      </w:r>
      <w:r>
        <w:rPr>
          <w:spacing w:val="-3"/>
        </w:rPr>
        <w:t>与基线相比变化为</w:t>
      </w:r>
      <w:r>
        <w:rPr>
          <w:rFonts w:ascii="Times New Roman" w:eastAsia="Times New Roman"/>
          <w:spacing w:val="13"/>
        </w:rPr>
        <w:t>- </w:t>
      </w:r>
      <w:r>
        <w:rPr>
          <w:rFonts w:ascii="Times New Roman" w:eastAsia="Times New Roman"/>
        </w:rPr>
        <w:t>10.19</w:t>
      </w:r>
      <w:r>
        <w:rPr>
          <w:spacing w:val="-2"/>
        </w:rPr>
        <w:t>，安慰剂组为</w:t>
      </w:r>
      <w:r>
        <w:rPr>
          <w:rFonts w:ascii="Times New Roman" w:eastAsia="Times New Roman"/>
          <w:spacing w:val="15"/>
        </w:rPr>
        <w:t>- </w:t>
      </w:r>
      <w:r>
        <w:rPr>
          <w:rFonts w:ascii="Times New Roman" w:eastAsia="Times New Roman"/>
          <w:spacing w:val="-3"/>
        </w:rPr>
        <w:t>13.11</w:t>
      </w:r>
      <w:r>
        <w:rPr>
          <w:spacing w:val="-7"/>
        </w:rPr>
        <w:t>，代表 </w:t>
      </w:r>
      <w:r>
        <w:rPr>
          <w:rFonts w:ascii="Times New Roman" w:eastAsia="Times New Roman"/>
        </w:rPr>
        <w:t>22.3%</w:t>
      </w:r>
      <w:r>
        <w:rPr>
          <w:spacing w:val="-5"/>
        </w:rPr>
        <w:t>的疾病进展减缓。中低 </w:t>
      </w:r>
      <w:r>
        <w:rPr>
          <w:rFonts w:ascii="Times New Roman" w:eastAsia="Times New Roman"/>
          <w:spacing w:val="-6"/>
        </w:rPr>
        <w:t>Tau </w:t>
      </w:r>
      <w:r>
        <w:rPr>
          <w:spacing w:val="-3"/>
        </w:rPr>
        <w:t>蛋白组的</w:t>
      </w:r>
      <w:r>
        <w:rPr>
          <w:rFonts w:ascii="Times New Roman" w:eastAsia="Times New Roman"/>
          <w:spacing w:val="-3"/>
        </w:rPr>
        <w:t>CDR-SB </w:t>
      </w:r>
      <w:r>
        <w:rPr>
          <w:spacing w:val="-8"/>
        </w:rPr>
        <w:t>值相较对照组减少 </w:t>
      </w:r>
      <w:r>
        <w:rPr>
          <w:rFonts w:ascii="Times New Roman" w:eastAsia="Times New Roman"/>
        </w:rPr>
        <w:t>0.67 </w:t>
      </w:r>
      <w:r>
        <w:rPr>
          <w:spacing w:val="-5"/>
        </w:rPr>
        <w:t>（</w:t>
      </w:r>
      <w:r>
        <w:rPr>
          <w:rFonts w:ascii="Times New Roman" w:eastAsia="Times New Roman"/>
          <w:spacing w:val="-5"/>
        </w:rPr>
        <w:t>36.0%</w:t>
      </w:r>
      <w:r>
        <w:rPr>
          <w:spacing w:val="-5"/>
        </w:rPr>
        <w:t>），</w:t>
      </w:r>
      <w:r>
        <w:rPr>
          <w:spacing w:val="-9"/>
        </w:rPr>
        <w:t>而全人群中减少 </w:t>
      </w:r>
      <w:r>
        <w:rPr>
          <w:rFonts w:ascii="Times New Roman" w:eastAsia="Times New Roman"/>
          <w:spacing w:val="-5"/>
        </w:rPr>
        <w:t>0.70</w:t>
      </w:r>
      <w:r>
        <w:rPr>
          <w:spacing w:val="-5"/>
        </w:rPr>
        <w:t>（</w:t>
      </w:r>
      <w:r>
        <w:rPr>
          <w:rFonts w:ascii="Times New Roman" w:eastAsia="Times New Roman"/>
          <w:spacing w:val="-5"/>
        </w:rPr>
        <w:t>28.9%</w:t>
      </w:r>
      <w:r>
        <w:rPr>
          <w:spacing w:val="-5"/>
        </w:rPr>
        <w:t>）</w:t>
      </w:r>
      <w:r>
        <w:rPr>
          <w:spacing w:val="-10"/>
        </w:rPr>
        <w:t>；关</w:t>
      </w:r>
    </w:p>
    <w:p>
      <w:pPr>
        <w:spacing w:after="0" w:line="302" w:lineRule="auto"/>
        <w:sectPr>
          <w:pgSz w:w="11910" w:h="16840"/>
          <w:pgMar w:header="868" w:footer="1201" w:top="1400" w:bottom="1400" w:left="240" w:right="400"/>
        </w:sectPr>
      </w:pPr>
    </w:p>
    <w:p>
      <w:pPr>
        <w:pStyle w:val="BodyText"/>
        <w:spacing w:before="4"/>
        <w:rPr>
          <w:sz w:val="13"/>
        </w:rPr>
      </w:pPr>
    </w:p>
    <w:p>
      <w:pPr>
        <w:pStyle w:val="BodyText"/>
        <w:spacing w:line="20" w:lineRule="exact"/>
        <w:ind w:left="614"/>
        <w:rPr>
          <w:sz w:val="2"/>
        </w:rPr>
      </w:pPr>
      <w:r>
        <w:rPr>
          <w:sz w:val="2"/>
        </w:rPr>
        <w:pict>
          <v:group style="width:508.1pt;height:.75pt;mso-position-horizontal-relative:char;mso-position-vertical-relative:line" coordorigin="0,0" coordsize="10162,15">
            <v:rect style="position:absolute;left:0;top:0;width:10162;height:15" filled="true" fillcolor="#333366" stroked="false">
              <v:fill type="solid"/>
            </v:rect>
          </v:group>
        </w:pict>
      </w:r>
      <w:r>
        <w:rPr>
          <w:sz w:val="2"/>
        </w:rPr>
      </w:r>
    </w:p>
    <w:p>
      <w:pPr>
        <w:pStyle w:val="BodyText"/>
        <w:spacing w:line="304" w:lineRule="auto"/>
        <w:ind w:left="3163" w:right="726"/>
        <w:jc w:val="both"/>
      </w:pPr>
      <w:r>
        <w:rPr>
          <w:spacing w:val="-7"/>
        </w:rPr>
        <w:t>于安全性，在 </w:t>
      </w:r>
      <w:r>
        <w:rPr>
          <w:rFonts w:ascii="Times New Roman" w:eastAsia="Times New Roman"/>
        </w:rPr>
        <w:t>76 </w:t>
      </w:r>
      <w:r>
        <w:rPr>
          <w:spacing w:val="-14"/>
        </w:rPr>
        <w:t>周时 </w:t>
      </w:r>
      <w:r>
        <w:rPr>
          <w:rFonts w:ascii="Times New Roman" w:eastAsia="Times New Roman"/>
        </w:rPr>
        <w:t>Donanemab </w:t>
      </w:r>
      <w:r>
        <w:rPr>
          <w:spacing w:val="-20"/>
        </w:rPr>
        <w:t>有 </w:t>
      </w:r>
      <w:r>
        <w:rPr>
          <w:rFonts w:ascii="Times New Roman" w:eastAsia="Times New Roman"/>
        </w:rPr>
        <w:t>205 </w:t>
      </w:r>
      <w:r>
        <w:rPr>
          <w:spacing w:val="-3"/>
        </w:rPr>
        <w:t>名参与者出现淀粉样蛋白相关水肿或积液的影像学异常</w:t>
      </w:r>
      <w:r>
        <w:rPr>
          <w:rFonts w:ascii="Times New Roman" w:eastAsia="Times New Roman"/>
          <w:spacing w:val="-9"/>
        </w:rPr>
        <w:t>(24.0%)</w:t>
      </w:r>
      <w:r>
        <w:rPr>
          <w:spacing w:val="-10"/>
        </w:rPr>
        <w:t>，而对照组为 </w:t>
      </w:r>
      <w:r>
        <w:rPr>
          <w:rFonts w:ascii="Times New Roman" w:eastAsia="Times New Roman"/>
        </w:rPr>
        <w:t>18 </w:t>
      </w:r>
      <w:r>
        <w:rPr>
          <w:spacing w:val="-56"/>
        </w:rPr>
        <w:t>例</w:t>
      </w:r>
      <w:r>
        <w:rPr>
          <w:spacing w:val="-11"/>
        </w:rPr>
        <w:t>（</w:t>
      </w:r>
      <w:r>
        <w:rPr>
          <w:rFonts w:ascii="Times New Roman" w:eastAsia="Times New Roman"/>
          <w:spacing w:val="-11"/>
        </w:rPr>
        <w:t>2.1%</w:t>
      </w:r>
      <w:r>
        <w:rPr>
          <w:spacing w:val="-11"/>
        </w:rPr>
        <w:t>）</w:t>
      </w:r>
      <w:r>
        <w:rPr>
          <w:spacing w:val="-18"/>
        </w:rPr>
        <w:t>。实验组有 </w:t>
      </w:r>
      <w:r>
        <w:rPr>
          <w:rFonts w:ascii="Times New Roman" w:eastAsia="Times New Roman"/>
        </w:rPr>
        <w:t>74 </w:t>
      </w:r>
      <w:r>
        <w:rPr>
          <w:spacing w:val="-20"/>
        </w:rPr>
        <w:t>位患者</w:t>
      </w:r>
      <w:r>
        <w:rPr/>
        <w:t>（</w:t>
      </w:r>
      <w:r>
        <w:rPr>
          <w:rFonts w:ascii="Times New Roman" w:eastAsia="Times New Roman"/>
        </w:rPr>
        <w:t>8.7%</w:t>
      </w:r>
      <w:r>
        <w:rPr/>
        <w:t>） </w:t>
      </w:r>
      <w:r>
        <w:rPr>
          <w:spacing w:val="-7"/>
        </w:rPr>
        <w:t>出现输液相关反应，安慰剂组为 </w:t>
      </w:r>
      <w:r>
        <w:rPr>
          <w:rFonts w:ascii="Times New Roman" w:eastAsia="Times New Roman"/>
        </w:rPr>
        <w:t>4 </w:t>
      </w:r>
      <w:r>
        <w:rPr>
          <w:spacing w:val="-5"/>
        </w:rPr>
        <w:t>位</w:t>
      </w:r>
      <w:r>
        <w:rPr/>
        <w:t>（</w:t>
      </w:r>
      <w:r>
        <w:rPr>
          <w:rFonts w:ascii="Times New Roman" w:eastAsia="Times New Roman"/>
        </w:rPr>
        <w:t>0.5%</w:t>
      </w:r>
      <w:r>
        <w:rPr/>
        <w:t>）</w:t>
      </w:r>
      <w:r>
        <w:rPr>
          <w:spacing w:val="-8"/>
        </w:rPr>
        <w:t>。</w:t>
      </w:r>
      <w:r>
        <w:rPr>
          <w:rFonts w:ascii="Times New Roman" w:eastAsia="Times New Roman"/>
        </w:rPr>
        <w:t>Donanemab </w:t>
      </w:r>
      <w:r>
        <w:rPr>
          <w:spacing w:val="-17"/>
        </w:rPr>
        <w:t>组的 </w:t>
      </w:r>
      <w:r>
        <w:rPr>
          <w:rFonts w:ascii="Times New Roman" w:eastAsia="Times New Roman"/>
        </w:rPr>
        <w:t>3 </w:t>
      </w:r>
      <w:r>
        <w:rPr>
          <w:spacing w:val="-3"/>
        </w:rPr>
        <w:t>例死亡和安慰</w:t>
      </w:r>
    </w:p>
    <w:p>
      <w:pPr>
        <w:pStyle w:val="BodyText"/>
        <w:spacing w:line="266" w:lineRule="exact"/>
        <w:ind w:left="3163"/>
        <w:jc w:val="both"/>
      </w:pPr>
      <w:r>
        <w:rPr/>
        <w:t>剂组的 </w:t>
      </w:r>
      <w:r>
        <w:rPr>
          <w:rFonts w:ascii="Times New Roman" w:eastAsia="Times New Roman"/>
        </w:rPr>
        <w:t>1 </w:t>
      </w:r>
      <w:r>
        <w:rPr/>
        <w:t>例死亡被认为与治疗相关。</w:t>
      </w:r>
    </w:p>
    <w:p>
      <w:pPr>
        <w:pStyle w:val="BodyText"/>
        <w:rPr>
          <w:sz w:val="20"/>
        </w:rPr>
      </w:pPr>
    </w:p>
    <w:p>
      <w:pPr>
        <w:pStyle w:val="BodyText"/>
        <w:spacing w:before="7"/>
        <w:rPr>
          <w:sz w:val="10"/>
        </w:rPr>
      </w:pPr>
    </w:p>
    <w:tbl>
      <w:tblPr>
        <w:tblW w:w="0" w:type="auto"/>
        <w:jc w:val="left"/>
        <w:tblInd w:w="31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543"/>
      </w:tblGrid>
      <w:tr>
        <w:trPr>
          <w:trHeight w:val="336" w:hRule="atLeast"/>
        </w:trPr>
        <w:tc>
          <w:tcPr>
            <w:tcW w:w="7543" w:type="dxa"/>
            <w:tcBorders>
              <w:bottom w:val="single" w:sz="4" w:space="0" w:color="000000"/>
            </w:tcBorders>
          </w:tcPr>
          <w:p>
            <w:pPr>
              <w:pStyle w:val="TableParagraph"/>
              <w:spacing w:line="295" w:lineRule="exact"/>
              <w:ind w:left="108"/>
              <w:rPr>
                <w:rFonts w:ascii="Microsoft JhengHei" w:eastAsia="Microsoft JhengHei" w:hint="eastAsia"/>
                <w:b/>
                <w:sz w:val="21"/>
              </w:rPr>
            </w:pPr>
            <w:bookmarkStart w:name="_bookmark41" w:id="60"/>
            <w:bookmarkEnd w:id="60"/>
            <w:r>
              <w:rPr/>
            </w:r>
            <w:r>
              <w:rPr>
                <w:rFonts w:ascii="Microsoft JhengHei" w:eastAsia="Microsoft JhengHei" w:hint="eastAsia"/>
                <w:b/>
                <w:sz w:val="21"/>
              </w:rPr>
              <w:t>图 </w:t>
            </w:r>
            <w:r>
              <w:rPr>
                <w:rFonts w:ascii="Times New Roman" w:eastAsia="Times New Roman"/>
                <w:b/>
                <w:sz w:val="21"/>
              </w:rPr>
              <w:t>17</w:t>
            </w:r>
            <w:r>
              <w:rPr>
                <w:rFonts w:ascii="Microsoft JhengHei" w:eastAsia="Microsoft JhengHei" w:hint="eastAsia"/>
                <w:b/>
                <w:sz w:val="21"/>
              </w:rPr>
              <w:t>、</w:t>
            </w:r>
            <w:r>
              <w:rPr>
                <w:rFonts w:ascii="Times New Roman" w:eastAsia="Times New Roman"/>
                <w:b/>
                <w:sz w:val="21"/>
              </w:rPr>
              <w:t>Donanemab </w:t>
            </w:r>
            <w:r>
              <w:rPr>
                <w:rFonts w:ascii="Microsoft JhengHei" w:eastAsia="Microsoft JhengHei" w:hint="eastAsia"/>
                <w:b/>
                <w:sz w:val="21"/>
              </w:rPr>
              <w:t>的 </w:t>
            </w:r>
            <w:r>
              <w:rPr>
                <w:rFonts w:ascii="Times New Roman" w:eastAsia="Times New Roman"/>
                <w:b/>
                <w:sz w:val="21"/>
              </w:rPr>
              <w:t>III </w:t>
            </w:r>
            <w:r>
              <w:rPr>
                <w:rFonts w:ascii="Microsoft JhengHei" w:eastAsia="Microsoft JhengHei" w:hint="eastAsia"/>
                <w:b/>
                <w:sz w:val="21"/>
              </w:rPr>
              <w:t>期临床试验（</w:t>
            </w:r>
            <w:r>
              <w:rPr>
                <w:rFonts w:ascii="Times New Roman" w:eastAsia="Times New Roman"/>
                <w:b/>
                <w:sz w:val="21"/>
              </w:rPr>
              <w:t>TRAILBLAZER-ALZ 2</w:t>
            </w:r>
            <w:r>
              <w:rPr>
                <w:rFonts w:ascii="Microsoft JhengHei" w:eastAsia="Microsoft JhengHei" w:hint="eastAsia"/>
                <w:b/>
                <w:sz w:val="21"/>
              </w:rPr>
              <w:t>）</w:t>
            </w:r>
          </w:p>
        </w:tc>
      </w:tr>
      <w:tr>
        <w:trPr>
          <w:trHeight w:val="5434" w:hRule="atLeast"/>
        </w:trPr>
        <w:tc>
          <w:tcPr>
            <w:tcW w:w="7543" w:type="dxa"/>
            <w:tcBorders>
              <w:top w:val="single" w:sz="4" w:space="0" w:color="000000"/>
              <w:bottom w:val="single" w:sz="4" w:space="0" w:color="000000"/>
            </w:tcBorders>
          </w:tcPr>
          <w:p>
            <w:pPr>
              <w:pStyle w:val="TableParagraph"/>
              <w:spacing w:before="11"/>
              <w:rPr>
                <w:sz w:val="11"/>
              </w:rPr>
            </w:pPr>
          </w:p>
          <w:p>
            <w:pPr>
              <w:pStyle w:val="TableParagraph"/>
              <w:ind w:left="248"/>
              <w:rPr>
                <w:sz w:val="20"/>
              </w:rPr>
            </w:pPr>
            <w:r>
              <w:rPr>
                <w:sz w:val="20"/>
              </w:rPr>
              <w:drawing>
                <wp:inline distT="0" distB="0" distL="0" distR="0">
                  <wp:extent cx="4434827" cy="3236976"/>
                  <wp:effectExtent l="0" t="0" r="0" b="0"/>
                  <wp:docPr id="41" name="image21.jpeg"/>
                  <wp:cNvGraphicFramePr>
                    <a:graphicFrameLocks noChangeAspect="1"/>
                  </wp:cNvGraphicFramePr>
                  <a:graphic>
                    <a:graphicData uri="http://schemas.openxmlformats.org/drawingml/2006/picture">
                      <pic:pic>
                        <pic:nvPicPr>
                          <pic:cNvPr id="42" name="image21.jpeg"/>
                          <pic:cNvPicPr/>
                        </pic:nvPicPr>
                        <pic:blipFill>
                          <a:blip r:embed="rId41" cstate="print"/>
                          <a:stretch>
                            <a:fillRect/>
                          </a:stretch>
                        </pic:blipFill>
                        <pic:spPr>
                          <a:xfrm>
                            <a:off x="0" y="0"/>
                            <a:ext cx="4434827" cy="3236976"/>
                          </a:xfrm>
                          <a:prstGeom prst="rect">
                            <a:avLst/>
                          </a:prstGeom>
                        </pic:spPr>
                      </pic:pic>
                    </a:graphicData>
                  </a:graphic>
                </wp:inline>
              </w:drawing>
            </w:r>
            <w:r>
              <w:rPr>
                <w:sz w:val="20"/>
              </w:rPr>
            </w:r>
          </w:p>
        </w:tc>
      </w:tr>
      <w:tr>
        <w:trPr>
          <w:trHeight w:val="240" w:hRule="atLeast"/>
        </w:trPr>
        <w:tc>
          <w:tcPr>
            <w:tcW w:w="7543" w:type="dxa"/>
            <w:tcBorders>
              <w:top w:val="single" w:sz="4" w:space="0" w:color="000000"/>
            </w:tcBorders>
          </w:tcPr>
          <w:p>
            <w:pPr>
              <w:pStyle w:val="TableParagraph"/>
              <w:spacing w:line="199" w:lineRule="exact" w:before="21"/>
              <w:ind w:left="108"/>
              <w:rPr>
                <w:sz w:val="18"/>
              </w:rPr>
            </w:pPr>
            <w:r>
              <w:rPr>
                <w:sz w:val="18"/>
              </w:rPr>
              <w:t>资料来源：</w:t>
            </w:r>
            <w:r>
              <w:rPr>
                <w:rFonts w:ascii="Times New Roman" w:eastAsia="Times New Roman"/>
                <w:sz w:val="18"/>
              </w:rPr>
              <w:t>JAMA. 2023 Jul 17;e2313239</w:t>
            </w:r>
            <w:r>
              <w:rPr>
                <w:sz w:val="18"/>
              </w:rPr>
              <w:t>，兴业证券经济与金融研究院整理</w:t>
            </w:r>
          </w:p>
        </w:tc>
      </w:tr>
    </w:tbl>
    <w:p>
      <w:pPr>
        <w:pStyle w:val="BodyText"/>
        <w:rPr>
          <w:sz w:val="20"/>
        </w:rPr>
      </w:pPr>
    </w:p>
    <w:p>
      <w:pPr>
        <w:pStyle w:val="BodyText"/>
        <w:spacing w:before="12"/>
        <w:rPr>
          <w:sz w:val="20"/>
        </w:rPr>
      </w:pPr>
    </w:p>
    <w:p>
      <w:pPr>
        <w:pStyle w:val="BodyText"/>
        <w:spacing w:line="304" w:lineRule="auto" w:before="78"/>
        <w:ind w:left="3163" w:right="757"/>
      </w:pPr>
      <w:r>
        <w:rPr>
          <w:rFonts w:ascii="Times New Roman" w:eastAsia="Times New Roman"/>
        </w:rPr>
        <w:t>Donanemab </w:t>
      </w:r>
      <w:r>
        <w:rPr>
          <w:spacing w:val="-25"/>
        </w:rPr>
        <w:t>与 </w:t>
      </w:r>
      <w:r>
        <w:rPr>
          <w:rFonts w:ascii="Times New Roman" w:eastAsia="Times New Roman"/>
        </w:rPr>
        <w:t>Lecanemab </w:t>
      </w:r>
      <w:r>
        <w:rPr/>
        <w:t>临床终点设计并不重合，若不考虑</w:t>
      </w:r>
      <w:r>
        <w:rPr>
          <w:rFonts w:ascii="Times New Roman" w:eastAsia="Times New Roman"/>
        </w:rPr>
        <w:t>CDR-SB </w:t>
      </w:r>
      <w:r>
        <w:rPr>
          <w:spacing w:val="-3"/>
        </w:rPr>
        <w:t>是否为主</w:t>
      </w:r>
      <w:r>
        <w:rPr>
          <w:spacing w:val="-5"/>
        </w:rPr>
        <w:t>要终点，可以发现两种药物全人群的有效性数据均接近 </w:t>
      </w:r>
      <w:r>
        <w:rPr>
          <w:rFonts w:ascii="Times New Roman" w:eastAsia="Times New Roman"/>
        </w:rPr>
        <w:t>30%</w:t>
      </w:r>
      <w:r>
        <w:rPr>
          <w:spacing w:val="-10"/>
        </w:rPr>
        <w:t>；若不考虑 </w:t>
      </w:r>
      <w:r>
        <w:rPr>
          <w:rFonts w:ascii="Times New Roman" w:eastAsia="Times New Roman"/>
        </w:rPr>
        <w:t>ADAS- cog</w:t>
      </w:r>
      <w:r>
        <w:rPr>
          <w:rFonts w:ascii="Times New Roman" w:eastAsia="Times New Roman"/>
          <w:spacing w:val="8"/>
        </w:rPr>
        <w:t> </w:t>
      </w:r>
      <w:r>
        <w:rPr>
          <w:spacing w:val="-3"/>
        </w:rPr>
        <w:t>量表选项数量的差异，</w:t>
      </w:r>
      <w:r>
        <w:rPr>
          <w:rFonts w:ascii="Times New Roman" w:eastAsia="Times New Roman"/>
        </w:rPr>
        <w:t>Donanemab </w:t>
      </w:r>
      <w:r>
        <w:rPr>
          <w:spacing w:val="-3"/>
        </w:rPr>
        <w:t>主分析人群（</w:t>
      </w:r>
      <w:r>
        <w:rPr>
          <w:spacing w:val="25"/>
        </w:rPr>
        <w:t>中低</w:t>
      </w:r>
      <w:r>
        <w:rPr>
          <w:rFonts w:ascii="Times New Roman" w:eastAsia="Times New Roman"/>
          <w:spacing w:val="-5"/>
        </w:rPr>
        <w:t>Tau </w:t>
      </w:r>
      <w:r>
        <w:rPr>
          <w:spacing w:val="-2"/>
        </w:rPr>
        <w:t>蛋白</w:t>
      </w:r>
      <w:r>
        <w:rPr/>
        <w:t>）</w:t>
      </w:r>
      <w:r>
        <w:rPr>
          <w:spacing w:val="-3"/>
        </w:rPr>
        <w:t>的认知改善</w:t>
      </w:r>
      <w:r>
        <w:rPr>
          <w:spacing w:val="-15"/>
        </w:rPr>
        <w:t>比例与 </w:t>
      </w:r>
      <w:r>
        <w:rPr>
          <w:rFonts w:ascii="Times New Roman" w:eastAsia="Times New Roman"/>
        </w:rPr>
        <w:t>Lecanemab </w:t>
      </w:r>
      <w:r>
        <w:rPr>
          <w:spacing w:val="-6"/>
        </w:rPr>
        <w:t>相当。在安全性方面，两者均具有 </w:t>
      </w:r>
      <w:r>
        <w:rPr>
          <w:rFonts w:ascii="Times New Roman" w:eastAsia="Times New Roman"/>
        </w:rPr>
        <w:t>ARIA </w:t>
      </w:r>
      <w:r>
        <w:rPr>
          <w:spacing w:val="-3"/>
        </w:rPr>
        <w:t>安全性风险，但</w:t>
      </w:r>
      <w:r>
        <w:rPr>
          <w:rFonts w:ascii="Times New Roman" w:eastAsia="Times New Roman"/>
          <w:spacing w:val="-3"/>
        </w:rPr>
        <w:t>Donanemab </w:t>
      </w:r>
      <w:r>
        <w:rPr>
          <w:spacing w:val="-5"/>
        </w:rPr>
        <w:t>的脑水肿、脑出血及与治疗相关的死亡人数更高于 </w:t>
      </w:r>
      <w:r>
        <w:rPr>
          <w:rFonts w:ascii="Times New Roman" w:eastAsia="Times New Roman"/>
        </w:rPr>
        <w:t>Lecanemab</w:t>
      </w:r>
      <w:r>
        <w:rPr>
          <w:spacing w:val="-2"/>
        </w:rPr>
        <w:t>。因此</w:t>
      </w:r>
      <w:r>
        <w:rPr>
          <w:rFonts w:ascii="Times New Roman" w:eastAsia="Times New Roman"/>
          <w:spacing w:val="-2"/>
        </w:rPr>
        <w:t>Donanemab </w:t>
      </w:r>
      <w:r>
        <w:rPr>
          <w:spacing w:val="-10"/>
        </w:rPr>
        <w:t>的主要优势在 </w:t>
      </w:r>
      <w:r>
        <w:rPr>
          <w:rFonts w:ascii="Times New Roman" w:eastAsia="Times New Roman"/>
        </w:rPr>
        <w:t>4 </w:t>
      </w:r>
      <w:r>
        <w:rPr>
          <w:spacing w:val="-3"/>
        </w:rPr>
        <w:t>周一次的给药剂型和在细分人群中</w:t>
      </w:r>
      <w:r>
        <w:rPr>
          <w:spacing w:val="-5"/>
        </w:rPr>
        <w:t>（</w:t>
      </w:r>
      <w:r>
        <w:rPr>
          <w:rFonts w:ascii="Times New Roman" w:eastAsia="Times New Roman"/>
          <w:spacing w:val="-5"/>
        </w:rPr>
        <w:t>Tau </w:t>
      </w:r>
      <w:r>
        <w:rPr>
          <w:spacing w:val="-3"/>
        </w:rPr>
        <w:t>蛋白中低表</w:t>
      </w:r>
      <w:r>
        <w:rPr>
          <w:spacing w:val="-13"/>
        </w:rPr>
        <w:t>达人群或 </w:t>
      </w:r>
      <w:r>
        <w:rPr>
          <w:rFonts w:ascii="Times New Roman" w:eastAsia="Times New Roman"/>
        </w:rPr>
        <w:t>75 </w:t>
      </w:r>
      <w:r>
        <w:rPr>
          <w:spacing w:val="-3"/>
        </w:rPr>
        <w:t>岁以下人群）</w:t>
      </w:r>
      <w:r>
        <w:rPr>
          <w:spacing w:val="-2"/>
        </w:rPr>
        <w:t>中的有效性。</w:t>
      </w:r>
    </w:p>
    <w:p>
      <w:pPr>
        <w:spacing w:after="0" w:line="304" w:lineRule="auto"/>
        <w:sectPr>
          <w:pgSz w:w="11910" w:h="16840"/>
          <w:pgMar w:header="868" w:footer="1201" w:top="1400" w:bottom="1400" w:left="240" w:right="400"/>
        </w:sectPr>
      </w:pPr>
    </w:p>
    <w:p>
      <w:pPr>
        <w:pStyle w:val="BodyText"/>
        <w:spacing w:before="11"/>
        <w:rPr>
          <w:sz w:val="13"/>
        </w:rPr>
      </w:pPr>
      <w:r>
        <w:rPr/>
        <w:pict>
          <v:rect style="position:absolute;margin-left:42.720001pt;margin-top:79.099991pt;width:508.08pt;height:.71999pt;mso-position-horizontal-relative:page;mso-position-vertical-relative:page;z-index:15759360" filled="true" fillcolor="#333366" stroked="false">
            <v:fill type="solid"/>
            <w10:wrap type="none"/>
          </v:rect>
        </w:pict>
      </w:r>
    </w:p>
    <w:tbl>
      <w:tblPr>
        <w:tblW w:w="0" w:type="auto"/>
        <w:jc w:val="left"/>
        <w:tblInd w:w="13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133"/>
        <w:gridCol w:w="2505"/>
        <w:gridCol w:w="2317"/>
        <w:gridCol w:w="2345"/>
      </w:tblGrid>
      <w:tr>
        <w:trPr>
          <w:trHeight w:val="347" w:hRule="atLeast"/>
        </w:trPr>
        <w:tc>
          <w:tcPr>
            <w:tcW w:w="9300" w:type="dxa"/>
            <w:gridSpan w:val="4"/>
            <w:tcBorders>
              <w:bottom w:val="single" w:sz="4" w:space="0" w:color="000000"/>
            </w:tcBorders>
          </w:tcPr>
          <w:p>
            <w:pPr>
              <w:pStyle w:val="TableParagraph"/>
              <w:spacing w:line="328" w:lineRule="exact"/>
              <w:ind w:left="107"/>
              <w:rPr>
                <w:rFonts w:ascii="Microsoft JhengHei" w:eastAsia="Microsoft JhengHei" w:hint="eastAsia"/>
                <w:b/>
                <w:sz w:val="21"/>
              </w:rPr>
            </w:pPr>
            <w:bookmarkStart w:name="_bookmark42" w:id="61"/>
            <w:bookmarkEnd w:id="61"/>
            <w:r>
              <w:rPr/>
            </w:r>
            <w:r>
              <w:rPr>
                <w:rFonts w:ascii="Microsoft JhengHei" w:eastAsia="Microsoft JhengHei" w:hint="eastAsia"/>
                <w:b/>
                <w:sz w:val="21"/>
              </w:rPr>
              <w:t>表 </w:t>
            </w:r>
            <w:r>
              <w:rPr>
                <w:rFonts w:ascii="Times New Roman" w:eastAsia="Times New Roman"/>
                <w:b/>
                <w:sz w:val="21"/>
              </w:rPr>
              <w:t>8</w:t>
            </w:r>
            <w:r>
              <w:rPr>
                <w:rFonts w:ascii="Microsoft JhengHei" w:eastAsia="Microsoft JhengHei" w:hint="eastAsia"/>
                <w:b/>
                <w:sz w:val="21"/>
              </w:rPr>
              <w:t>、</w:t>
            </w:r>
            <w:r>
              <w:rPr>
                <w:rFonts w:ascii="Times New Roman" w:eastAsia="Times New Roman"/>
                <w:b/>
                <w:sz w:val="21"/>
              </w:rPr>
              <w:t>Lecanemab </w:t>
            </w:r>
            <w:r>
              <w:rPr>
                <w:rFonts w:ascii="Microsoft JhengHei" w:eastAsia="Microsoft JhengHei" w:hint="eastAsia"/>
                <w:b/>
                <w:sz w:val="21"/>
              </w:rPr>
              <w:t>和 </w:t>
            </w:r>
            <w:r>
              <w:rPr>
                <w:rFonts w:ascii="Times New Roman" w:eastAsia="Times New Roman"/>
                <w:b/>
                <w:sz w:val="21"/>
              </w:rPr>
              <w:t>Donanemab </w:t>
            </w:r>
            <w:r>
              <w:rPr>
                <w:rFonts w:ascii="Microsoft JhengHei" w:eastAsia="Microsoft JhengHei" w:hint="eastAsia"/>
                <w:b/>
                <w:sz w:val="21"/>
              </w:rPr>
              <w:t>的 </w:t>
            </w:r>
            <w:r>
              <w:rPr>
                <w:rFonts w:ascii="Times New Roman" w:eastAsia="Times New Roman"/>
                <w:b/>
                <w:sz w:val="21"/>
              </w:rPr>
              <w:t>III </w:t>
            </w:r>
            <w:r>
              <w:rPr>
                <w:rFonts w:ascii="Microsoft JhengHei" w:eastAsia="Microsoft JhengHei" w:hint="eastAsia"/>
                <w:b/>
                <w:sz w:val="21"/>
              </w:rPr>
              <w:t>期临床试验对比</w:t>
            </w:r>
          </w:p>
        </w:tc>
      </w:tr>
      <w:tr>
        <w:trPr>
          <w:trHeight w:val="292" w:hRule="atLeast"/>
        </w:trPr>
        <w:tc>
          <w:tcPr>
            <w:tcW w:w="2133" w:type="dxa"/>
            <w:tcBorders>
              <w:top w:val="single" w:sz="4" w:space="0" w:color="000000"/>
              <w:bottom w:val="single" w:sz="4" w:space="0" w:color="000000"/>
            </w:tcBorders>
            <w:shd w:val="clear" w:color="auto" w:fill="DEEAF6"/>
          </w:tcPr>
          <w:p>
            <w:pPr>
              <w:pStyle w:val="TableParagraph"/>
              <w:spacing w:before="2"/>
              <w:ind w:left="107"/>
              <w:rPr>
                <w:sz w:val="18"/>
              </w:rPr>
            </w:pPr>
            <w:r>
              <w:rPr>
                <w:sz w:val="18"/>
              </w:rPr>
              <w:t>指标</w:t>
            </w:r>
          </w:p>
        </w:tc>
        <w:tc>
          <w:tcPr>
            <w:tcW w:w="2505" w:type="dxa"/>
            <w:tcBorders>
              <w:top w:val="single" w:sz="4" w:space="0" w:color="000000"/>
              <w:bottom w:val="single" w:sz="4" w:space="0" w:color="000000"/>
            </w:tcBorders>
            <w:shd w:val="clear" w:color="auto" w:fill="DEEAF6"/>
          </w:tcPr>
          <w:p>
            <w:pPr>
              <w:pStyle w:val="TableParagraph"/>
              <w:spacing w:before="16"/>
              <w:ind w:left="464"/>
              <w:rPr>
                <w:rFonts w:ascii="Times New Roman"/>
                <w:b/>
                <w:sz w:val="18"/>
              </w:rPr>
            </w:pPr>
            <w:r>
              <w:rPr>
                <w:rFonts w:ascii="Times New Roman"/>
                <w:b/>
                <w:sz w:val="18"/>
              </w:rPr>
              <w:t>Lecanemab (Biogen)</w:t>
            </w:r>
          </w:p>
        </w:tc>
        <w:tc>
          <w:tcPr>
            <w:tcW w:w="4662" w:type="dxa"/>
            <w:gridSpan w:val="2"/>
            <w:tcBorders>
              <w:top w:val="single" w:sz="4" w:space="0" w:color="000000"/>
              <w:bottom w:val="single" w:sz="4" w:space="0" w:color="000000"/>
            </w:tcBorders>
            <w:shd w:val="clear" w:color="auto" w:fill="DEEAF6"/>
          </w:tcPr>
          <w:p>
            <w:pPr>
              <w:pStyle w:val="TableParagraph"/>
              <w:spacing w:line="272" w:lineRule="exact"/>
              <w:ind w:left="180" w:right="170"/>
              <w:jc w:val="center"/>
              <w:rPr>
                <w:rFonts w:ascii="Times New Roman" w:eastAsia="Times New Roman"/>
                <w:b/>
                <w:sz w:val="18"/>
              </w:rPr>
            </w:pPr>
            <w:r>
              <w:rPr>
                <w:rFonts w:ascii="Times New Roman" w:eastAsia="Times New Roman"/>
                <w:b/>
                <w:sz w:val="18"/>
              </w:rPr>
              <w:t>Donanemab(</w:t>
            </w:r>
            <w:r>
              <w:rPr>
                <w:rFonts w:ascii="Microsoft JhengHei" w:eastAsia="Microsoft JhengHei" w:hint="eastAsia"/>
                <w:b/>
                <w:sz w:val="18"/>
              </w:rPr>
              <w:t>礼来</w:t>
            </w:r>
            <w:r>
              <w:rPr>
                <w:rFonts w:ascii="Times New Roman" w:eastAsia="Times New Roman"/>
                <w:b/>
                <w:sz w:val="18"/>
              </w:rPr>
              <w:t>)</w:t>
            </w:r>
          </w:p>
        </w:tc>
      </w:tr>
      <w:tr>
        <w:trPr>
          <w:trHeight w:val="297" w:hRule="atLeast"/>
        </w:trPr>
        <w:tc>
          <w:tcPr>
            <w:tcW w:w="2133" w:type="dxa"/>
            <w:tcBorders>
              <w:top w:val="single" w:sz="4" w:space="0" w:color="000000"/>
            </w:tcBorders>
            <w:shd w:val="clear" w:color="auto" w:fill="F1F1F1"/>
          </w:tcPr>
          <w:p>
            <w:pPr>
              <w:pStyle w:val="TableParagraph"/>
              <w:spacing w:before="2"/>
              <w:ind w:left="107"/>
              <w:rPr>
                <w:sz w:val="18"/>
              </w:rPr>
            </w:pPr>
            <w:r>
              <w:rPr>
                <w:sz w:val="18"/>
              </w:rPr>
              <w:t>临床试验名称</w:t>
            </w:r>
          </w:p>
        </w:tc>
        <w:tc>
          <w:tcPr>
            <w:tcW w:w="2505" w:type="dxa"/>
            <w:tcBorders>
              <w:top w:val="single" w:sz="4" w:space="0" w:color="000000"/>
            </w:tcBorders>
            <w:shd w:val="clear" w:color="auto" w:fill="F1F1F1"/>
          </w:tcPr>
          <w:p>
            <w:pPr>
              <w:pStyle w:val="TableParagraph"/>
              <w:spacing w:before="16"/>
              <w:ind w:left="106"/>
              <w:rPr>
                <w:rFonts w:ascii="Times New Roman"/>
                <w:sz w:val="18"/>
              </w:rPr>
            </w:pPr>
            <w:r>
              <w:rPr>
                <w:rFonts w:ascii="Times New Roman"/>
                <w:sz w:val="18"/>
              </w:rPr>
              <w:t>Clarity AD</w:t>
            </w:r>
          </w:p>
        </w:tc>
        <w:tc>
          <w:tcPr>
            <w:tcW w:w="4662" w:type="dxa"/>
            <w:gridSpan w:val="2"/>
            <w:tcBorders>
              <w:top w:val="single" w:sz="4" w:space="0" w:color="000000"/>
            </w:tcBorders>
            <w:shd w:val="clear" w:color="auto" w:fill="F1F1F1"/>
          </w:tcPr>
          <w:p>
            <w:pPr>
              <w:pStyle w:val="TableParagraph"/>
              <w:spacing w:before="16"/>
              <w:ind w:left="1446"/>
              <w:rPr>
                <w:rFonts w:ascii="Times New Roman"/>
                <w:sz w:val="18"/>
              </w:rPr>
            </w:pPr>
            <w:r>
              <w:rPr>
                <w:rFonts w:ascii="Times New Roman"/>
                <w:sz w:val="18"/>
              </w:rPr>
              <w:t>TRAILBLAZER-ALZ 2</w:t>
            </w:r>
          </w:p>
        </w:tc>
      </w:tr>
      <w:tr>
        <w:trPr>
          <w:trHeight w:val="302" w:hRule="atLeast"/>
        </w:trPr>
        <w:tc>
          <w:tcPr>
            <w:tcW w:w="2133" w:type="dxa"/>
            <w:shd w:val="clear" w:color="auto" w:fill="F1F1F1"/>
          </w:tcPr>
          <w:p>
            <w:pPr>
              <w:pStyle w:val="TableParagraph"/>
              <w:spacing w:before="7"/>
              <w:ind w:left="107"/>
              <w:rPr>
                <w:sz w:val="18"/>
              </w:rPr>
            </w:pPr>
            <w:r>
              <w:rPr>
                <w:sz w:val="18"/>
              </w:rPr>
              <w:t>给药方案</w:t>
            </w:r>
          </w:p>
        </w:tc>
        <w:tc>
          <w:tcPr>
            <w:tcW w:w="2505" w:type="dxa"/>
            <w:shd w:val="clear" w:color="auto" w:fill="F1F1F1"/>
          </w:tcPr>
          <w:p>
            <w:pPr>
              <w:pStyle w:val="TableParagraph"/>
              <w:spacing w:before="7"/>
              <w:ind w:left="106"/>
              <w:rPr>
                <w:sz w:val="18"/>
              </w:rPr>
            </w:pPr>
            <w:r>
              <w:rPr>
                <w:rFonts w:ascii="Times New Roman" w:eastAsia="Times New Roman"/>
                <w:sz w:val="18"/>
              </w:rPr>
              <w:t>10mg/kg</w:t>
            </w:r>
            <w:r>
              <w:rPr>
                <w:sz w:val="18"/>
              </w:rPr>
              <w:t>，每 </w:t>
            </w:r>
            <w:r>
              <w:rPr>
                <w:rFonts w:ascii="Times New Roman" w:eastAsia="Times New Roman"/>
                <w:sz w:val="18"/>
              </w:rPr>
              <w:t>2 </w:t>
            </w:r>
            <w:r>
              <w:rPr>
                <w:sz w:val="18"/>
              </w:rPr>
              <w:t>周一次</w:t>
            </w:r>
          </w:p>
        </w:tc>
        <w:tc>
          <w:tcPr>
            <w:tcW w:w="4662" w:type="dxa"/>
            <w:gridSpan w:val="2"/>
            <w:shd w:val="clear" w:color="auto" w:fill="F1F1F1"/>
          </w:tcPr>
          <w:p>
            <w:pPr>
              <w:pStyle w:val="TableParagraph"/>
              <w:spacing w:before="7"/>
              <w:ind w:left="438"/>
              <w:rPr>
                <w:sz w:val="18"/>
              </w:rPr>
            </w:pPr>
            <w:r>
              <w:rPr>
                <w:sz w:val="18"/>
              </w:rPr>
              <w:t>前三周为 </w:t>
            </w:r>
            <w:r>
              <w:rPr>
                <w:rFonts w:ascii="Times New Roman" w:eastAsia="Times New Roman"/>
                <w:sz w:val="18"/>
              </w:rPr>
              <w:t>700 mg</w:t>
            </w:r>
            <w:r>
              <w:rPr>
                <w:sz w:val="18"/>
              </w:rPr>
              <w:t>，之后为 </w:t>
            </w:r>
            <w:r>
              <w:rPr>
                <w:rFonts w:ascii="Times New Roman" w:eastAsia="Times New Roman"/>
                <w:sz w:val="18"/>
              </w:rPr>
              <w:t>1400 mg</w:t>
            </w:r>
            <w:r>
              <w:rPr>
                <w:sz w:val="18"/>
              </w:rPr>
              <w:t>，每 </w:t>
            </w:r>
            <w:r>
              <w:rPr>
                <w:rFonts w:ascii="Times New Roman" w:eastAsia="Times New Roman"/>
                <w:sz w:val="18"/>
              </w:rPr>
              <w:t>4 </w:t>
            </w:r>
            <w:r>
              <w:rPr>
                <w:sz w:val="18"/>
              </w:rPr>
              <w:t>周一次</w:t>
            </w:r>
          </w:p>
        </w:tc>
      </w:tr>
      <w:tr>
        <w:trPr>
          <w:trHeight w:val="300" w:hRule="atLeast"/>
        </w:trPr>
        <w:tc>
          <w:tcPr>
            <w:tcW w:w="2133" w:type="dxa"/>
            <w:shd w:val="clear" w:color="auto" w:fill="F1F1F1"/>
          </w:tcPr>
          <w:p>
            <w:pPr>
              <w:pStyle w:val="TableParagraph"/>
              <w:spacing w:before="7"/>
              <w:ind w:left="107"/>
              <w:rPr>
                <w:sz w:val="18"/>
              </w:rPr>
            </w:pPr>
            <w:r>
              <w:rPr>
                <w:sz w:val="18"/>
              </w:rPr>
              <w:t>主要终点</w:t>
            </w:r>
          </w:p>
        </w:tc>
        <w:tc>
          <w:tcPr>
            <w:tcW w:w="2505" w:type="dxa"/>
            <w:shd w:val="clear" w:color="auto" w:fill="F1F1F1"/>
          </w:tcPr>
          <w:p>
            <w:pPr>
              <w:pStyle w:val="TableParagraph"/>
              <w:spacing w:before="21"/>
              <w:ind w:left="106"/>
              <w:rPr>
                <w:rFonts w:ascii="Times New Roman"/>
                <w:b/>
                <w:sz w:val="18"/>
              </w:rPr>
            </w:pPr>
            <w:r>
              <w:rPr>
                <w:rFonts w:ascii="Times New Roman"/>
                <w:b/>
                <w:sz w:val="18"/>
              </w:rPr>
              <w:t>CDR-SB</w:t>
            </w:r>
          </w:p>
        </w:tc>
        <w:tc>
          <w:tcPr>
            <w:tcW w:w="4662" w:type="dxa"/>
            <w:gridSpan w:val="2"/>
            <w:shd w:val="clear" w:color="auto" w:fill="F1F1F1"/>
          </w:tcPr>
          <w:p>
            <w:pPr>
              <w:pStyle w:val="TableParagraph"/>
              <w:spacing w:before="4"/>
              <w:ind w:left="180" w:right="169"/>
              <w:jc w:val="center"/>
              <w:rPr>
                <w:rFonts w:ascii="Times New Roman"/>
                <w:sz w:val="18"/>
              </w:rPr>
            </w:pPr>
            <w:r>
              <w:rPr>
                <w:rFonts w:ascii="Times New Roman"/>
                <w:sz w:val="18"/>
              </w:rPr>
              <w:t>iADRS</w:t>
            </w:r>
          </w:p>
        </w:tc>
      </w:tr>
      <w:tr>
        <w:trPr>
          <w:trHeight w:val="804" w:hRule="atLeast"/>
        </w:trPr>
        <w:tc>
          <w:tcPr>
            <w:tcW w:w="2133" w:type="dxa"/>
            <w:shd w:val="clear" w:color="auto" w:fill="F1F1F1"/>
          </w:tcPr>
          <w:p>
            <w:pPr>
              <w:pStyle w:val="TableParagraph"/>
              <w:spacing w:before="2"/>
              <w:rPr>
                <w:sz w:val="20"/>
              </w:rPr>
            </w:pPr>
          </w:p>
          <w:p>
            <w:pPr>
              <w:pStyle w:val="TableParagraph"/>
              <w:spacing w:before="1"/>
              <w:ind w:left="107"/>
              <w:rPr>
                <w:sz w:val="18"/>
              </w:rPr>
            </w:pPr>
            <w:r>
              <w:rPr>
                <w:sz w:val="18"/>
              </w:rPr>
              <w:t>次要终点</w:t>
            </w:r>
          </w:p>
        </w:tc>
        <w:tc>
          <w:tcPr>
            <w:tcW w:w="2505" w:type="dxa"/>
            <w:shd w:val="clear" w:color="auto" w:fill="F1F1F1"/>
          </w:tcPr>
          <w:p>
            <w:pPr>
              <w:pStyle w:val="TableParagraph"/>
              <w:spacing w:line="300" w:lineRule="auto" w:before="144"/>
              <w:ind w:left="106" w:right="270"/>
              <w:rPr>
                <w:rFonts w:ascii="Times New Roman"/>
                <w:sz w:val="18"/>
              </w:rPr>
            </w:pPr>
            <w:r>
              <w:rPr>
                <w:rFonts w:ascii="Times New Roman"/>
                <w:sz w:val="18"/>
              </w:rPr>
              <w:t>PET,ADAS-cog14, ADCOMS,ADCS-MCI-ADL</w:t>
            </w:r>
          </w:p>
        </w:tc>
        <w:tc>
          <w:tcPr>
            <w:tcW w:w="4662" w:type="dxa"/>
            <w:gridSpan w:val="2"/>
            <w:shd w:val="clear" w:color="auto" w:fill="F1F1F1"/>
          </w:tcPr>
          <w:p>
            <w:pPr>
              <w:pStyle w:val="TableParagraph"/>
              <w:spacing w:before="112"/>
              <w:ind w:left="180" w:right="170"/>
              <w:jc w:val="center"/>
              <w:rPr>
                <w:sz w:val="18"/>
              </w:rPr>
            </w:pPr>
            <w:r>
              <w:rPr>
                <w:rFonts w:ascii="Times New Roman" w:eastAsia="Times New Roman"/>
                <w:sz w:val="18"/>
              </w:rPr>
              <w:t>ADAS-Cog13, </w:t>
            </w:r>
            <w:r>
              <w:rPr>
                <w:rFonts w:ascii="Times New Roman" w:eastAsia="Times New Roman"/>
                <w:b/>
                <w:sz w:val="18"/>
              </w:rPr>
              <w:t>CDR-SB, </w:t>
            </w:r>
            <w:r>
              <w:rPr>
                <w:rFonts w:ascii="Times New Roman" w:eastAsia="Times New Roman"/>
                <w:sz w:val="18"/>
              </w:rPr>
              <w:t>MMSE, ADCS-iADL, </w:t>
            </w:r>
            <w:r>
              <w:rPr>
                <w:sz w:val="18"/>
              </w:rPr>
              <w:t>淀粉样蛋</w:t>
            </w:r>
          </w:p>
          <w:p>
            <w:pPr>
              <w:pStyle w:val="TableParagraph"/>
              <w:spacing w:before="63"/>
              <w:ind w:left="178" w:right="170"/>
              <w:jc w:val="center"/>
              <w:rPr>
                <w:sz w:val="18"/>
              </w:rPr>
            </w:pPr>
            <w:r>
              <w:rPr>
                <w:sz w:val="18"/>
              </w:rPr>
              <w:t>白的减少</w:t>
            </w:r>
            <w:r>
              <w:rPr>
                <w:rFonts w:ascii="Times New Roman" w:eastAsia="Times New Roman"/>
                <w:sz w:val="18"/>
              </w:rPr>
              <w:t>,PET, vMRI, PK, </w:t>
            </w:r>
            <w:r>
              <w:rPr>
                <w:sz w:val="18"/>
              </w:rPr>
              <w:t>抗抗体患者比例</w:t>
            </w:r>
          </w:p>
        </w:tc>
      </w:tr>
      <w:tr>
        <w:trPr>
          <w:trHeight w:val="561" w:hRule="atLeast"/>
        </w:trPr>
        <w:tc>
          <w:tcPr>
            <w:tcW w:w="2133" w:type="dxa"/>
            <w:shd w:val="clear" w:color="auto" w:fill="F1F1F1"/>
          </w:tcPr>
          <w:p>
            <w:pPr>
              <w:pStyle w:val="TableParagraph"/>
              <w:spacing w:before="137"/>
              <w:ind w:left="107"/>
              <w:rPr>
                <w:sz w:val="18"/>
              </w:rPr>
            </w:pPr>
            <w:r>
              <w:rPr>
                <w:sz w:val="18"/>
              </w:rPr>
              <w:t>分组</w:t>
            </w:r>
          </w:p>
        </w:tc>
        <w:tc>
          <w:tcPr>
            <w:tcW w:w="2505" w:type="dxa"/>
            <w:shd w:val="clear" w:color="auto" w:fill="F1F1F1"/>
          </w:tcPr>
          <w:p>
            <w:pPr>
              <w:pStyle w:val="TableParagraph"/>
              <w:spacing w:before="137"/>
              <w:ind w:left="106"/>
              <w:rPr>
                <w:rFonts w:ascii="Times New Roman" w:eastAsia="Times New Roman"/>
                <w:sz w:val="18"/>
              </w:rPr>
            </w:pPr>
            <w:r>
              <w:rPr>
                <w:sz w:val="18"/>
              </w:rPr>
              <w:t>实验组 </w:t>
            </w:r>
            <w:r>
              <w:rPr>
                <w:rFonts w:ascii="Times New Roman" w:eastAsia="Times New Roman"/>
                <w:i/>
                <w:sz w:val="18"/>
              </w:rPr>
              <w:t>vs </w:t>
            </w:r>
            <w:r>
              <w:rPr>
                <w:sz w:val="18"/>
              </w:rPr>
              <w:t>安慰剂</w:t>
            </w:r>
            <w:r>
              <w:rPr>
                <w:rFonts w:ascii="Times New Roman" w:eastAsia="Times New Roman"/>
                <w:sz w:val="18"/>
              </w:rPr>
              <w:t>=898 vs 897</w:t>
            </w:r>
          </w:p>
        </w:tc>
        <w:tc>
          <w:tcPr>
            <w:tcW w:w="2317" w:type="dxa"/>
            <w:shd w:val="clear" w:color="auto" w:fill="F1F1F1"/>
          </w:tcPr>
          <w:p>
            <w:pPr>
              <w:pStyle w:val="TableParagraph"/>
              <w:spacing w:before="7"/>
              <w:ind w:left="123" w:right="91"/>
              <w:jc w:val="center"/>
              <w:rPr>
                <w:rFonts w:ascii="Times New Roman" w:eastAsia="Times New Roman"/>
                <w:sz w:val="18"/>
              </w:rPr>
            </w:pPr>
            <w:r>
              <w:rPr>
                <w:sz w:val="18"/>
              </w:rPr>
              <w:t>中低 </w:t>
            </w:r>
            <w:r>
              <w:rPr>
                <w:rFonts w:ascii="Times New Roman" w:eastAsia="Times New Roman"/>
                <w:sz w:val="18"/>
              </w:rPr>
              <w:t>Tau </w:t>
            </w:r>
            <w:r>
              <w:rPr>
                <w:sz w:val="18"/>
              </w:rPr>
              <w:t>蛋白 </w:t>
            </w:r>
            <w:r>
              <w:rPr>
                <w:rFonts w:ascii="Times New Roman" w:eastAsia="Times New Roman"/>
                <w:i/>
                <w:sz w:val="18"/>
              </w:rPr>
              <w:t>vs </w:t>
            </w:r>
            <w:r>
              <w:rPr>
                <w:sz w:val="18"/>
              </w:rPr>
              <w:t>安慰剂</w:t>
            </w:r>
            <w:r>
              <w:rPr>
                <w:rFonts w:ascii="Times New Roman" w:eastAsia="Times New Roman"/>
                <w:sz w:val="18"/>
              </w:rPr>
              <w:t>=</w:t>
            </w:r>
          </w:p>
          <w:p>
            <w:pPr>
              <w:pStyle w:val="TableParagraph"/>
              <w:spacing w:before="60"/>
              <w:ind w:left="119" w:right="91"/>
              <w:jc w:val="center"/>
              <w:rPr>
                <w:rFonts w:ascii="Times New Roman"/>
                <w:sz w:val="18"/>
              </w:rPr>
            </w:pPr>
            <w:r>
              <w:rPr>
                <w:rFonts w:ascii="Times New Roman"/>
                <w:sz w:val="18"/>
              </w:rPr>
              <w:t>588 vs 594</w:t>
            </w:r>
          </w:p>
        </w:tc>
        <w:tc>
          <w:tcPr>
            <w:tcW w:w="2345" w:type="dxa"/>
            <w:shd w:val="clear" w:color="auto" w:fill="F1F1F1"/>
          </w:tcPr>
          <w:p>
            <w:pPr>
              <w:pStyle w:val="TableParagraph"/>
              <w:spacing w:before="7"/>
              <w:ind w:left="93" w:right="78"/>
              <w:jc w:val="center"/>
              <w:rPr>
                <w:rFonts w:ascii="Times New Roman" w:eastAsia="Times New Roman"/>
                <w:sz w:val="18"/>
              </w:rPr>
            </w:pPr>
            <w:r>
              <w:rPr>
                <w:sz w:val="18"/>
              </w:rPr>
              <w:t>全人群 </w:t>
            </w:r>
            <w:r>
              <w:rPr>
                <w:rFonts w:ascii="Times New Roman" w:eastAsia="Times New Roman"/>
                <w:i/>
                <w:sz w:val="18"/>
              </w:rPr>
              <w:t>vs </w:t>
            </w:r>
            <w:r>
              <w:rPr>
                <w:sz w:val="18"/>
              </w:rPr>
              <w:t>安慰剂</w:t>
            </w:r>
            <w:r>
              <w:rPr>
                <w:rFonts w:ascii="Times New Roman" w:eastAsia="Times New Roman"/>
                <w:sz w:val="18"/>
              </w:rPr>
              <w:t>=</w:t>
            </w:r>
          </w:p>
          <w:p>
            <w:pPr>
              <w:pStyle w:val="TableParagraph"/>
              <w:spacing w:before="60"/>
              <w:ind w:left="91" w:right="78"/>
              <w:jc w:val="center"/>
              <w:rPr>
                <w:rFonts w:ascii="Times New Roman"/>
                <w:sz w:val="18"/>
              </w:rPr>
            </w:pPr>
            <w:r>
              <w:rPr>
                <w:rFonts w:ascii="Times New Roman"/>
                <w:sz w:val="18"/>
              </w:rPr>
              <w:t>860 vs 876</w:t>
            </w:r>
          </w:p>
        </w:tc>
      </w:tr>
      <w:tr>
        <w:trPr>
          <w:trHeight w:val="297" w:hRule="atLeast"/>
        </w:trPr>
        <w:tc>
          <w:tcPr>
            <w:tcW w:w="2133" w:type="dxa"/>
            <w:tcBorders>
              <w:bottom w:val="single" w:sz="4" w:space="0" w:color="FFFFFF"/>
            </w:tcBorders>
            <w:shd w:val="clear" w:color="auto" w:fill="F1F1F1"/>
          </w:tcPr>
          <w:p>
            <w:pPr>
              <w:pStyle w:val="TableParagraph"/>
              <w:spacing w:before="7"/>
              <w:ind w:left="107"/>
              <w:rPr>
                <w:sz w:val="18"/>
              </w:rPr>
            </w:pPr>
            <w:r>
              <w:rPr>
                <w:sz w:val="18"/>
              </w:rPr>
              <w:t>年龄均值</w:t>
            </w:r>
          </w:p>
        </w:tc>
        <w:tc>
          <w:tcPr>
            <w:tcW w:w="2505" w:type="dxa"/>
            <w:tcBorders>
              <w:bottom w:val="single" w:sz="4" w:space="0" w:color="FFFFFF"/>
            </w:tcBorders>
            <w:shd w:val="clear" w:color="auto" w:fill="F1F1F1"/>
          </w:tcPr>
          <w:p>
            <w:pPr>
              <w:pStyle w:val="TableParagraph"/>
              <w:spacing w:before="21"/>
              <w:ind w:left="106"/>
              <w:rPr>
                <w:rFonts w:ascii="Times New Roman"/>
                <w:sz w:val="18"/>
              </w:rPr>
            </w:pPr>
            <w:r>
              <w:rPr>
                <w:rFonts w:ascii="Times New Roman"/>
                <w:sz w:val="18"/>
              </w:rPr>
              <w:t>71.4 </w:t>
            </w:r>
            <w:r>
              <w:rPr>
                <w:rFonts w:ascii="Times New Roman"/>
                <w:i/>
                <w:sz w:val="18"/>
              </w:rPr>
              <w:t>vs </w:t>
            </w:r>
            <w:r>
              <w:rPr>
                <w:rFonts w:ascii="Times New Roman"/>
                <w:sz w:val="18"/>
              </w:rPr>
              <w:t>71.0</w:t>
            </w:r>
          </w:p>
        </w:tc>
        <w:tc>
          <w:tcPr>
            <w:tcW w:w="2317" w:type="dxa"/>
            <w:tcBorders>
              <w:bottom w:val="single" w:sz="4" w:space="0" w:color="FFFFFF"/>
            </w:tcBorders>
            <w:shd w:val="clear" w:color="auto" w:fill="F1F1F1"/>
          </w:tcPr>
          <w:p>
            <w:pPr>
              <w:pStyle w:val="TableParagraph"/>
              <w:spacing w:before="21"/>
              <w:ind w:left="736"/>
              <w:rPr>
                <w:rFonts w:ascii="Times New Roman"/>
                <w:sz w:val="18"/>
              </w:rPr>
            </w:pPr>
            <w:r>
              <w:rPr>
                <w:rFonts w:ascii="Times New Roman"/>
                <w:sz w:val="18"/>
              </w:rPr>
              <w:t>74.3 </w:t>
            </w:r>
            <w:r>
              <w:rPr>
                <w:rFonts w:ascii="Times New Roman"/>
                <w:i/>
                <w:sz w:val="18"/>
              </w:rPr>
              <w:t>vs </w:t>
            </w:r>
            <w:r>
              <w:rPr>
                <w:rFonts w:ascii="Times New Roman"/>
                <w:sz w:val="18"/>
              </w:rPr>
              <w:t>74.3</w:t>
            </w:r>
          </w:p>
        </w:tc>
        <w:tc>
          <w:tcPr>
            <w:tcW w:w="2345" w:type="dxa"/>
            <w:tcBorders>
              <w:bottom w:val="single" w:sz="4" w:space="0" w:color="FFFFFF"/>
            </w:tcBorders>
            <w:shd w:val="clear" w:color="auto" w:fill="F1F1F1"/>
          </w:tcPr>
          <w:p>
            <w:pPr>
              <w:pStyle w:val="TableParagraph"/>
              <w:spacing w:before="21"/>
              <w:ind w:left="743"/>
              <w:rPr>
                <w:rFonts w:ascii="Times New Roman"/>
                <w:sz w:val="18"/>
              </w:rPr>
            </w:pPr>
            <w:r>
              <w:rPr>
                <w:rFonts w:ascii="Times New Roman"/>
                <w:sz w:val="18"/>
              </w:rPr>
              <w:t>73.0 </w:t>
            </w:r>
            <w:r>
              <w:rPr>
                <w:rFonts w:ascii="Times New Roman"/>
                <w:i/>
                <w:sz w:val="18"/>
              </w:rPr>
              <w:t>vs </w:t>
            </w:r>
            <w:r>
              <w:rPr>
                <w:rFonts w:ascii="Times New Roman"/>
                <w:sz w:val="18"/>
              </w:rPr>
              <w:t>73.0</w:t>
            </w:r>
          </w:p>
        </w:tc>
      </w:tr>
      <w:tr>
        <w:trPr>
          <w:trHeight w:val="295" w:hRule="atLeast"/>
        </w:trPr>
        <w:tc>
          <w:tcPr>
            <w:tcW w:w="2133" w:type="dxa"/>
            <w:tcBorders>
              <w:top w:val="single" w:sz="4" w:space="0" w:color="FFFFFF"/>
            </w:tcBorders>
            <w:shd w:val="clear" w:color="auto" w:fill="D9D9D9"/>
          </w:tcPr>
          <w:p>
            <w:pPr>
              <w:pStyle w:val="TableParagraph"/>
              <w:spacing w:before="2"/>
              <w:ind w:left="107"/>
              <w:rPr>
                <w:sz w:val="18"/>
              </w:rPr>
            </w:pPr>
            <w:r>
              <w:rPr>
                <w:rFonts w:ascii="Times New Roman" w:eastAsia="Times New Roman"/>
                <w:sz w:val="18"/>
              </w:rPr>
              <w:t>CDR-SB </w:t>
            </w:r>
            <w:r>
              <w:rPr>
                <w:sz w:val="18"/>
              </w:rPr>
              <w:t>基线值均值</w:t>
            </w:r>
          </w:p>
        </w:tc>
        <w:tc>
          <w:tcPr>
            <w:tcW w:w="2505" w:type="dxa"/>
            <w:tcBorders>
              <w:top w:val="single" w:sz="4" w:space="0" w:color="FFFFFF"/>
            </w:tcBorders>
            <w:shd w:val="clear" w:color="auto" w:fill="D9D9D9"/>
          </w:tcPr>
          <w:p>
            <w:pPr>
              <w:pStyle w:val="TableParagraph"/>
              <w:spacing w:before="17"/>
              <w:ind w:left="106"/>
              <w:rPr>
                <w:rFonts w:ascii="Times New Roman"/>
                <w:sz w:val="18"/>
              </w:rPr>
            </w:pPr>
            <w:r>
              <w:rPr>
                <w:rFonts w:ascii="Times New Roman"/>
                <w:sz w:val="18"/>
              </w:rPr>
              <w:t>3.17 </w:t>
            </w:r>
            <w:r>
              <w:rPr>
                <w:rFonts w:ascii="Times New Roman"/>
                <w:i/>
                <w:sz w:val="18"/>
              </w:rPr>
              <w:t>vs </w:t>
            </w:r>
            <w:r>
              <w:rPr>
                <w:rFonts w:ascii="Times New Roman"/>
                <w:sz w:val="18"/>
              </w:rPr>
              <w:t>3.22</w:t>
            </w:r>
          </w:p>
        </w:tc>
        <w:tc>
          <w:tcPr>
            <w:tcW w:w="2317" w:type="dxa"/>
            <w:tcBorders>
              <w:top w:val="single" w:sz="4" w:space="0" w:color="FFFFFF"/>
            </w:tcBorders>
            <w:shd w:val="clear" w:color="auto" w:fill="D9D9D9"/>
          </w:tcPr>
          <w:p>
            <w:pPr>
              <w:pStyle w:val="TableParagraph"/>
              <w:spacing w:before="17"/>
              <w:ind w:left="827"/>
              <w:rPr>
                <w:rFonts w:ascii="Times New Roman"/>
                <w:sz w:val="18"/>
              </w:rPr>
            </w:pPr>
            <w:r>
              <w:rPr>
                <w:rFonts w:ascii="Times New Roman"/>
                <w:sz w:val="18"/>
              </w:rPr>
              <w:t>3.7 </w:t>
            </w:r>
            <w:r>
              <w:rPr>
                <w:rFonts w:ascii="Times New Roman"/>
                <w:i/>
                <w:sz w:val="18"/>
              </w:rPr>
              <w:t>vs </w:t>
            </w:r>
            <w:r>
              <w:rPr>
                <w:rFonts w:ascii="Times New Roman"/>
                <w:sz w:val="18"/>
              </w:rPr>
              <w:t>3.7</w:t>
            </w:r>
          </w:p>
        </w:tc>
        <w:tc>
          <w:tcPr>
            <w:tcW w:w="2345" w:type="dxa"/>
            <w:tcBorders>
              <w:top w:val="single" w:sz="4" w:space="0" w:color="FFFFFF"/>
            </w:tcBorders>
            <w:shd w:val="clear" w:color="auto" w:fill="D9D9D9"/>
          </w:tcPr>
          <w:p>
            <w:pPr>
              <w:pStyle w:val="TableParagraph"/>
              <w:spacing w:before="17"/>
              <w:ind w:left="834"/>
              <w:rPr>
                <w:rFonts w:ascii="Times New Roman"/>
                <w:sz w:val="18"/>
              </w:rPr>
            </w:pPr>
            <w:r>
              <w:rPr>
                <w:rFonts w:ascii="Times New Roman"/>
                <w:sz w:val="18"/>
              </w:rPr>
              <w:t>4.0 </w:t>
            </w:r>
            <w:r>
              <w:rPr>
                <w:rFonts w:ascii="Times New Roman"/>
                <w:i/>
                <w:sz w:val="18"/>
              </w:rPr>
              <w:t>vs </w:t>
            </w:r>
            <w:r>
              <w:rPr>
                <w:rFonts w:ascii="Times New Roman"/>
                <w:sz w:val="18"/>
              </w:rPr>
              <w:t>3.9</w:t>
            </w:r>
          </w:p>
        </w:tc>
      </w:tr>
      <w:tr>
        <w:trPr>
          <w:trHeight w:val="595" w:hRule="atLeast"/>
        </w:trPr>
        <w:tc>
          <w:tcPr>
            <w:tcW w:w="2133" w:type="dxa"/>
            <w:shd w:val="clear" w:color="auto" w:fill="D9D9D9"/>
          </w:tcPr>
          <w:p>
            <w:pPr>
              <w:pStyle w:val="TableParagraph"/>
              <w:spacing w:before="153"/>
              <w:ind w:left="107"/>
              <w:rPr>
                <w:sz w:val="18"/>
              </w:rPr>
            </w:pPr>
            <w:r>
              <w:rPr>
                <w:rFonts w:ascii="Times New Roman" w:eastAsia="Times New Roman"/>
                <w:sz w:val="18"/>
              </w:rPr>
              <w:t>CDR-SB </w:t>
            </w:r>
            <w:r>
              <w:rPr>
                <w:sz w:val="18"/>
              </w:rPr>
              <w:t>较基线的改变</w:t>
            </w:r>
          </w:p>
        </w:tc>
        <w:tc>
          <w:tcPr>
            <w:tcW w:w="2505" w:type="dxa"/>
            <w:shd w:val="clear" w:color="auto" w:fill="D9D9D9"/>
          </w:tcPr>
          <w:p>
            <w:pPr>
              <w:pStyle w:val="TableParagraph"/>
              <w:spacing w:before="7"/>
              <w:ind w:left="106"/>
              <w:rPr>
                <w:sz w:val="18"/>
              </w:rPr>
            </w:pPr>
            <w:r>
              <w:rPr>
                <w:rFonts w:ascii="Times New Roman" w:eastAsia="Times New Roman"/>
                <w:sz w:val="18"/>
              </w:rPr>
              <w:t>1.21 </w:t>
            </w:r>
            <w:r>
              <w:rPr>
                <w:rFonts w:ascii="Times New Roman" w:eastAsia="Times New Roman"/>
                <w:i/>
                <w:sz w:val="18"/>
              </w:rPr>
              <w:t>vs </w:t>
            </w:r>
            <w:r>
              <w:rPr>
                <w:rFonts w:ascii="Times New Roman" w:eastAsia="Times New Roman"/>
                <w:sz w:val="18"/>
              </w:rPr>
              <w:t>1.66</w:t>
            </w:r>
            <w:r>
              <w:rPr>
                <w:sz w:val="18"/>
              </w:rPr>
              <w:t>，</w:t>
            </w:r>
          </w:p>
          <w:p>
            <w:pPr>
              <w:pStyle w:val="TableParagraph"/>
              <w:spacing w:before="62"/>
              <w:ind w:left="106"/>
              <w:rPr>
                <w:rFonts w:ascii="Times New Roman" w:eastAsia="Times New Roman"/>
                <w:sz w:val="18"/>
              </w:rPr>
            </w:pPr>
            <w:r>
              <w:rPr>
                <w:sz w:val="18"/>
              </w:rPr>
              <w:t>较对照组 </w:t>
            </w:r>
            <w:r>
              <w:rPr>
                <w:rFonts w:ascii="Times New Roman" w:eastAsia="Times New Roman"/>
                <w:sz w:val="18"/>
              </w:rPr>
              <w:t>18 </w:t>
            </w:r>
            <w:r>
              <w:rPr>
                <w:sz w:val="18"/>
              </w:rPr>
              <w:t>月减缓 </w:t>
            </w:r>
            <w:r>
              <w:rPr>
                <w:rFonts w:ascii="Times New Roman" w:eastAsia="Times New Roman"/>
                <w:b/>
                <w:sz w:val="18"/>
              </w:rPr>
              <w:t>27</w:t>
            </w:r>
            <w:r>
              <w:rPr>
                <w:rFonts w:ascii="Times New Roman" w:eastAsia="Times New Roman"/>
                <w:sz w:val="18"/>
              </w:rPr>
              <w:t>%</w:t>
            </w:r>
          </w:p>
        </w:tc>
        <w:tc>
          <w:tcPr>
            <w:tcW w:w="2317" w:type="dxa"/>
            <w:shd w:val="clear" w:color="auto" w:fill="D9D9D9"/>
          </w:tcPr>
          <w:p>
            <w:pPr>
              <w:pStyle w:val="TableParagraph"/>
              <w:spacing w:before="7"/>
              <w:ind w:left="123" w:right="91"/>
              <w:jc w:val="center"/>
              <w:rPr>
                <w:sz w:val="18"/>
              </w:rPr>
            </w:pPr>
            <w:r>
              <w:rPr>
                <w:rFonts w:ascii="Times New Roman" w:eastAsia="Times New Roman"/>
                <w:sz w:val="18"/>
              </w:rPr>
              <w:t>1.20 </w:t>
            </w:r>
            <w:r>
              <w:rPr>
                <w:rFonts w:ascii="Times New Roman" w:eastAsia="Times New Roman"/>
                <w:i/>
                <w:sz w:val="18"/>
              </w:rPr>
              <w:t>vs </w:t>
            </w:r>
            <w:r>
              <w:rPr>
                <w:rFonts w:ascii="Times New Roman" w:eastAsia="Times New Roman"/>
                <w:sz w:val="18"/>
              </w:rPr>
              <w:t>1.88</w:t>
            </w:r>
            <w:r>
              <w:rPr>
                <w:sz w:val="18"/>
              </w:rPr>
              <w:t>，</w:t>
            </w:r>
          </w:p>
          <w:p>
            <w:pPr>
              <w:pStyle w:val="TableParagraph"/>
              <w:spacing w:before="62"/>
              <w:ind w:left="121" w:right="91"/>
              <w:jc w:val="center"/>
              <w:rPr>
                <w:rFonts w:ascii="Times New Roman" w:eastAsia="Times New Roman"/>
                <w:sz w:val="18"/>
              </w:rPr>
            </w:pPr>
            <w:r>
              <w:rPr>
                <w:sz w:val="18"/>
              </w:rPr>
              <w:t>较对照组 </w:t>
            </w:r>
            <w:r>
              <w:rPr>
                <w:rFonts w:ascii="Times New Roman" w:eastAsia="Times New Roman"/>
                <w:sz w:val="18"/>
              </w:rPr>
              <w:t>76 </w:t>
            </w:r>
            <w:r>
              <w:rPr>
                <w:sz w:val="18"/>
              </w:rPr>
              <w:t>周减缓 </w:t>
            </w:r>
            <w:r>
              <w:rPr>
                <w:rFonts w:ascii="Times New Roman" w:eastAsia="Times New Roman"/>
                <w:b/>
                <w:sz w:val="18"/>
              </w:rPr>
              <w:t>36</w:t>
            </w:r>
            <w:r>
              <w:rPr>
                <w:rFonts w:ascii="Times New Roman" w:eastAsia="Times New Roman"/>
                <w:sz w:val="18"/>
              </w:rPr>
              <w:t>%</w:t>
            </w:r>
          </w:p>
        </w:tc>
        <w:tc>
          <w:tcPr>
            <w:tcW w:w="2345" w:type="dxa"/>
            <w:shd w:val="clear" w:color="auto" w:fill="D9D9D9"/>
          </w:tcPr>
          <w:p>
            <w:pPr>
              <w:pStyle w:val="TableParagraph"/>
              <w:spacing w:before="7"/>
              <w:ind w:left="95" w:right="78"/>
              <w:jc w:val="center"/>
              <w:rPr>
                <w:sz w:val="18"/>
              </w:rPr>
            </w:pPr>
            <w:r>
              <w:rPr>
                <w:rFonts w:ascii="Times New Roman" w:eastAsia="Times New Roman"/>
                <w:sz w:val="18"/>
              </w:rPr>
              <w:t>1.72 </w:t>
            </w:r>
            <w:r>
              <w:rPr>
                <w:rFonts w:ascii="Times New Roman" w:eastAsia="Times New Roman"/>
                <w:i/>
                <w:sz w:val="18"/>
              </w:rPr>
              <w:t>vs </w:t>
            </w:r>
            <w:r>
              <w:rPr>
                <w:rFonts w:ascii="Times New Roman" w:eastAsia="Times New Roman"/>
                <w:sz w:val="18"/>
              </w:rPr>
              <w:t>2.42</w:t>
            </w:r>
            <w:r>
              <w:rPr>
                <w:sz w:val="18"/>
              </w:rPr>
              <w:t>，</w:t>
            </w:r>
          </w:p>
          <w:p>
            <w:pPr>
              <w:pStyle w:val="TableParagraph"/>
              <w:spacing w:before="62"/>
              <w:ind w:left="94" w:right="78"/>
              <w:jc w:val="center"/>
              <w:rPr>
                <w:rFonts w:ascii="Times New Roman" w:eastAsia="Times New Roman"/>
                <w:sz w:val="18"/>
              </w:rPr>
            </w:pPr>
            <w:r>
              <w:rPr>
                <w:sz w:val="18"/>
              </w:rPr>
              <w:t>较对照组 </w:t>
            </w:r>
            <w:r>
              <w:rPr>
                <w:rFonts w:ascii="Times New Roman" w:eastAsia="Times New Roman"/>
                <w:sz w:val="18"/>
              </w:rPr>
              <w:t>76 </w:t>
            </w:r>
            <w:r>
              <w:rPr>
                <w:sz w:val="18"/>
              </w:rPr>
              <w:t>周减缓 </w:t>
            </w:r>
            <w:r>
              <w:rPr>
                <w:rFonts w:ascii="Times New Roman" w:eastAsia="Times New Roman"/>
                <w:b/>
                <w:sz w:val="18"/>
              </w:rPr>
              <w:t>29</w:t>
            </w:r>
            <w:r>
              <w:rPr>
                <w:rFonts w:ascii="Times New Roman" w:eastAsia="Times New Roman"/>
                <w:sz w:val="18"/>
              </w:rPr>
              <w:t>%</w:t>
            </w:r>
          </w:p>
        </w:tc>
      </w:tr>
      <w:tr>
        <w:trPr>
          <w:trHeight w:val="592" w:hRule="atLeast"/>
        </w:trPr>
        <w:tc>
          <w:tcPr>
            <w:tcW w:w="2133" w:type="dxa"/>
            <w:shd w:val="clear" w:color="auto" w:fill="D9D9D9"/>
          </w:tcPr>
          <w:p>
            <w:pPr>
              <w:pStyle w:val="TableParagraph"/>
              <w:spacing w:before="153"/>
              <w:ind w:left="107"/>
              <w:rPr>
                <w:sz w:val="18"/>
              </w:rPr>
            </w:pPr>
            <w:r>
              <w:rPr>
                <w:rFonts w:ascii="Times New Roman" w:eastAsia="Times New Roman"/>
                <w:sz w:val="18"/>
              </w:rPr>
              <w:t>CDR-SB </w:t>
            </w:r>
            <w:r>
              <w:rPr>
                <w:sz w:val="18"/>
              </w:rPr>
              <w:t>数据分析</w:t>
            </w:r>
          </w:p>
        </w:tc>
        <w:tc>
          <w:tcPr>
            <w:tcW w:w="2505" w:type="dxa"/>
            <w:shd w:val="clear" w:color="auto" w:fill="D9D9D9"/>
          </w:tcPr>
          <w:p>
            <w:pPr>
              <w:pStyle w:val="TableParagraph"/>
              <w:spacing w:before="7"/>
              <w:ind w:left="106"/>
              <w:rPr>
                <w:sz w:val="18"/>
              </w:rPr>
            </w:pPr>
            <w:r>
              <w:rPr>
                <w:sz w:val="18"/>
              </w:rPr>
              <w:t>转为下一阶段的风险降低了</w:t>
            </w:r>
          </w:p>
          <w:p>
            <w:pPr>
              <w:pStyle w:val="TableParagraph"/>
              <w:spacing w:before="60"/>
              <w:ind w:left="106"/>
              <w:rPr>
                <w:sz w:val="18"/>
              </w:rPr>
            </w:pPr>
            <w:r>
              <w:rPr>
                <w:rFonts w:ascii="Times New Roman" w:eastAsia="Times New Roman"/>
                <w:sz w:val="18"/>
              </w:rPr>
              <w:t>31%</w:t>
            </w:r>
            <w:r>
              <w:rPr>
                <w:sz w:val="18"/>
              </w:rPr>
              <w:t>，进展减缓 </w:t>
            </w:r>
            <w:r>
              <w:rPr>
                <w:rFonts w:ascii="Times New Roman" w:eastAsia="Times New Roman"/>
                <w:sz w:val="18"/>
              </w:rPr>
              <w:t>7.5 </w:t>
            </w:r>
            <w:r>
              <w:rPr>
                <w:sz w:val="18"/>
              </w:rPr>
              <w:t>月</w:t>
            </w:r>
          </w:p>
        </w:tc>
        <w:tc>
          <w:tcPr>
            <w:tcW w:w="4662" w:type="dxa"/>
            <w:gridSpan w:val="2"/>
            <w:shd w:val="clear" w:color="auto" w:fill="D9D9D9"/>
          </w:tcPr>
          <w:p>
            <w:pPr>
              <w:pStyle w:val="TableParagraph"/>
              <w:spacing w:before="153"/>
              <w:ind w:left="189"/>
              <w:rPr>
                <w:sz w:val="18"/>
              </w:rPr>
            </w:pPr>
            <w:r>
              <w:rPr>
                <w:sz w:val="18"/>
              </w:rPr>
              <w:t>转为下一个阶段的风险降低了 </w:t>
            </w:r>
            <w:r>
              <w:rPr>
                <w:rFonts w:ascii="Times New Roman" w:eastAsia="Times New Roman"/>
                <w:sz w:val="18"/>
              </w:rPr>
              <w:t>39%</w:t>
            </w:r>
            <w:r>
              <w:rPr>
                <w:sz w:val="18"/>
              </w:rPr>
              <w:t>，进展减缓了 </w:t>
            </w:r>
            <w:r>
              <w:rPr>
                <w:rFonts w:ascii="Times New Roman" w:eastAsia="Times New Roman"/>
                <w:sz w:val="18"/>
              </w:rPr>
              <w:t>7.5 </w:t>
            </w:r>
            <w:r>
              <w:rPr>
                <w:sz w:val="18"/>
              </w:rPr>
              <w:t>月</w:t>
            </w:r>
          </w:p>
        </w:tc>
      </w:tr>
      <w:tr>
        <w:trPr>
          <w:trHeight w:val="592" w:hRule="atLeast"/>
        </w:trPr>
        <w:tc>
          <w:tcPr>
            <w:tcW w:w="2133" w:type="dxa"/>
            <w:shd w:val="clear" w:color="auto" w:fill="D9D9D9"/>
          </w:tcPr>
          <w:p>
            <w:pPr>
              <w:pStyle w:val="TableParagraph"/>
              <w:spacing w:before="153"/>
              <w:ind w:left="107"/>
              <w:rPr>
                <w:sz w:val="18"/>
              </w:rPr>
            </w:pPr>
            <w:r>
              <w:rPr>
                <w:rFonts w:ascii="Times New Roman" w:eastAsia="Times New Roman"/>
                <w:sz w:val="18"/>
              </w:rPr>
              <w:t>iADRS </w:t>
            </w:r>
            <w:r>
              <w:rPr>
                <w:sz w:val="18"/>
              </w:rPr>
              <w:t>较基线的改变</w:t>
            </w:r>
          </w:p>
        </w:tc>
        <w:tc>
          <w:tcPr>
            <w:tcW w:w="2505" w:type="dxa"/>
            <w:shd w:val="clear" w:color="auto" w:fill="D9D9D9"/>
          </w:tcPr>
          <w:p>
            <w:pPr>
              <w:pStyle w:val="TableParagraph"/>
              <w:spacing w:before="153"/>
              <w:ind w:left="106"/>
              <w:rPr>
                <w:sz w:val="18"/>
              </w:rPr>
            </w:pPr>
            <w:r>
              <w:rPr>
                <w:sz w:val="18"/>
              </w:rPr>
              <w:t>无</w:t>
            </w:r>
          </w:p>
        </w:tc>
        <w:tc>
          <w:tcPr>
            <w:tcW w:w="2317" w:type="dxa"/>
            <w:shd w:val="clear" w:color="auto" w:fill="D9D9D9"/>
          </w:tcPr>
          <w:p>
            <w:pPr>
              <w:pStyle w:val="TableParagraph"/>
              <w:spacing w:before="7"/>
              <w:ind w:left="120" w:right="91"/>
              <w:jc w:val="center"/>
              <w:rPr>
                <w:sz w:val="18"/>
              </w:rPr>
            </w:pPr>
            <w:r>
              <w:rPr>
                <w:rFonts w:ascii="Times New Roman" w:eastAsia="Times New Roman"/>
                <w:sz w:val="18"/>
              </w:rPr>
              <w:t>-6.02 </w:t>
            </w:r>
            <w:r>
              <w:rPr>
                <w:rFonts w:ascii="Times New Roman" w:eastAsia="Times New Roman"/>
                <w:i/>
                <w:sz w:val="18"/>
              </w:rPr>
              <w:t>vs </w:t>
            </w:r>
            <w:r>
              <w:rPr>
                <w:rFonts w:ascii="Times New Roman" w:eastAsia="Times New Roman"/>
                <w:sz w:val="18"/>
              </w:rPr>
              <w:t>-9.27</w:t>
            </w:r>
            <w:r>
              <w:rPr>
                <w:sz w:val="18"/>
              </w:rPr>
              <w:t>，</w:t>
            </w:r>
          </w:p>
          <w:p>
            <w:pPr>
              <w:pStyle w:val="TableParagraph"/>
              <w:spacing w:before="62"/>
              <w:ind w:left="122" w:right="91"/>
              <w:jc w:val="center"/>
              <w:rPr>
                <w:rFonts w:ascii="Times New Roman" w:eastAsia="Times New Roman"/>
                <w:sz w:val="18"/>
              </w:rPr>
            </w:pPr>
            <w:r>
              <w:rPr>
                <w:sz w:val="18"/>
              </w:rPr>
              <w:t>较对照组 </w:t>
            </w:r>
            <w:r>
              <w:rPr>
                <w:rFonts w:ascii="Times New Roman" w:eastAsia="Times New Roman"/>
                <w:sz w:val="18"/>
              </w:rPr>
              <w:t>76 </w:t>
            </w:r>
            <w:r>
              <w:rPr>
                <w:sz w:val="18"/>
              </w:rPr>
              <w:t>周减缓 </w:t>
            </w:r>
            <w:r>
              <w:rPr>
                <w:rFonts w:ascii="Times New Roman" w:eastAsia="Times New Roman"/>
                <w:sz w:val="18"/>
              </w:rPr>
              <w:t>35%</w:t>
            </w:r>
          </w:p>
        </w:tc>
        <w:tc>
          <w:tcPr>
            <w:tcW w:w="2345" w:type="dxa"/>
            <w:shd w:val="clear" w:color="auto" w:fill="D9D9D9"/>
          </w:tcPr>
          <w:p>
            <w:pPr>
              <w:pStyle w:val="TableParagraph"/>
              <w:spacing w:before="7"/>
              <w:ind w:left="95" w:right="78"/>
              <w:jc w:val="center"/>
              <w:rPr>
                <w:sz w:val="18"/>
              </w:rPr>
            </w:pPr>
            <w:r>
              <w:rPr>
                <w:rFonts w:ascii="Times New Roman" w:eastAsia="Times New Roman"/>
                <w:sz w:val="18"/>
              </w:rPr>
              <w:t>-10.19 </w:t>
            </w:r>
            <w:r>
              <w:rPr>
                <w:rFonts w:ascii="Times New Roman" w:eastAsia="Times New Roman"/>
                <w:i/>
                <w:sz w:val="18"/>
              </w:rPr>
              <w:t>vs </w:t>
            </w:r>
            <w:r>
              <w:rPr>
                <w:rFonts w:ascii="Times New Roman" w:eastAsia="Times New Roman"/>
                <w:sz w:val="18"/>
              </w:rPr>
              <w:t>-13.11</w:t>
            </w:r>
            <w:r>
              <w:rPr>
                <w:sz w:val="18"/>
              </w:rPr>
              <w:t>，</w:t>
            </w:r>
          </w:p>
          <w:p>
            <w:pPr>
              <w:pStyle w:val="TableParagraph"/>
              <w:spacing w:before="62"/>
              <w:ind w:left="95" w:right="78"/>
              <w:jc w:val="center"/>
              <w:rPr>
                <w:rFonts w:ascii="Times New Roman" w:eastAsia="Times New Roman"/>
                <w:sz w:val="18"/>
              </w:rPr>
            </w:pPr>
            <w:r>
              <w:rPr>
                <w:sz w:val="18"/>
              </w:rPr>
              <w:t>较对照组 </w:t>
            </w:r>
            <w:r>
              <w:rPr>
                <w:rFonts w:ascii="Times New Roman" w:eastAsia="Times New Roman"/>
                <w:sz w:val="18"/>
              </w:rPr>
              <w:t>76 </w:t>
            </w:r>
            <w:r>
              <w:rPr>
                <w:sz w:val="18"/>
              </w:rPr>
              <w:t>周减缓 </w:t>
            </w:r>
            <w:r>
              <w:rPr>
                <w:rFonts w:ascii="Times New Roman" w:eastAsia="Times New Roman"/>
                <w:sz w:val="18"/>
              </w:rPr>
              <w:t>22%</w:t>
            </w:r>
          </w:p>
        </w:tc>
      </w:tr>
      <w:tr>
        <w:trPr>
          <w:trHeight w:val="595" w:hRule="atLeast"/>
        </w:trPr>
        <w:tc>
          <w:tcPr>
            <w:tcW w:w="2133" w:type="dxa"/>
            <w:shd w:val="clear" w:color="auto" w:fill="D9D9D9"/>
          </w:tcPr>
          <w:p>
            <w:pPr>
              <w:pStyle w:val="TableParagraph"/>
              <w:spacing w:before="153"/>
              <w:ind w:left="107"/>
              <w:rPr>
                <w:sz w:val="18"/>
              </w:rPr>
            </w:pPr>
            <w:r>
              <w:rPr>
                <w:rFonts w:ascii="Times New Roman" w:eastAsia="Times New Roman"/>
                <w:sz w:val="18"/>
              </w:rPr>
              <w:t>ADAS-cog </w:t>
            </w:r>
            <w:r>
              <w:rPr>
                <w:sz w:val="18"/>
              </w:rPr>
              <w:t>较基线的改变</w:t>
            </w:r>
          </w:p>
        </w:tc>
        <w:tc>
          <w:tcPr>
            <w:tcW w:w="2505" w:type="dxa"/>
            <w:shd w:val="clear" w:color="auto" w:fill="D9D9D9"/>
          </w:tcPr>
          <w:p>
            <w:pPr>
              <w:pStyle w:val="TableParagraph"/>
              <w:spacing w:before="7"/>
              <w:ind w:left="106"/>
              <w:rPr>
                <w:sz w:val="18"/>
              </w:rPr>
            </w:pPr>
            <w:r>
              <w:rPr>
                <w:rFonts w:ascii="Times New Roman" w:eastAsia="Times New Roman"/>
                <w:sz w:val="18"/>
              </w:rPr>
              <w:t>4.14 </w:t>
            </w:r>
            <w:r>
              <w:rPr>
                <w:rFonts w:ascii="Times New Roman" w:eastAsia="Times New Roman"/>
                <w:i/>
                <w:sz w:val="18"/>
              </w:rPr>
              <w:t>vs </w:t>
            </w:r>
            <w:r>
              <w:rPr>
                <w:rFonts w:ascii="Times New Roman" w:eastAsia="Times New Roman"/>
                <w:sz w:val="18"/>
              </w:rPr>
              <w:t>5.58</w:t>
            </w:r>
            <w:r>
              <w:rPr>
                <w:sz w:val="18"/>
              </w:rPr>
              <w:t>，</w:t>
            </w:r>
          </w:p>
          <w:p>
            <w:pPr>
              <w:pStyle w:val="TableParagraph"/>
              <w:spacing w:before="62"/>
              <w:ind w:left="106"/>
              <w:rPr>
                <w:rFonts w:ascii="Times New Roman" w:eastAsia="Times New Roman"/>
                <w:sz w:val="18"/>
              </w:rPr>
            </w:pPr>
            <w:r>
              <w:rPr>
                <w:sz w:val="18"/>
              </w:rPr>
              <w:t>较对照组 </w:t>
            </w:r>
            <w:r>
              <w:rPr>
                <w:rFonts w:ascii="Times New Roman" w:eastAsia="Times New Roman"/>
                <w:sz w:val="18"/>
              </w:rPr>
              <w:t>18 </w:t>
            </w:r>
            <w:r>
              <w:rPr>
                <w:sz w:val="18"/>
              </w:rPr>
              <w:t>月减缓 </w:t>
            </w:r>
            <w:r>
              <w:rPr>
                <w:rFonts w:ascii="Times New Roman" w:eastAsia="Times New Roman"/>
                <w:sz w:val="18"/>
              </w:rPr>
              <w:t>26%</w:t>
            </w:r>
          </w:p>
        </w:tc>
        <w:tc>
          <w:tcPr>
            <w:tcW w:w="2317" w:type="dxa"/>
            <w:shd w:val="clear" w:color="auto" w:fill="D9D9D9"/>
          </w:tcPr>
          <w:p>
            <w:pPr>
              <w:pStyle w:val="TableParagraph"/>
              <w:spacing w:before="7"/>
              <w:ind w:left="123" w:right="91"/>
              <w:jc w:val="center"/>
              <w:rPr>
                <w:sz w:val="18"/>
              </w:rPr>
            </w:pPr>
            <w:r>
              <w:rPr>
                <w:rFonts w:ascii="Times New Roman" w:eastAsia="Times New Roman"/>
                <w:sz w:val="18"/>
              </w:rPr>
              <w:t>3.17 </w:t>
            </w:r>
            <w:r>
              <w:rPr>
                <w:rFonts w:ascii="Times New Roman" w:eastAsia="Times New Roman"/>
                <w:i/>
                <w:sz w:val="18"/>
              </w:rPr>
              <w:t>vs </w:t>
            </w:r>
            <w:r>
              <w:rPr>
                <w:rFonts w:ascii="Times New Roman" w:eastAsia="Times New Roman"/>
                <w:sz w:val="18"/>
              </w:rPr>
              <w:t>4.69</w:t>
            </w:r>
            <w:r>
              <w:rPr>
                <w:sz w:val="18"/>
              </w:rPr>
              <w:t>，</w:t>
            </w:r>
          </w:p>
          <w:p>
            <w:pPr>
              <w:pStyle w:val="TableParagraph"/>
              <w:spacing w:before="62"/>
              <w:ind w:left="122" w:right="91"/>
              <w:jc w:val="center"/>
              <w:rPr>
                <w:rFonts w:ascii="Times New Roman" w:eastAsia="Times New Roman"/>
                <w:sz w:val="18"/>
              </w:rPr>
            </w:pPr>
            <w:r>
              <w:rPr>
                <w:sz w:val="18"/>
              </w:rPr>
              <w:t>较对照组 </w:t>
            </w:r>
            <w:r>
              <w:rPr>
                <w:rFonts w:ascii="Times New Roman" w:eastAsia="Times New Roman"/>
                <w:sz w:val="18"/>
              </w:rPr>
              <w:t>18 </w:t>
            </w:r>
            <w:r>
              <w:rPr>
                <w:sz w:val="18"/>
              </w:rPr>
              <w:t>月减缓 </w:t>
            </w:r>
            <w:r>
              <w:rPr>
                <w:rFonts w:ascii="Times New Roman" w:eastAsia="Times New Roman"/>
                <w:sz w:val="18"/>
              </w:rPr>
              <w:t>32%</w:t>
            </w:r>
          </w:p>
        </w:tc>
        <w:tc>
          <w:tcPr>
            <w:tcW w:w="2345" w:type="dxa"/>
            <w:shd w:val="clear" w:color="auto" w:fill="D9D9D9"/>
          </w:tcPr>
          <w:p>
            <w:pPr>
              <w:pStyle w:val="TableParagraph"/>
              <w:spacing w:before="7"/>
              <w:ind w:left="95" w:right="78"/>
              <w:jc w:val="center"/>
              <w:rPr>
                <w:sz w:val="18"/>
              </w:rPr>
            </w:pPr>
            <w:r>
              <w:rPr>
                <w:rFonts w:ascii="Times New Roman" w:eastAsia="Times New Roman"/>
                <w:sz w:val="18"/>
              </w:rPr>
              <w:t>5.46 </w:t>
            </w:r>
            <w:r>
              <w:rPr>
                <w:rFonts w:ascii="Times New Roman" w:eastAsia="Times New Roman"/>
                <w:i/>
                <w:sz w:val="18"/>
              </w:rPr>
              <w:t>vs </w:t>
            </w:r>
            <w:r>
              <w:rPr>
                <w:rFonts w:ascii="Times New Roman" w:eastAsia="Times New Roman"/>
                <w:sz w:val="18"/>
              </w:rPr>
              <w:t>6.79</w:t>
            </w:r>
            <w:r>
              <w:rPr>
                <w:sz w:val="18"/>
              </w:rPr>
              <w:t>，</w:t>
            </w:r>
          </w:p>
          <w:p>
            <w:pPr>
              <w:pStyle w:val="TableParagraph"/>
              <w:spacing w:before="62"/>
              <w:ind w:left="96" w:right="78"/>
              <w:jc w:val="center"/>
              <w:rPr>
                <w:rFonts w:ascii="Times New Roman" w:eastAsia="Times New Roman"/>
                <w:sz w:val="18"/>
              </w:rPr>
            </w:pPr>
            <w:r>
              <w:rPr>
                <w:sz w:val="18"/>
              </w:rPr>
              <w:t>较对照组 </w:t>
            </w:r>
            <w:r>
              <w:rPr>
                <w:rFonts w:ascii="Times New Roman" w:eastAsia="Times New Roman"/>
                <w:sz w:val="18"/>
              </w:rPr>
              <w:t>76 </w:t>
            </w:r>
            <w:r>
              <w:rPr>
                <w:sz w:val="18"/>
              </w:rPr>
              <w:t>周减缓 </w:t>
            </w:r>
            <w:r>
              <w:rPr>
                <w:rFonts w:ascii="Times New Roman" w:eastAsia="Times New Roman"/>
                <w:sz w:val="18"/>
              </w:rPr>
              <w:t>19.5%</w:t>
            </w:r>
          </w:p>
        </w:tc>
      </w:tr>
      <w:tr>
        <w:trPr>
          <w:trHeight w:val="1176" w:hRule="atLeast"/>
        </w:trPr>
        <w:tc>
          <w:tcPr>
            <w:tcW w:w="2133" w:type="dxa"/>
            <w:shd w:val="clear" w:color="auto" w:fill="D9D9D9"/>
          </w:tcPr>
          <w:p>
            <w:pPr>
              <w:pStyle w:val="TableParagraph"/>
              <w:spacing w:line="302" w:lineRule="auto" w:before="7"/>
              <w:ind w:left="107" w:right="105"/>
              <w:jc w:val="both"/>
              <w:rPr>
                <w:sz w:val="18"/>
              </w:rPr>
            </w:pPr>
            <w:r>
              <w:rPr>
                <w:rFonts w:ascii="Times New Roman" w:eastAsia="Times New Roman"/>
                <w:sz w:val="18"/>
              </w:rPr>
              <w:t>PET </w:t>
            </w:r>
            <w:r>
              <w:rPr>
                <w:spacing w:val="6"/>
                <w:sz w:val="18"/>
              </w:rPr>
              <w:t>显示的淀粉样蛋白</w:t>
            </w:r>
            <w:r>
              <w:rPr>
                <w:spacing w:val="-9"/>
                <w:sz w:val="18"/>
              </w:rPr>
              <w:t>负荷 较 基 线 的 改 变</w:t>
            </w:r>
            <w:r>
              <w:rPr>
                <w:rFonts w:ascii="Times New Roman" w:eastAsia="Times New Roman"/>
                <w:spacing w:val="-9"/>
                <w:sz w:val="18"/>
              </w:rPr>
              <w:t>(centiloids)</w:t>
            </w:r>
            <w:r>
              <w:rPr>
                <w:spacing w:val="-9"/>
                <w:sz w:val="18"/>
              </w:rPr>
              <w:t>或淀粉样蛋白</w:t>
            </w:r>
          </w:p>
          <w:p>
            <w:pPr>
              <w:pStyle w:val="TableParagraph"/>
              <w:spacing w:before="5"/>
              <w:ind w:left="107"/>
              <w:rPr>
                <w:sz w:val="18"/>
              </w:rPr>
            </w:pPr>
            <w:r>
              <w:rPr>
                <w:sz w:val="18"/>
              </w:rPr>
              <w:t>清除</w:t>
            </w:r>
          </w:p>
        </w:tc>
        <w:tc>
          <w:tcPr>
            <w:tcW w:w="2505" w:type="dxa"/>
            <w:shd w:val="clear" w:color="auto" w:fill="D9D9D9"/>
          </w:tcPr>
          <w:p>
            <w:pPr>
              <w:pStyle w:val="TableParagraph"/>
              <w:spacing w:before="153"/>
              <w:ind w:left="106"/>
              <w:rPr>
                <w:rFonts w:ascii="Times New Roman" w:hAnsi="Times New Roman" w:eastAsia="Times New Roman"/>
                <w:sz w:val="18"/>
              </w:rPr>
            </w:pPr>
            <w:r>
              <w:rPr>
                <w:rFonts w:ascii="Times New Roman" w:hAnsi="Times New Roman" w:eastAsia="Times New Roman"/>
                <w:sz w:val="18"/>
              </w:rPr>
              <w:t>−55.48 vs 3.64</w:t>
            </w:r>
            <w:r>
              <w:rPr>
                <w:sz w:val="18"/>
              </w:rPr>
              <w:t>，较对照组 </w:t>
            </w:r>
            <w:r>
              <w:rPr>
                <w:rFonts w:ascii="Times New Roman" w:hAnsi="Times New Roman" w:eastAsia="Times New Roman"/>
                <w:sz w:val="18"/>
              </w:rPr>
              <w:t>18</w:t>
            </w:r>
          </w:p>
          <w:p>
            <w:pPr>
              <w:pStyle w:val="TableParagraph"/>
              <w:spacing w:line="304" w:lineRule="auto" w:before="60"/>
              <w:ind w:left="106" w:right="58"/>
              <w:rPr>
                <w:sz w:val="18"/>
              </w:rPr>
            </w:pPr>
            <w:r>
              <w:rPr>
                <w:sz w:val="18"/>
              </w:rPr>
              <w:t>月减少 </w:t>
            </w:r>
            <w:r>
              <w:rPr>
                <w:rFonts w:ascii="Times New Roman" w:eastAsia="Times New Roman"/>
                <w:sz w:val="18"/>
              </w:rPr>
              <w:t>59.12 centiloids</w:t>
            </w:r>
            <w:r>
              <w:rPr>
                <w:sz w:val="18"/>
              </w:rPr>
              <w:t>，低于阳性阈值</w:t>
            </w:r>
          </w:p>
        </w:tc>
        <w:tc>
          <w:tcPr>
            <w:tcW w:w="4662" w:type="dxa"/>
            <w:gridSpan w:val="2"/>
            <w:shd w:val="clear" w:color="auto" w:fill="D9D9D9"/>
          </w:tcPr>
          <w:p>
            <w:pPr>
              <w:pStyle w:val="TableParagraph"/>
              <w:rPr>
                <w:sz w:val="20"/>
              </w:rPr>
            </w:pPr>
          </w:p>
          <w:p>
            <w:pPr>
              <w:pStyle w:val="TableParagraph"/>
              <w:spacing w:before="8"/>
              <w:rPr>
                <w:sz w:val="14"/>
              </w:rPr>
            </w:pPr>
          </w:p>
          <w:p>
            <w:pPr>
              <w:pStyle w:val="TableParagraph"/>
              <w:ind w:left="1322"/>
              <w:rPr>
                <w:sz w:val="18"/>
              </w:rPr>
            </w:pPr>
            <w:r>
              <w:rPr>
                <w:sz w:val="18"/>
              </w:rPr>
              <w:t>清除率：</w:t>
            </w:r>
            <w:r>
              <w:rPr>
                <w:rFonts w:ascii="Times New Roman" w:eastAsia="Times New Roman"/>
                <w:sz w:val="18"/>
              </w:rPr>
              <w:t>84% </w:t>
            </w:r>
            <w:r>
              <w:rPr>
                <w:rFonts w:ascii="Times New Roman" w:eastAsia="Times New Roman"/>
                <w:i/>
                <w:sz w:val="18"/>
              </w:rPr>
              <w:t>vs </w:t>
            </w:r>
            <w:r>
              <w:rPr>
                <w:rFonts w:ascii="Times New Roman" w:eastAsia="Times New Roman"/>
                <w:sz w:val="18"/>
              </w:rPr>
              <w:t>1%, 18 </w:t>
            </w:r>
            <w:r>
              <w:rPr>
                <w:sz w:val="18"/>
              </w:rPr>
              <w:t>月</w:t>
            </w:r>
          </w:p>
        </w:tc>
      </w:tr>
      <w:tr>
        <w:trPr>
          <w:trHeight w:val="2339" w:hRule="atLeast"/>
        </w:trPr>
        <w:tc>
          <w:tcPr>
            <w:tcW w:w="2133" w:type="dxa"/>
            <w:tcBorders>
              <w:bottom w:val="single" w:sz="4" w:space="0" w:color="FFFFFF"/>
            </w:tcBorders>
            <w:shd w:val="clear" w:color="auto" w:fill="D9D9D9"/>
          </w:tcPr>
          <w:p>
            <w:pPr>
              <w:pStyle w:val="TableParagraph"/>
              <w:rPr>
                <w:sz w:val="18"/>
              </w:rPr>
            </w:pPr>
          </w:p>
          <w:p>
            <w:pPr>
              <w:pStyle w:val="TableParagraph"/>
              <w:rPr>
                <w:sz w:val="18"/>
              </w:rPr>
            </w:pPr>
          </w:p>
          <w:p>
            <w:pPr>
              <w:pStyle w:val="TableParagraph"/>
              <w:rPr>
                <w:sz w:val="18"/>
              </w:rPr>
            </w:pPr>
          </w:p>
          <w:p>
            <w:pPr>
              <w:pStyle w:val="TableParagraph"/>
              <w:spacing w:before="4"/>
              <w:rPr>
                <w:sz w:val="26"/>
              </w:rPr>
            </w:pPr>
          </w:p>
          <w:p>
            <w:pPr>
              <w:pStyle w:val="TableParagraph"/>
              <w:ind w:left="107"/>
              <w:rPr>
                <w:sz w:val="18"/>
              </w:rPr>
            </w:pPr>
            <w:r>
              <w:rPr>
                <w:sz w:val="18"/>
              </w:rPr>
              <w:t>亚组差异</w:t>
            </w:r>
          </w:p>
        </w:tc>
        <w:tc>
          <w:tcPr>
            <w:tcW w:w="2505" w:type="dxa"/>
            <w:tcBorders>
              <w:bottom w:val="single" w:sz="4" w:space="0" w:color="FFFFFF"/>
            </w:tcBorders>
            <w:shd w:val="clear" w:color="auto" w:fill="D9D9D9"/>
          </w:tcPr>
          <w:p>
            <w:pPr>
              <w:pStyle w:val="TableParagraph"/>
              <w:rPr>
                <w:sz w:val="18"/>
              </w:rPr>
            </w:pPr>
          </w:p>
          <w:p>
            <w:pPr>
              <w:pStyle w:val="TableParagraph"/>
              <w:rPr>
                <w:sz w:val="18"/>
              </w:rPr>
            </w:pPr>
          </w:p>
          <w:p>
            <w:pPr>
              <w:pStyle w:val="TableParagraph"/>
              <w:spacing w:before="6"/>
              <w:rPr>
                <w:sz w:val="21"/>
              </w:rPr>
            </w:pPr>
          </w:p>
          <w:p>
            <w:pPr>
              <w:pStyle w:val="TableParagraph"/>
              <w:spacing w:line="302" w:lineRule="auto"/>
              <w:ind w:left="106" w:right="214"/>
              <w:jc w:val="both"/>
              <w:rPr>
                <w:sz w:val="18"/>
              </w:rPr>
            </w:pPr>
            <w:r>
              <w:rPr>
                <w:spacing w:val="-23"/>
                <w:sz w:val="18"/>
              </w:rPr>
              <w:t>除 </w:t>
            </w:r>
            <w:r>
              <w:rPr>
                <w:rFonts w:ascii="Times New Roman" w:eastAsia="Times New Roman"/>
                <w:sz w:val="18"/>
              </w:rPr>
              <w:t>APOE </w:t>
            </w:r>
            <w:r>
              <w:rPr>
                <w:spacing w:val="-2"/>
                <w:sz w:val="18"/>
              </w:rPr>
              <w:t>纯合子显示更差的</w:t>
            </w:r>
            <w:r>
              <w:rPr>
                <w:rFonts w:ascii="Times New Roman" w:eastAsia="Times New Roman"/>
                <w:sz w:val="18"/>
              </w:rPr>
              <w:t>CDR-SB </w:t>
            </w:r>
            <w:r>
              <w:rPr>
                <w:sz w:val="18"/>
              </w:rPr>
              <w:t>结果外，无明显的亚组差异</w:t>
            </w:r>
          </w:p>
        </w:tc>
        <w:tc>
          <w:tcPr>
            <w:tcW w:w="4662" w:type="dxa"/>
            <w:gridSpan w:val="2"/>
            <w:tcBorders>
              <w:bottom w:val="single" w:sz="4" w:space="0" w:color="FFFFFF"/>
            </w:tcBorders>
            <w:shd w:val="clear" w:color="auto" w:fill="D9D9D9"/>
          </w:tcPr>
          <w:p>
            <w:pPr>
              <w:pStyle w:val="TableParagraph"/>
              <w:spacing w:line="304" w:lineRule="auto" w:before="7"/>
              <w:ind w:left="119" w:right="178"/>
              <w:rPr>
                <w:sz w:val="18"/>
              </w:rPr>
            </w:pPr>
            <w:r>
              <w:rPr>
                <w:rFonts w:ascii="Times New Roman" w:eastAsia="Times New Roman"/>
                <w:sz w:val="18"/>
              </w:rPr>
              <w:t>1</w:t>
            </w:r>
            <w:r>
              <w:rPr>
                <w:sz w:val="18"/>
              </w:rPr>
              <w:t>）</w:t>
            </w:r>
            <w:r>
              <w:rPr>
                <w:spacing w:val="-23"/>
                <w:sz w:val="18"/>
              </w:rPr>
              <w:t>在 </w:t>
            </w:r>
            <w:r>
              <w:rPr>
                <w:rFonts w:ascii="Times New Roman" w:eastAsia="Times New Roman"/>
                <w:sz w:val="18"/>
              </w:rPr>
              <w:t>MCI </w:t>
            </w:r>
            <w:r>
              <w:rPr>
                <w:sz w:val="18"/>
              </w:rPr>
              <w:t>患者中，</w:t>
            </w:r>
            <w:r>
              <w:rPr>
                <w:rFonts w:ascii="Times New Roman" w:eastAsia="Times New Roman"/>
                <w:sz w:val="18"/>
              </w:rPr>
              <w:t>Donanemab </w:t>
            </w:r>
            <w:r>
              <w:rPr>
                <w:spacing w:val="-23"/>
                <w:sz w:val="18"/>
              </w:rPr>
              <w:t>在 </w:t>
            </w:r>
            <w:r>
              <w:rPr>
                <w:rFonts w:ascii="Times New Roman" w:eastAsia="Times New Roman"/>
                <w:sz w:val="18"/>
              </w:rPr>
              <w:t>iADRS </w:t>
            </w:r>
            <w:r>
              <w:rPr>
                <w:sz w:val="18"/>
              </w:rPr>
              <w:t>上减缓了</w:t>
            </w:r>
            <w:r>
              <w:rPr>
                <w:rFonts w:ascii="Times New Roman" w:eastAsia="Times New Roman"/>
                <w:sz w:val="18"/>
              </w:rPr>
              <w:t>60%</w:t>
            </w:r>
            <w:r>
              <w:rPr>
                <w:sz w:val="18"/>
              </w:rPr>
              <w:t>，</w:t>
            </w:r>
            <w:r>
              <w:rPr>
                <w:rFonts w:ascii="Times New Roman" w:eastAsia="Times New Roman"/>
                <w:sz w:val="18"/>
              </w:rPr>
              <w:t>CDR-SB </w:t>
            </w:r>
            <w:r>
              <w:rPr>
                <w:spacing w:val="-12"/>
                <w:sz w:val="18"/>
              </w:rPr>
              <w:t>减缓了 </w:t>
            </w:r>
            <w:r>
              <w:rPr>
                <w:rFonts w:ascii="Times New Roman" w:eastAsia="Times New Roman"/>
                <w:sz w:val="18"/>
              </w:rPr>
              <w:t>46%</w:t>
            </w:r>
            <w:r>
              <w:rPr>
                <w:sz w:val="18"/>
              </w:rPr>
              <w:t>（</w:t>
            </w:r>
            <w:r>
              <w:rPr>
                <w:spacing w:val="-23"/>
                <w:sz w:val="18"/>
              </w:rPr>
              <w:t>因 </w:t>
            </w:r>
            <w:r>
              <w:rPr>
                <w:rFonts w:ascii="Times New Roman" w:eastAsia="Times New Roman"/>
                <w:sz w:val="18"/>
              </w:rPr>
              <w:t>AD </w:t>
            </w:r>
            <w:r>
              <w:rPr>
                <w:sz w:val="18"/>
              </w:rPr>
              <w:t>而轻度痴呆的患者给药后，</w:t>
            </w:r>
            <w:r>
              <w:rPr>
                <w:rFonts w:ascii="Times New Roman" w:eastAsia="Times New Roman"/>
                <w:sz w:val="18"/>
              </w:rPr>
              <w:t>iADRS </w:t>
            </w:r>
            <w:r>
              <w:rPr>
                <w:spacing w:val="-11"/>
                <w:sz w:val="18"/>
              </w:rPr>
              <w:t>减缓了 </w:t>
            </w:r>
            <w:r>
              <w:rPr>
                <w:rFonts w:ascii="Times New Roman" w:eastAsia="Times New Roman"/>
                <w:sz w:val="18"/>
              </w:rPr>
              <w:t>30%</w:t>
            </w:r>
            <w:r>
              <w:rPr>
                <w:sz w:val="18"/>
              </w:rPr>
              <w:t>，</w:t>
            </w:r>
            <w:r>
              <w:rPr>
                <w:rFonts w:ascii="Times New Roman" w:eastAsia="Times New Roman"/>
                <w:sz w:val="18"/>
              </w:rPr>
              <w:t>CDR-SB </w:t>
            </w:r>
            <w:r>
              <w:rPr>
                <w:spacing w:val="-11"/>
                <w:sz w:val="18"/>
              </w:rPr>
              <w:t>减缓了 </w:t>
            </w:r>
            <w:r>
              <w:rPr>
                <w:rFonts w:ascii="Times New Roman" w:eastAsia="Times New Roman"/>
                <w:spacing w:val="-4"/>
                <w:sz w:val="18"/>
              </w:rPr>
              <w:t>38%</w:t>
            </w:r>
            <w:r>
              <w:rPr>
                <w:spacing w:val="-4"/>
                <w:sz w:val="18"/>
              </w:rPr>
              <w:t>）； </w:t>
            </w:r>
            <w:r>
              <w:rPr>
                <w:rFonts w:ascii="Times New Roman" w:eastAsia="Times New Roman"/>
                <w:sz w:val="18"/>
              </w:rPr>
              <w:t>2</w:t>
            </w:r>
            <w:r>
              <w:rPr>
                <w:sz w:val="18"/>
              </w:rPr>
              <w:t>）</w:t>
            </w:r>
            <w:r>
              <w:rPr>
                <w:spacing w:val="-24"/>
                <w:sz w:val="18"/>
              </w:rPr>
              <w:t>在 </w:t>
            </w:r>
            <w:r>
              <w:rPr>
                <w:rFonts w:ascii="Times New Roman" w:eastAsia="Times New Roman"/>
                <w:sz w:val="18"/>
              </w:rPr>
              <w:t>75 </w:t>
            </w:r>
            <w:r>
              <w:rPr>
                <w:sz w:val="18"/>
              </w:rPr>
              <w:t>岁以下的参与者（</w:t>
            </w:r>
            <w:r>
              <w:rPr>
                <w:rFonts w:ascii="Times New Roman" w:eastAsia="Times New Roman"/>
                <w:sz w:val="18"/>
              </w:rPr>
              <w:t>n=542</w:t>
            </w:r>
            <w:r>
              <w:rPr>
                <w:sz w:val="18"/>
              </w:rPr>
              <w:t>）中，</w:t>
            </w:r>
            <w:r>
              <w:rPr>
                <w:rFonts w:ascii="Times New Roman" w:eastAsia="Times New Roman"/>
                <w:sz w:val="18"/>
              </w:rPr>
              <w:t>Donanemab </w:t>
            </w:r>
            <w:r>
              <w:rPr>
                <w:sz w:val="18"/>
              </w:rPr>
              <w:t>在</w:t>
            </w:r>
            <w:r>
              <w:rPr>
                <w:rFonts w:ascii="Times New Roman" w:eastAsia="Times New Roman"/>
                <w:sz w:val="18"/>
              </w:rPr>
              <w:t>iADRS </w:t>
            </w:r>
            <w:r>
              <w:rPr>
                <w:spacing w:val="-9"/>
                <w:sz w:val="18"/>
              </w:rPr>
              <w:t>上减缓了 </w:t>
            </w:r>
            <w:r>
              <w:rPr>
                <w:rFonts w:ascii="Times New Roman" w:eastAsia="Times New Roman"/>
                <w:sz w:val="18"/>
              </w:rPr>
              <w:t>48%</w:t>
            </w:r>
            <w:r>
              <w:rPr>
                <w:spacing w:val="-15"/>
                <w:sz w:val="18"/>
              </w:rPr>
              <w:t>，在 </w:t>
            </w:r>
            <w:r>
              <w:rPr>
                <w:rFonts w:ascii="Times New Roman" w:eastAsia="Times New Roman"/>
                <w:sz w:val="18"/>
              </w:rPr>
              <w:t>CDR-SB </w:t>
            </w:r>
            <w:r>
              <w:rPr>
                <w:spacing w:val="-10"/>
                <w:sz w:val="18"/>
              </w:rPr>
              <w:t>上减缓了 </w:t>
            </w:r>
            <w:r>
              <w:rPr>
                <w:rFonts w:ascii="Times New Roman" w:eastAsia="Times New Roman"/>
                <w:sz w:val="18"/>
              </w:rPr>
              <w:t>45%</w:t>
            </w:r>
            <w:r>
              <w:rPr>
                <w:sz w:val="18"/>
              </w:rPr>
              <w:t>；</w:t>
            </w:r>
          </w:p>
          <w:p>
            <w:pPr>
              <w:pStyle w:val="TableParagraph"/>
              <w:spacing w:line="225" w:lineRule="exact"/>
              <w:ind w:left="119"/>
              <w:rPr>
                <w:sz w:val="18"/>
              </w:rPr>
            </w:pPr>
            <w:r>
              <w:rPr>
                <w:sz w:val="18"/>
              </w:rPr>
              <w:t>在 </w:t>
            </w:r>
            <w:r>
              <w:rPr>
                <w:rFonts w:ascii="Times New Roman" w:eastAsia="Times New Roman"/>
                <w:sz w:val="18"/>
              </w:rPr>
              <w:t>75 </w:t>
            </w:r>
            <w:r>
              <w:rPr>
                <w:sz w:val="18"/>
              </w:rPr>
              <w:t>岁或以上（</w:t>
            </w:r>
            <w:r>
              <w:rPr>
                <w:rFonts w:ascii="Times New Roman" w:eastAsia="Times New Roman"/>
                <w:sz w:val="18"/>
              </w:rPr>
              <w:t>n = 551</w:t>
            </w:r>
            <w:r>
              <w:rPr>
                <w:sz w:val="18"/>
              </w:rPr>
              <w:t>）的参与者中，</w:t>
            </w:r>
            <w:r>
              <w:rPr>
                <w:rFonts w:ascii="Times New Roman" w:eastAsia="Times New Roman"/>
                <w:sz w:val="18"/>
              </w:rPr>
              <w:t>Donanemab </w:t>
            </w:r>
            <w:r>
              <w:rPr>
                <w:sz w:val="18"/>
              </w:rPr>
              <w:t>在</w:t>
            </w:r>
          </w:p>
          <w:p>
            <w:pPr>
              <w:pStyle w:val="TableParagraph"/>
              <w:spacing w:line="290" w:lineRule="atLeast" w:before="3"/>
              <w:ind w:left="119" w:right="493"/>
              <w:rPr>
                <w:sz w:val="18"/>
              </w:rPr>
            </w:pPr>
            <w:r>
              <w:rPr>
                <w:rFonts w:ascii="Times New Roman" w:eastAsia="Times New Roman"/>
                <w:sz w:val="18"/>
              </w:rPr>
              <w:t>iADRS </w:t>
            </w:r>
            <w:r>
              <w:rPr>
                <w:spacing w:val="-10"/>
                <w:sz w:val="18"/>
              </w:rPr>
              <w:t>上减缓了 </w:t>
            </w:r>
            <w:r>
              <w:rPr>
                <w:rFonts w:ascii="Times New Roman" w:eastAsia="Times New Roman"/>
                <w:sz w:val="18"/>
              </w:rPr>
              <w:t>25%</w:t>
            </w:r>
            <w:r>
              <w:rPr>
                <w:spacing w:val="-15"/>
                <w:sz w:val="18"/>
              </w:rPr>
              <w:t>，在 </w:t>
            </w:r>
            <w:r>
              <w:rPr>
                <w:rFonts w:ascii="Times New Roman" w:eastAsia="Times New Roman"/>
                <w:sz w:val="18"/>
              </w:rPr>
              <w:t>CDR-SB </w:t>
            </w:r>
            <w:r>
              <w:rPr>
                <w:spacing w:val="-9"/>
                <w:sz w:val="18"/>
              </w:rPr>
              <w:t>上减缓了 </w:t>
            </w:r>
            <w:r>
              <w:rPr>
                <w:rFonts w:ascii="Times New Roman" w:eastAsia="Times New Roman"/>
                <w:sz w:val="18"/>
              </w:rPr>
              <w:t>29%</w:t>
            </w:r>
            <w:r>
              <w:rPr>
                <w:spacing w:val="-12"/>
                <w:sz w:val="18"/>
              </w:rPr>
              <w:t>。</w:t>
            </w:r>
            <w:r>
              <w:rPr>
                <w:rFonts w:ascii="Times New Roman" w:eastAsia="Times New Roman"/>
                <w:sz w:val="18"/>
              </w:rPr>
              <w:t>3</w:t>
            </w:r>
            <w:r>
              <w:rPr>
                <w:sz w:val="18"/>
              </w:rPr>
              <w:t>）其他亚组的结果相似</w:t>
            </w:r>
          </w:p>
        </w:tc>
      </w:tr>
      <w:tr>
        <w:trPr>
          <w:trHeight w:val="881" w:hRule="atLeast"/>
        </w:trPr>
        <w:tc>
          <w:tcPr>
            <w:tcW w:w="2133" w:type="dxa"/>
            <w:tcBorders>
              <w:top w:val="single" w:sz="4" w:space="0" w:color="FFFFFF"/>
            </w:tcBorders>
            <w:shd w:val="clear" w:color="auto" w:fill="BEBEBE"/>
          </w:tcPr>
          <w:p>
            <w:pPr>
              <w:pStyle w:val="TableParagraph"/>
              <w:spacing w:before="2"/>
              <w:ind w:left="107"/>
              <w:rPr>
                <w:sz w:val="18"/>
              </w:rPr>
            </w:pPr>
            <w:r>
              <w:rPr>
                <w:rFonts w:ascii="Times New Roman" w:eastAsia="Times New Roman"/>
                <w:sz w:val="18"/>
              </w:rPr>
              <w:t>ARIA-E( </w:t>
            </w:r>
            <w:r>
              <w:rPr>
                <w:sz w:val="18"/>
              </w:rPr>
              <w:t>淀粉样蛋白相</w:t>
            </w:r>
          </w:p>
          <w:p>
            <w:pPr>
              <w:pStyle w:val="TableParagraph"/>
              <w:spacing w:line="290" w:lineRule="atLeast" w:before="3"/>
              <w:ind w:left="107" w:right="38"/>
              <w:rPr>
                <w:rFonts w:ascii="Times New Roman" w:eastAsia="Times New Roman"/>
                <w:sz w:val="18"/>
              </w:rPr>
            </w:pPr>
            <w:r>
              <w:rPr>
                <w:sz w:val="18"/>
              </w:rPr>
              <w:t>关成像异常，代表大脑血管肿胀</w:t>
            </w:r>
            <w:r>
              <w:rPr>
                <w:rFonts w:ascii="Times New Roman" w:eastAsia="Times New Roman"/>
                <w:sz w:val="18"/>
              </w:rPr>
              <w:t>)</w:t>
            </w:r>
          </w:p>
        </w:tc>
        <w:tc>
          <w:tcPr>
            <w:tcW w:w="2505" w:type="dxa"/>
            <w:tcBorders>
              <w:top w:val="single" w:sz="4" w:space="0" w:color="FFFFFF"/>
            </w:tcBorders>
            <w:shd w:val="clear" w:color="auto" w:fill="BEBEBE"/>
          </w:tcPr>
          <w:p>
            <w:pPr>
              <w:pStyle w:val="TableParagraph"/>
              <w:spacing w:before="1"/>
              <w:rPr>
                <w:sz w:val="24"/>
              </w:rPr>
            </w:pPr>
          </w:p>
          <w:p>
            <w:pPr>
              <w:pStyle w:val="TableParagraph"/>
              <w:ind w:left="106"/>
              <w:rPr>
                <w:rFonts w:ascii="Times New Roman"/>
                <w:sz w:val="18"/>
              </w:rPr>
            </w:pPr>
            <w:r>
              <w:rPr>
                <w:rFonts w:ascii="Times New Roman"/>
                <w:sz w:val="18"/>
              </w:rPr>
              <w:t>12.6% </w:t>
            </w:r>
            <w:r>
              <w:rPr>
                <w:rFonts w:ascii="Times New Roman"/>
                <w:i/>
                <w:sz w:val="18"/>
              </w:rPr>
              <w:t>vs </w:t>
            </w:r>
            <w:r>
              <w:rPr>
                <w:rFonts w:ascii="Times New Roman"/>
                <w:sz w:val="18"/>
              </w:rPr>
              <w:t>1.7%</w:t>
            </w:r>
          </w:p>
        </w:tc>
        <w:tc>
          <w:tcPr>
            <w:tcW w:w="2317" w:type="dxa"/>
            <w:tcBorders>
              <w:top w:val="single" w:sz="4" w:space="0" w:color="FFFFFF"/>
            </w:tcBorders>
            <w:shd w:val="clear" w:color="auto" w:fill="BEBEBE"/>
          </w:tcPr>
          <w:p>
            <w:pPr>
              <w:pStyle w:val="TableParagraph"/>
              <w:spacing w:before="1"/>
              <w:rPr>
                <w:sz w:val="24"/>
              </w:rPr>
            </w:pPr>
          </w:p>
          <w:p>
            <w:pPr>
              <w:pStyle w:val="TableParagraph"/>
              <w:ind w:right="-29"/>
              <w:jc w:val="right"/>
              <w:rPr>
                <w:rFonts w:ascii="Times New Roman"/>
                <w:i/>
                <w:sz w:val="18"/>
              </w:rPr>
            </w:pPr>
            <w:r>
              <w:rPr>
                <w:rFonts w:ascii="Times New Roman"/>
                <w:b/>
                <w:sz w:val="18"/>
              </w:rPr>
              <w:t>24% </w:t>
            </w:r>
            <w:r>
              <w:rPr>
                <w:rFonts w:ascii="Times New Roman"/>
                <w:i/>
                <w:sz w:val="18"/>
              </w:rPr>
              <w:t>v</w:t>
            </w:r>
          </w:p>
        </w:tc>
        <w:tc>
          <w:tcPr>
            <w:tcW w:w="2345" w:type="dxa"/>
            <w:tcBorders>
              <w:top w:val="single" w:sz="4" w:space="0" w:color="FFFFFF"/>
            </w:tcBorders>
            <w:shd w:val="clear" w:color="auto" w:fill="BEBEBE"/>
          </w:tcPr>
          <w:p>
            <w:pPr>
              <w:pStyle w:val="TableParagraph"/>
              <w:spacing w:before="1"/>
              <w:rPr>
                <w:sz w:val="24"/>
              </w:rPr>
            </w:pPr>
          </w:p>
          <w:p>
            <w:pPr>
              <w:pStyle w:val="TableParagraph"/>
              <w:ind w:left="18"/>
              <w:rPr>
                <w:rFonts w:ascii="Times New Roman"/>
                <w:sz w:val="18"/>
              </w:rPr>
            </w:pPr>
            <w:r>
              <w:rPr>
                <w:rFonts w:ascii="Times New Roman"/>
                <w:i/>
                <w:sz w:val="18"/>
              </w:rPr>
              <w:t>s </w:t>
            </w:r>
            <w:r>
              <w:rPr>
                <w:rFonts w:ascii="Times New Roman"/>
                <w:sz w:val="18"/>
              </w:rPr>
              <w:t>2.1%</w:t>
            </w:r>
          </w:p>
        </w:tc>
      </w:tr>
      <w:tr>
        <w:trPr>
          <w:trHeight w:val="302" w:hRule="atLeast"/>
        </w:trPr>
        <w:tc>
          <w:tcPr>
            <w:tcW w:w="2133" w:type="dxa"/>
            <w:shd w:val="clear" w:color="auto" w:fill="BEBEBE"/>
          </w:tcPr>
          <w:p>
            <w:pPr>
              <w:pStyle w:val="TableParagraph"/>
              <w:spacing w:before="7"/>
              <w:ind w:left="107"/>
              <w:rPr>
                <w:rFonts w:ascii="Times New Roman" w:eastAsia="Times New Roman"/>
                <w:sz w:val="18"/>
              </w:rPr>
            </w:pPr>
            <w:r>
              <w:rPr>
                <w:rFonts w:ascii="Times New Roman" w:eastAsia="Times New Roman"/>
                <w:sz w:val="18"/>
              </w:rPr>
              <w:t>ARIA-H(</w:t>
            </w:r>
            <w:r>
              <w:rPr>
                <w:sz w:val="18"/>
              </w:rPr>
              <w:t>微出血</w:t>
            </w:r>
            <w:r>
              <w:rPr>
                <w:rFonts w:ascii="Times New Roman" w:eastAsia="Times New Roman"/>
                <w:sz w:val="18"/>
              </w:rPr>
              <w:t>)</w:t>
            </w:r>
          </w:p>
        </w:tc>
        <w:tc>
          <w:tcPr>
            <w:tcW w:w="2505" w:type="dxa"/>
            <w:shd w:val="clear" w:color="auto" w:fill="BEBEBE"/>
          </w:tcPr>
          <w:p>
            <w:pPr>
              <w:pStyle w:val="TableParagraph"/>
              <w:spacing w:before="21"/>
              <w:ind w:left="106"/>
              <w:rPr>
                <w:rFonts w:ascii="Times New Roman"/>
                <w:sz w:val="18"/>
              </w:rPr>
            </w:pPr>
            <w:r>
              <w:rPr>
                <w:rFonts w:ascii="Times New Roman"/>
                <w:sz w:val="18"/>
              </w:rPr>
              <w:t>17.3% </w:t>
            </w:r>
            <w:r>
              <w:rPr>
                <w:rFonts w:ascii="Times New Roman"/>
                <w:i/>
                <w:sz w:val="18"/>
              </w:rPr>
              <w:t>vs </w:t>
            </w:r>
            <w:r>
              <w:rPr>
                <w:rFonts w:ascii="Times New Roman"/>
                <w:sz w:val="18"/>
              </w:rPr>
              <w:t>9.0%</w:t>
            </w:r>
          </w:p>
        </w:tc>
        <w:tc>
          <w:tcPr>
            <w:tcW w:w="2317" w:type="dxa"/>
            <w:shd w:val="clear" w:color="auto" w:fill="BEBEBE"/>
          </w:tcPr>
          <w:p>
            <w:pPr>
              <w:pStyle w:val="TableParagraph"/>
              <w:spacing w:before="21"/>
              <w:ind w:right="83"/>
              <w:jc w:val="right"/>
              <w:rPr>
                <w:rFonts w:ascii="Times New Roman"/>
                <w:b/>
                <w:sz w:val="18"/>
              </w:rPr>
            </w:pPr>
            <w:r>
              <w:rPr>
                <w:rFonts w:ascii="Times New Roman"/>
                <w:b/>
                <w:sz w:val="18"/>
              </w:rPr>
              <w:t>31.4%</w:t>
            </w:r>
          </w:p>
        </w:tc>
        <w:tc>
          <w:tcPr>
            <w:tcW w:w="2345" w:type="dxa"/>
            <w:shd w:val="clear" w:color="auto" w:fill="BEBEBE"/>
          </w:tcPr>
          <w:p>
            <w:pPr>
              <w:pStyle w:val="TableParagraph"/>
              <w:spacing w:before="21"/>
              <w:ind w:left="-40"/>
              <w:rPr>
                <w:rFonts w:ascii="Times New Roman"/>
                <w:sz w:val="18"/>
              </w:rPr>
            </w:pPr>
            <w:r>
              <w:rPr>
                <w:rFonts w:ascii="Times New Roman"/>
                <w:i/>
                <w:sz w:val="18"/>
              </w:rPr>
              <w:t>vs </w:t>
            </w:r>
            <w:r>
              <w:rPr>
                <w:rFonts w:ascii="Times New Roman"/>
                <w:sz w:val="18"/>
              </w:rPr>
              <w:t>13.6%</w:t>
            </w:r>
          </w:p>
        </w:tc>
      </w:tr>
      <w:tr>
        <w:trPr>
          <w:trHeight w:val="301" w:hRule="atLeast"/>
        </w:trPr>
        <w:tc>
          <w:tcPr>
            <w:tcW w:w="2133" w:type="dxa"/>
            <w:shd w:val="clear" w:color="auto" w:fill="BEBEBE"/>
          </w:tcPr>
          <w:p>
            <w:pPr>
              <w:pStyle w:val="TableParagraph"/>
              <w:spacing w:before="7"/>
              <w:ind w:left="107"/>
              <w:rPr>
                <w:sz w:val="18"/>
              </w:rPr>
            </w:pPr>
            <w:r>
              <w:rPr>
                <w:sz w:val="18"/>
              </w:rPr>
              <w:t>死亡人数</w:t>
            </w:r>
          </w:p>
        </w:tc>
        <w:tc>
          <w:tcPr>
            <w:tcW w:w="2505" w:type="dxa"/>
            <w:shd w:val="clear" w:color="auto" w:fill="BEBEBE"/>
          </w:tcPr>
          <w:p>
            <w:pPr>
              <w:pStyle w:val="TableParagraph"/>
              <w:spacing w:before="21"/>
              <w:ind w:left="106"/>
              <w:rPr>
                <w:rFonts w:ascii="Times New Roman"/>
                <w:sz w:val="18"/>
              </w:rPr>
            </w:pPr>
            <w:r>
              <w:rPr>
                <w:rFonts w:ascii="Times New Roman"/>
                <w:sz w:val="18"/>
              </w:rPr>
              <w:t>6 </w:t>
            </w:r>
            <w:r>
              <w:rPr>
                <w:rFonts w:ascii="Times New Roman"/>
                <w:i/>
                <w:sz w:val="18"/>
              </w:rPr>
              <w:t>vs </w:t>
            </w:r>
            <w:r>
              <w:rPr>
                <w:rFonts w:ascii="Times New Roman"/>
                <w:sz w:val="18"/>
              </w:rPr>
              <w:t>7</w:t>
            </w:r>
          </w:p>
        </w:tc>
        <w:tc>
          <w:tcPr>
            <w:tcW w:w="2317" w:type="dxa"/>
            <w:shd w:val="clear" w:color="auto" w:fill="BEBEBE"/>
          </w:tcPr>
          <w:p>
            <w:pPr>
              <w:pStyle w:val="TableParagraph"/>
              <w:spacing w:before="21"/>
              <w:ind w:right="-101"/>
              <w:jc w:val="right"/>
              <w:rPr>
                <w:rFonts w:ascii="Times New Roman"/>
                <w:i/>
                <w:sz w:val="18"/>
              </w:rPr>
            </w:pPr>
            <w:r>
              <w:rPr>
                <w:rFonts w:ascii="Times New Roman"/>
                <w:sz w:val="18"/>
              </w:rPr>
              <w:t>16 </w:t>
            </w:r>
            <w:r>
              <w:rPr>
                <w:rFonts w:ascii="Times New Roman"/>
                <w:i/>
                <w:sz w:val="18"/>
              </w:rPr>
              <w:t>vs</w:t>
            </w:r>
          </w:p>
        </w:tc>
        <w:tc>
          <w:tcPr>
            <w:tcW w:w="2345" w:type="dxa"/>
            <w:shd w:val="clear" w:color="auto" w:fill="BEBEBE"/>
          </w:tcPr>
          <w:p>
            <w:pPr>
              <w:pStyle w:val="TableParagraph"/>
              <w:spacing w:before="21"/>
              <w:ind w:left="138"/>
              <w:rPr>
                <w:rFonts w:ascii="Times New Roman"/>
                <w:sz w:val="18"/>
              </w:rPr>
            </w:pPr>
            <w:r>
              <w:rPr>
                <w:rFonts w:ascii="Times New Roman"/>
                <w:sz w:val="18"/>
              </w:rPr>
              <w:t>10</w:t>
            </w:r>
          </w:p>
        </w:tc>
      </w:tr>
      <w:tr>
        <w:trPr>
          <w:trHeight w:val="296" w:hRule="atLeast"/>
        </w:trPr>
        <w:tc>
          <w:tcPr>
            <w:tcW w:w="2133" w:type="dxa"/>
            <w:tcBorders>
              <w:bottom w:val="single" w:sz="4" w:space="0" w:color="000000"/>
            </w:tcBorders>
            <w:shd w:val="clear" w:color="auto" w:fill="BEBEBE"/>
          </w:tcPr>
          <w:p>
            <w:pPr>
              <w:pStyle w:val="TableParagraph"/>
              <w:spacing w:before="8"/>
              <w:ind w:left="107"/>
              <w:rPr>
                <w:sz w:val="18"/>
              </w:rPr>
            </w:pPr>
            <w:r>
              <w:rPr>
                <w:sz w:val="18"/>
              </w:rPr>
              <w:t>与治疗相关的死亡人数</w:t>
            </w:r>
          </w:p>
        </w:tc>
        <w:tc>
          <w:tcPr>
            <w:tcW w:w="2505" w:type="dxa"/>
            <w:tcBorders>
              <w:bottom w:val="single" w:sz="4" w:space="0" w:color="000000"/>
            </w:tcBorders>
            <w:shd w:val="clear" w:color="auto" w:fill="BEBEBE"/>
          </w:tcPr>
          <w:p>
            <w:pPr>
              <w:pStyle w:val="TableParagraph"/>
              <w:spacing w:before="8"/>
              <w:ind w:left="106"/>
              <w:rPr>
                <w:sz w:val="18"/>
              </w:rPr>
            </w:pPr>
            <w:r>
              <w:rPr>
                <w:sz w:val="18"/>
              </w:rPr>
              <w:t>研究者认为没有</w:t>
            </w:r>
          </w:p>
        </w:tc>
        <w:tc>
          <w:tcPr>
            <w:tcW w:w="2317" w:type="dxa"/>
            <w:tcBorders>
              <w:bottom w:val="single" w:sz="4" w:space="0" w:color="000000"/>
            </w:tcBorders>
            <w:shd w:val="clear" w:color="auto" w:fill="BEBEBE"/>
          </w:tcPr>
          <w:p>
            <w:pPr>
              <w:pStyle w:val="TableParagraph"/>
              <w:spacing w:before="20"/>
              <w:ind w:right="-101"/>
              <w:jc w:val="right"/>
              <w:rPr>
                <w:rFonts w:ascii="Times New Roman"/>
                <w:i/>
                <w:sz w:val="18"/>
              </w:rPr>
            </w:pPr>
            <w:r>
              <w:rPr>
                <w:rFonts w:ascii="Times New Roman"/>
                <w:b/>
                <w:sz w:val="18"/>
              </w:rPr>
              <w:t>3 </w:t>
            </w:r>
            <w:r>
              <w:rPr>
                <w:rFonts w:ascii="Times New Roman"/>
                <w:i/>
                <w:sz w:val="18"/>
              </w:rPr>
              <w:t>vs</w:t>
            </w:r>
          </w:p>
        </w:tc>
        <w:tc>
          <w:tcPr>
            <w:tcW w:w="2345" w:type="dxa"/>
            <w:tcBorders>
              <w:bottom w:val="single" w:sz="4" w:space="0" w:color="000000"/>
            </w:tcBorders>
            <w:shd w:val="clear" w:color="auto" w:fill="BEBEBE"/>
          </w:tcPr>
          <w:p>
            <w:pPr>
              <w:pStyle w:val="TableParagraph"/>
              <w:spacing w:before="20"/>
              <w:ind w:left="140"/>
              <w:rPr>
                <w:rFonts w:ascii="Times New Roman"/>
                <w:sz w:val="18"/>
              </w:rPr>
            </w:pPr>
            <w:r>
              <w:rPr>
                <w:rFonts w:ascii="Times New Roman"/>
                <w:sz w:val="18"/>
              </w:rPr>
              <w:t>1</w:t>
            </w:r>
          </w:p>
        </w:tc>
      </w:tr>
      <w:tr>
        <w:trPr>
          <w:trHeight w:val="267" w:hRule="atLeast"/>
        </w:trPr>
        <w:tc>
          <w:tcPr>
            <w:tcW w:w="9300" w:type="dxa"/>
            <w:gridSpan w:val="4"/>
            <w:tcBorders>
              <w:top w:val="single" w:sz="4" w:space="0" w:color="000000"/>
            </w:tcBorders>
          </w:tcPr>
          <w:p>
            <w:pPr>
              <w:pStyle w:val="TableParagraph"/>
              <w:spacing w:before="2"/>
              <w:ind w:left="107"/>
              <w:rPr>
                <w:sz w:val="18"/>
              </w:rPr>
            </w:pPr>
            <w:r>
              <w:rPr>
                <w:sz w:val="18"/>
              </w:rPr>
              <w:t>资料来源：</w:t>
            </w:r>
            <w:r>
              <w:rPr>
                <w:rFonts w:ascii="Times New Roman" w:eastAsia="Times New Roman"/>
                <w:sz w:val="18"/>
              </w:rPr>
              <w:t>N Engl J Med, 2023, 388(1):9-21</w:t>
            </w:r>
            <w:r>
              <w:rPr>
                <w:sz w:val="18"/>
              </w:rPr>
              <w:t>，</w:t>
            </w:r>
            <w:r>
              <w:rPr>
                <w:rFonts w:ascii="Times New Roman" w:eastAsia="Times New Roman"/>
                <w:sz w:val="18"/>
              </w:rPr>
              <w:t>JAMA. 2023 Jul 17;e2313239</w:t>
            </w:r>
            <w:r>
              <w:rPr>
                <w:sz w:val="18"/>
              </w:rPr>
              <w:t>，兴业证券经济与金融研究院整理</w:t>
            </w:r>
          </w:p>
        </w:tc>
      </w:tr>
      <w:tr>
        <w:trPr>
          <w:trHeight w:val="246" w:hRule="atLeast"/>
        </w:trPr>
        <w:tc>
          <w:tcPr>
            <w:tcW w:w="9300" w:type="dxa"/>
            <w:gridSpan w:val="4"/>
          </w:tcPr>
          <w:p>
            <w:pPr>
              <w:pStyle w:val="TableParagraph"/>
              <w:spacing w:line="199" w:lineRule="exact" w:before="27"/>
              <w:ind w:left="107"/>
              <w:rPr>
                <w:sz w:val="18"/>
              </w:rPr>
            </w:pPr>
            <w:r>
              <w:rPr>
                <w:sz w:val="18"/>
              </w:rPr>
              <w:t>注：此处 </w:t>
            </w:r>
            <w:r>
              <w:rPr>
                <w:rFonts w:ascii="Times New Roman" w:eastAsia="Times New Roman"/>
                <w:sz w:val="18"/>
              </w:rPr>
              <w:t>Donanemab </w:t>
            </w:r>
            <w:r>
              <w:rPr>
                <w:sz w:val="18"/>
              </w:rPr>
              <w:t>分析中，</w:t>
            </w:r>
            <w:r>
              <w:rPr>
                <w:rFonts w:ascii="Times New Roman" w:eastAsia="Times New Roman"/>
                <w:sz w:val="18"/>
              </w:rPr>
              <w:t>MMRM </w:t>
            </w:r>
            <w:r>
              <w:rPr>
                <w:sz w:val="18"/>
              </w:rPr>
              <w:t>模型仅用于评估 </w:t>
            </w:r>
            <w:r>
              <w:rPr>
                <w:rFonts w:ascii="Times New Roman" w:eastAsia="Times New Roman"/>
                <w:sz w:val="18"/>
              </w:rPr>
              <w:t>CDR-SB </w:t>
            </w:r>
            <w:r>
              <w:rPr>
                <w:sz w:val="18"/>
              </w:rPr>
              <w:t>指标，其他指标经 </w:t>
            </w:r>
            <w:r>
              <w:rPr>
                <w:rFonts w:ascii="Times New Roman" w:eastAsia="Times New Roman"/>
                <w:sz w:val="18"/>
              </w:rPr>
              <w:t>NCS2 </w:t>
            </w:r>
            <w:r>
              <w:rPr>
                <w:sz w:val="18"/>
              </w:rPr>
              <w:t>模型分析</w:t>
            </w:r>
          </w:p>
        </w:tc>
      </w:tr>
    </w:tbl>
    <w:p>
      <w:pPr>
        <w:pStyle w:val="BodyText"/>
        <w:spacing w:before="2"/>
        <w:rPr>
          <w:sz w:val="23"/>
        </w:rPr>
      </w:pPr>
    </w:p>
    <w:p>
      <w:pPr>
        <w:spacing w:line="340" w:lineRule="exact" w:before="16"/>
        <w:ind w:left="3163" w:right="726" w:firstLine="0"/>
        <w:jc w:val="both"/>
        <w:rPr>
          <w:rFonts w:ascii="Times New Roman" w:eastAsia="Times New Roman"/>
          <w:sz w:val="21"/>
        </w:rPr>
      </w:pPr>
      <w:r>
        <w:rPr>
          <w:rFonts w:ascii="Microsoft JhengHei" w:eastAsia="Microsoft JhengHei" w:hint="eastAsia"/>
          <w:b/>
          <w:spacing w:val="1"/>
          <w:sz w:val="21"/>
        </w:rPr>
        <w:t>新一代皮下注射制剂 </w:t>
      </w:r>
      <w:r>
        <w:rPr>
          <w:rFonts w:ascii="Times New Roman" w:eastAsia="Times New Roman"/>
          <w:b/>
          <w:spacing w:val="-8"/>
          <w:sz w:val="21"/>
        </w:rPr>
        <w:t>Remternetug</w:t>
      </w:r>
      <w:r>
        <w:rPr>
          <w:rFonts w:ascii="Microsoft JhengHei" w:eastAsia="Microsoft JhengHei" w:hint="eastAsia"/>
          <w:b/>
          <w:spacing w:val="-8"/>
          <w:sz w:val="21"/>
        </w:rPr>
        <w:t>（</w:t>
      </w:r>
      <w:r>
        <w:rPr>
          <w:rFonts w:ascii="Times New Roman" w:eastAsia="Times New Roman"/>
          <w:b/>
          <w:spacing w:val="-8"/>
          <w:sz w:val="21"/>
        </w:rPr>
        <w:t>LY3372993</w:t>
      </w:r>
      <w:r>
        <w:rPr>
          <w:rFonts w:ascii="Microsoft JhengHei" w:eastAsia="Microsoft JhengHei" w:hint="eastAsia"/>
          <w:b/>
          <w:spacing w:val="-8"/>
          <w:sz w:val="21"/>
        </w:rPr>
        <w:t>）</w:t>
      </w:r>
      <w:r>
        <w:rPr>
          <w:rFonts w:ascii="Microsoft JhengHei" w:eastAsia="Microsoft JhengHei" w:hint="eastAsia"/>
          <w:b/>
          <w:spacing w:val="1"/>
          <w:sz w:val="21"/>
        </w:rPr>
        <w:t>是礼来开发的另一款 </w:t>
      </w:r>
      <w:r>
        <w:rPr>
          <w:rFonts w:ascii="Times New Roman" w:eastAsia="Times New Roman"/>
          <w:b/>
          <w:sz w:val="21"/>
        </w:rPr>
        <w:t>AD</w:t>
      </w:r>
      <w:r>
        <w:rPr>
          <w:rFonts w:ascii="Times New Roman" w:eastAsia="Times New Roman"/>
          <w:b/>
          <w:spacing w:val="12"/>
          <w:sz w:val="21"/>
        </w:rPr>
        <w:t> </w:t>
      </w:r>
      <w:r>
        <w:rPr>
          <w:rFonts w:ascii="Microsoft JhengHei" w:eastAsia="Microsoft JhengHei" w:hint="eastAsia"/>
          <w:b/>
          <w:spacing w:val="-2"/>
          <w:sz w:val="21"/>
        </w:rPr>
        <w:t>药物， </w:t>
      </w:r>
      <w:r>
        <w:rPr>
          <w:rFonts w:ascii="Microsoft JhengHei" w:eastAsia="Microsoft JhengHei" w:hint="eastAsia"/>
          <w:b/>
          <w:spacing w:val="1"/>
          <w:sz w:val="21"/>
        </w:rPr>
        <w:t>为下一代 </w:t>
      </w:r>
      <w:r>
        <w:rPr>
          <w:rFonts w:ascii="Times New Roman" w:eastAsia="Times New Roman"/>
          <w:b/>
          <w:sz w:val="21"/>
        </w:rPr>
        <w:t>N3pG</w:t>
      </w:r>
      <w:r>
        <w:rPr>
          <w:rFonts w:ascii="Times New Roman" w:eastAsia="Times New Roman"/>
          <w:b/>
          <w:spacing w:val="12"/>
          <w:sz w:val="21"/>
        </w:rPr>
        <w:t> </w:t>
      </w:r>
      <w:r>
        <w:rPr>
          <w:rFonts w:ascii="Microsoft JhengHei" w:eastAsia="Microsoft JhengHei" w:hint="eastAsia"/>
          <w:b/>
          <w:spacing w:val="-1"/>
          <w:sz w:val="21"/>
        </w:rPr>
        <w:t>淀粉样蛋白抗体。</w:t>
      </w:r>
      <w:r>
        <w:rPr>
          <w:spacing w:val="-3"/>
          <w:sz w:val="21"/>
        </w:rPr>
        <w:t>该药物采用静脉注射、皮下给药等灵活给药方式。</w:t>
      </w:r>
      <w:r>
        <w:rPr>
          <w:rFonts w:ascii="Times New Roman" w:eastAsia="Times New Roman"/>
          <w:spacing w:val="-3"/>
          <w:sz w:val="21"/>
        </w:rPr>
        <w:t>2023</w:t>
      </w:r>
      <w:r>
        <w:rPr>
          <w:rFonts w:ascii="Times New Roman" w:eastAsia="Times New Roman"/>
          <w:spacing w:val="8"/>
          <w:sz w:val="21"/>
        </w:rPr>
        <w:t> </w:t>
      </w:r>
      <w:r>
        <w:rPr>
          <w:spacing w:val="-23"/>
          <w:sz w:val="21"/>
        </w:rPr>
        <w:t>年 </w:t>
      </w:r>
      <w:r>
        <w:rPr>
          <w:rFonts w:ascii="Times New Roman" w:eastAsia="Times New Roman"/>
          <w:sz w:val="21"/>
        </w:rPr>
        <w:t>1</w:t>
      </w:r>
      <w:r>
        <w:rPr>
          <w:rFonts w:ascii="Times New Roman" w:eastAsia="Times New Roman"/>
          <w:spacing w:val="4"/>
          <w:sz w:val="21"/>
        </w:rPr>
        <w:t> </w:t>
      </w:r>
      <w:r>
        <w:rPr>
          <w:sz w:val="21"/>
        </w:rPr>
        <w:t>月，</w:t>
      </w:r>
      <w:r>
        <w:rPr>
          <w:rFonts w:ascii="Times New Roman" w:eastAsia="Times New Roman"/>
          <w:sz w:val="21"/>
        </w:rPr>
        <w:t>Remternetug</w:t>
      </w:r>
      <w:r>
        <w:rPr>
          <w:rFonts w:ascii="Times New Roman" w:eastAsia="Times New Roman"/>
          <w:spacing w:val="8"/>
          <w:sz w:val="21"/>
        </w:rPr>
        <w:t> </w:t>
      </w:r>
      <w:r>
        <w:rPr>
          <w:spacing w:val="-3"/>
          <w:sz w:val="21"/>
        </w:rPr>
        <w:t>注射液在国内获批进入临床。</w:t>
      </w:r>
      <w:r>
        <w:rPr>
          <w:rFonts w:ascii="Times New Roman" w:eastAsia="Times New Roman"/>
          <w:sz w:val="21"/>
        </w:rPr>
        <w:t>4</w:t>
      </w:r>
      <w:r>
        <w:rPr>
          <w:rFonts w:ascii="Times New Roman" w:eastAsia="Times New Roman"/>
          <w:spacing w:val="5"/>
          <w:sz w:val="21"/>
        </w:rPr>
        <w:t> </w:t>
      </w:r>
      <w:r>
        <w:rPr>
          <w:spacing w:val="-11"/>
          <w:sz w:val="21"/>
        </w:rPr>
        <w:t>月，中国 </w:t>
      </w:r>
      <w:r>
        <w:rPr>
          <w:rFonts w:ascii="Times New Roman" w:eastAsia="Times New Roman"/>
          <w:sz w:val="21"/>
        </w:rPr>
        <w:t>CDE</w:t>
      </w:r>
      <w:r>
        <w:rPr>
          <w:rFonts w:ascii="Times New Roman" w:eastAsia="Times New Roman"/>
          <w:spacing w:val="6"/>
          <w:sz w:val="21"/>
        </w:rPr>
        <w:t> </w:t>
      </w:r>
      <w:r>
        <w:rPr>
          <w:sz w:val="21"/>
        </w:rPr>
        <w:t>授</w:t>
      </w:r>
      <w:r>
        <w:rPr>
          <w:spacing w:val="-8"/>
          <w:sz w:val="21"/>
        </w:rPr>
        <w:t>予 </w:t>
      </w:r>
      <w:r>
        <w:rPr>
          <w:rFonts w:ascii="Times New Roman" w:eastAsia="Times New Roman"/>
          <w:sz w:val="21"/>
        </w:rPr>
        <w:t>Remternetug</w:t>
      </w:r>
      <w:r>
        <w:rPr>
          <w:rFonts w:ascii="Times New Roman" w:eastAsia="Times New Roman"/>
          <w:spacing w:val="37"/>
          <w:sz w:val="21"/>
        </w:rPr>
        <w:t> </w:t>
      </w:r>
      <w:r>
        <w:rPr>
          <w:spacing w:val="-3"/>
          <w:sz w:val="21"/>
        </w:rPr>
        <w:t>注射液治疗阿尔茨海默病的突破性疗法认定。目前，</w:t>
      </w:r>
      <w:r>
        <w:rPr>
          <w:rFonts w:ascii="Times New Roman" w:eastAsia="Times New Roman"/>
          <w:sz w:val="21"/>
        </w:rPr>
        <w:t>Remternetug</w:t>
      </w:r>
    </w:p>
    <w:p>
      <w:pPr>
        <w:pStyle w:val="BodyText"/>
        <w:spacing w:before="66"/>
        <w:ind w:left="3163"/>
        <w:jc w:val="both"/>
      </w:pPr>
      <w:r>
        <w:rPr>
          <w:spacing w:val="-7"/>
        </w:rPr>
        <w:t>正在开展一项 </w:t>
      </w:r>
      <w:r>
        <w:rPr>
          <w:rFonts w:ascii="Times New Roman" w:eastAsia="Times New Roman"/>
        </w:rPr>
        <w:t>3</w:t>
      </w:r>
      <w:r>
        <w:rPr>
          <w:rFonts w:ascii="Times New Roman" w:eastAsia="Times New Roman"/>
          <w:spacing w:val="18"/>
        </w:rPr>
        <w:t> </w:t>
      </w:r>
      <w:r>
        <w:rPr>
          <w:spacing w:val="-5"/>
        </w:rPr>
        <w:t>期临床试验，旨在评估该药物对早期症状性 </w:t>
      </w:r>
      <w:r>
        <w:rPr>
          <w:rFonts w:ascii="Times New Roman" w:eastAsia="Times New Roman"/>
        </w:rPr>
        <w:t>AD</w:t>
      </w:r>
      <w:r>
        <w:rPr>
          <w:rFonts w:ascii="Times New Roman" w:eastAsia="Times New Roman"/>
          <w:spacing w:val="16"/>
        </w:rPr>
        <w:t> </w:t>
      </w:r>
      <w:r>
        <w:rPr>
          <w:spacing w:val="-3"/>
        </w:rPr>
        <w:t>患者的安全性和</w:t>
      </w:r>
    </w:p>
    <w:p>
      <w:pPr>
        <w:spacing w:after="0"/>
        <w:jc w:val="both"/>
        <w:sectPr>
          <w:pgSz w:w="11910" w:h="16840"/>
          <w:pgMar w:header="868" w:footer="1201" w:top="1400" w:bottom="1400" w:left="240" w:right="400"/>
        </w:sectPr>
      </w:pPr>
    </w:p>
    <w:p>
      <w:pPr>
        <w:pStyle w:val="BodyText"/>
        <w:spacing w:before="4"/>
        <w:rPr>
          <w:sz w:val="13"/>
        </w:rPr>
      </w:pPr>
    </w:p>
    <w:p>
      <w:pPr>
        <w:pStyle w:val="BodyText"/>
        <w:spacing w:line="20" w:lineRule="exact"/>
        <w:ind w:left="614"/>
        <w:rPr>
          <w:sz w:val="2"/>
        </w:rPr>
      </w:pPr>
      <w:r>
        <w:rPr>
          <w:sz w:val="2"/>
        </w:rPr>
        <w:pict>
          <v:group style="width:508.1pt;height:.75pt;mso-position-horizontal-relative:char;mso-position-vertical-relative:line" coordorigin="0,0" coordsize="10162,15">
            <v:rect style="position:absolute;left:0;top:0;width:10162;height:15" filled="true" fillcolor="#333366" stroked="false">
              <v:fill type="solid"/>
            </v:rect>
          </v:group>
        </w:pict>
      </w:r>
      <w:r>
        <w:rPr>
          <w:sz w:val="2"/>
        </w:rPr>
      </w:r>
    </w:p>
    <w:p>
      <w:pPr>
        <w:pStyle w:val="BodyText"/>
        <w:spacing w:line="267" w:lineRule="exact"/>
        <w:ind w:left="3163"/>
        <w:jc w:val="both"/>
      </w:pPr>
      <w:r>
        <w:rPr/>
        <w:t>疗效，试验预计于 </w:t>
      </w:r>
      <w:r>
        <w:rPr>
          <w:rFonts w:ascii="Times New Roman" w:eastAsia="Times New Roman"/>
        </w:rPr>
        <w:t>2025 </w:t>
      </w:r>
      <w:r>
        <w:rPr/>
        <w:t>年 </w:t>
      </w:r>
      <w:r>
        <w:rPr>
          <w:rFonts w:ascii="Times New Roman" w:eastAsia="Times New Roman"/>
        </w:rPr>
        <w:t>3 </w:t>
      </w:r>
      <w:r>
        <w:rPr/>
        <w:t>月完成。根据此前礼来公布的 </w:t>
      </w:r>
      <w:r>
        <w:rPr>
          <w:rFonts w:ascii="Times New Roman" w:eastAsia="Times New Roman"/>
        </w:rPr>
        <w:t>1 </w:t>
      </w:r>
      <w:r>
        <w:rPr/>
        <w:t>期 </w:t>
      </w:r>
      <w:r>
        <w:rPr>
          <w:rFonts w:ascii="Times New Roman" w:eastAsia="Times New Roman"/>
        </w:rPr>
        <w:t>J1G-MC-LAKB </w:t>
      </w:r>
      <w:r>
        <w:rPr/>
        <w:t>临</w:t>
      </w:r>
    </w:p>
    <w:p>
      <w:pPr>
        <w:pStyle w:val="BodyText"/>
        <w:spacing w:line="304" w:lineRule="auto" w:before="71"/>
        <w:ind w:left="3163" w:right="723"/>
        <w:jc w:val="both"/>
      </w:pPr>
      <w:r>
        <w:rPr>
          <w:spacing w:val="-14"/>
        </w:rPr>
        <w:t>床中期分析试验数据，在 </w:t>
      </w:r>
      <w:r>
        <w:rPr>
          <w:rFonts w:ascii="Times New Roman" w:eastAsia="Times New Roman"/>
        </w:rPr>
        <w:t>41 </w:t>
      </w:r>
      <w:r>
        <w:rPr>
          <w:spacing w:val="-3"/>
        </w:rPr>
        <w:t>名有轻度认知障碍或轻中度阿尔茨海默病痴呆的受试</w:t>
      </w:r>
      <w:r>
        <w:rPr>
          <w:spacing w:val="1"/>
        </w:rPr>
        <w:t>者中， </w:t>
      </w:r>
      <w:r>
        <w:rPr>
          <w:rFonts w:ascii="Times New Roman" w:eastAsia="Times New Roman"/>
        </w:rPr>
        <w:t>Remternetug </w:t>
      </w:r>
      <w:r>
        <w:rPr>
          <w:spacing w:val="-3"/>
        </w:rPr>
        <w:t>产生了快速强大的斑块清除效果。所有给药组中均观察到淀</w:t>
      </w:r>
      <w:r>
        <w:rPr>
          <w:spacing w:val="-6"/>
        </w:rPr>
        <w:t>粉样蛋白呈剂量依赖性降低，第 </w:t>
      </w:r>
      <w:r>
        <w:rPr>
          <w:rFonts w:ascii="Times New Roman" w:eastAsia="Times New Roman"/>
        </w:rPr>
        <w:t>169 </w:t>
      </w:r>
      <w:r>
        <w:rPr>
          <w:spacing w:val="-9"/>
        </w:rPr>
        <w:t>天时接受治疗的 </w:t>
      </w:r>
      <w:r>
        <w:rPr>
          <w:rFonts w:ascii="Times New Roman" w:eastAsia="Times New Roman"/>
        </w:rPr>
        <w:t>24 </w:t>
      </w:r>
      <w:r>
        <w:rPr>
          <w:spacing w:val="-10"/>
        </w:rPr>
        <w:t>例患者中有 </w:t>
      </w:r>
      <w:r>
        <w:rPr>
          <w:rFonts w:ascii="Times New Roman" w:eastAsia="Times New Roman"/>
        </w:rPr>
        <w:t>18 </w:t>
      </w:r>
      <w:r>
        <w:rPr>
          <w:spacing w:val="-2"/>
        </w:rPr>
        <w:t>例达到淀</w:t>
      </w:r>
      <w:r>
        <w:rPr>
          <w:spacing w:val="-3"/>
        </w:rPr>
        <w:t>粉样蛋白清除。</w:t>
      </w:r>
    </w:p>
    <w:p>
      <w:pPr>
        <w:pStyle w:val="BodyText"/>
        <w:spacing w:before="9"/>
        <w:rPr>
          <w:sz w:val="17"/>
        </w:rPr>
      </w:pPr>
    </w:p>
    <w:p>
      <w:pPr>
        <w:pStyle w:val="Heading3"/>
        <w:spacing w:before="1"/>
        <w:ind w:left="3163"/>
      </w:pPr>
      <w:r>
        <w:rPr>
          <w:rFonts w:ascii="Times New Roman" w:eastAsia="Times New Roman"/>
        </w:rPr>
        <w:t>4</w:t>
      </w:r>
      <w:r>
        <w:rPr/>
        <w:t>）</w:t>
      </w:r>
      <w:r>
        <w:rPr>
          <w:rFonts w:ascii="Times New Roman" w:eastAsia="Times New Roman"/>
        </w:rPr>
        <w:t>Galectin-3 </w:t>
      </w:r>
      <w:r>
        <w:rPr/>
        <w:t>抑制剂</w:t>
      </w:r>
    </w:p>
    <w:p>
      <w:pPr>
        <w:pStyle w:val="BodyText"/>
        <w:spacing w:line="304" w:lineRule="auto" w:before="24"/>
        <w:ind w:left="3163" w:right="723"/>
        <w:jc w:val="both"/>
      </w:pPr>
      <w:r>
        <w:rPr>
          <w:spacing w:val="-3"/>
        </w:rPr>
        <w:t>蛋白质半乳糖凝集素</w:t>
      </w:r>
      <w:r>
        <w:rPr>
          <w:rFonts w:ascii="Times New Roman" w:hAnsi="Times New Roman" w:eastAsia="Times New Roman"/>
        </w:rPr>
        <w:t>-3</w:t>
      </w:r>
      <w:r>
        <w:rPr/>
        <w:t>（</w:t>
      </w:r>
      <w:r>
        <w:rPr>
          <w:rFonts w:ascii="Times New Roman" w:hAnsi="Times New Roman" w:eastAsia="Times New Roman"/>
        </w:rPr>
        <w:t>Gal-3</w:t>
      </w:r>
      <w:r>
        <w:rPr/>
        <w:t>）</w:t>
      </w:r>
      <w:r>
        <w:rPr>
          <w:spacing w:val="-3"/>
        </w:rPr>
        <w:t>在阿尔茨海默病患者的大脑中含量异常高，其与</w:t>
      </w:r>
      <w:r>
        <w:rPr>
          <w:rFonts w:ascii="Times New Roman" w:hAnsi="Times New Roman" w:eastAsia="Times New Roman"/>
          <w:spacing w:val="-3"/>
        </w:rPr>
        <w:t>A</w:t>
      </w:r>
      <w:r>
        <w:rPr>
          <w:spacing w:val="-3"/>
        </w:rPr>
        <w:t>β</w:t>
      </w:r>
      <w:r>
        <w:rPr>
          <w:spacing w:val="-14"/>
        </w:rPr>
        <w:t>结合并充当胶水，导致有毒斑块形成，之后斑块沉积在神经元上，阻断神经元</w:t>
      </w:r>
      <w:r>
        <w:rPr>
          <w:spacing w:val="-7"/>
        </w:rPr>
        <w:t>之间的通信信号，导致阿尔茨海默病患者的认知缺陷症状。</w:t>
      </w:r>
      <w:r>
        <w:rPr>
          <w:rFonts w:ascii="Times New Roman" w:hAnsi="Times New Roman" w:eastAsia="Times New Roman"/>
        </w:rPr>
        <w:t>TB006</w:t>
      </w:r>
      <w:r>
        <w:rPr>
          <w:rFonts w:ascii="Times New Roman" w:hAnsi="Times New Roman" w:eastAsia="Times New Roman"/>
          <w:spacing w:val="17"/>
        </w:rPr>
        <w:t> </w:t>
      </w:r>
      <w:r>
        <w:rPr>
          <w:spacing w:val="-10"/>
        </w:rPr>
        <w:t>作为靶向 </w:t>
      </w:r>
      <w:r>
        <w:rPr>
          <w:rFonts w:ascii="Times New Roman" w:hAnsi="Times New Roman" w:eastAsia="Times New Roman"/>
        </w:rPr>
        <w:t>Gal- 3</w:t>
      </w:r>
      <w:r>
        <w:rPr>
          <w:rFonts w:ascii="Times New Roman" w:hAnsi="Times New Roman" w:eastAsia="Times New Roman"/>
          <w:spacing w:val="5"/>
        </w:rPr>
        <w:t> </w:t>
      </w:r>
      <w:r>
        <w:rPr>
          <w:spacing w:val="-10"/>
        </w:rPr>
        <w:t>的单抗药物，可以通过与 </w:t>
      </w:r>
      <w:r>
        <w:rPr>
          <w:rFonts w:ascii="Times New Roman" w:hAnsi="Times New Roman" w:eastAsia="Times New Roman"/>
        </w:rPr>
        <w:t>Gal-3</w:t>
      </w:r>
      <w:r>
        <w:rPr>
          <w:rFonts w:ascii="Times New Roman" w:hAnsi="Times New Roman" w:eastAsia="Times New Roman"/>
          <w:spacing w:val="6"/>
        </w:rPr>
        <w:t> </w:t>
      </w:r>
      <w:r>
        <w:rPr>
          <w:spacing w:val="-12"/>
        </w:rPr>
        <w:t>结合，可防止 </w:t>
      </w:r>
      <w:r>
        <w:rPr>
          <w:rFonts w:ascii="Times New Roman" w:hAnsi="Times New Roman" w:eastAsia="Times New Roman"/>
        </w:rPr>
        <w:t>Gal-3</w:t>
      </w:r>
      <w:r>
        <w:rPr>
          <w:rFonts w:ascii="Times New Roman" w:hAnsi="Times New Roman" w:eastAsia="Times New Roman"/>
          <w:spacing w:val="6"/>
        </w:rPr>
        <w:t> </w:t>
      </w:r>
      <w:r>
        <w:rPr>
          <w:spacing w:val="-6"/>
        </w:rPr>
        <w:t>充当胶水，减少和溶解大脑</w:t>
      </w:r>
      <w:r>
        <w:rPr>
          <w:spacing w:val="8"/>
        </w:rPr>
        <w:t>中有毒的</w:t>
      </w:r>
      <w:r>
        <w:rPr>
          <w:rFonts w:ascii="Times New Roman" w:hAnsi="Times New Roman" w:eastAsia="Times New Roman"/>
        </w:rPr>
        <w:t>Aβ</w:t>
      </w:r>
      <w:r>
        <w:rPr>
          <w:rFonts w:ascii="Times New Roman" w:hAnsi="Times New Roman" w:eastAsia="Times New Roman"/>
          <w:spacing w:val="3"/>
        </w:rPr>
        <w:t> </w:t>
      </w:r>
      <w:r>
        <w:rPr>
          <w:spacing w:val="-3"/>
        </w:rPr>
        <w:t>斑块，又不伤及其它细胞，让被“干扰”的神经元恢复功能。</w:t>
      </w:r>
    </w:p>
    <w:p>
      <w:pPr>
        <w:pStyle w:val="BodyText"/>
        <w:spacing w:before="1"/>
        <w:rPr>
          <w:sz w:val="23"/>
        </w:rPr>
      </w:pPr>
    </w:p>
    <w:p>
      <w:pPr>
        <w:pStyle w:val="BodyText"/>
        <w:spacing w:line="304" w:lineRule="auto"/>
        <w:ind w:left="3163" w:right="620"/>
      </w:pPr>
      <w:r>
        <w:rPr>
          <w:rFonts w:ascii="Times New Roman" w:hAnsi="Times New Roman" w:eastAsia="Times New Roman"/>
        </w:rPr>
        <w:t>2022</w:t>
      </w:r>
      <w:r>
        <w:rPr>
          <w:rFonts w:ascii="Times New Roman" w:hAnsi="Times New Roman" w:eastAsia="Times New Roman"/>
          <w:spacing w:val="11"/>
        </w:rPr>
        <w:t> </w:t>
      </w:r>
      <w:r>
        <w:rPr>
          <w:spacing w:val="-21"/>
        </w:rPr>
        <w:t>年 </w:t>
      </w:r>
      <w:r>
        <w:rPr>
          <w:rFonts w:ascii="Times New Roman" w:hAnsi="Times New Roman" w:eastAsia="Times New Roman"/>
          <w:spacing w:val="-4"/>
        </w:rPr>
        <w:t>11</w:t>
      </w:r>
      <w:r>
        <w:rPr>
          <w:rFonts w:ascii="Times New Roman" w:hAnsi="Times New Roman" w:eastAsia="Times New Roman"/>
          <w:spacing w:val="8"/>
        </w:rPr>
        <w:t> </w:t>
      </w:r>
      <w:r>
        <w:rPr>
          <w:spacing w:val="-21"/>
        </w:rPr>
        <w:t>月 </w:t>
      </w:r>
      <w:r>
        <w:rPr>
          <w:rFonts w:ascii="Times New Roman" w:hAnsi="Times New Roman" w:eastAsia="Times New Roman"/>
        </w:rPr>
        <w:t>18</w:t>
      </w:r>
      <w:r>
        <w:rPr>
          <w:rFonts w:ascii="Times New Roman" w:hAnsi="Times New Roman" w:eastAsia="Times New Roman"/>
          <w:spacing w:val="11"/>
        </w:rPr>
        <w:t> </w:t>
      </w:r>
      <w:r>
        <w:rPr>
          <w:spacing w:val="-2"/>
        </w:rPr>
        <w:t>日，</w:t>
      </w:r>
      <w:r>
        <w:rPr>
          <w:rFonts w:ascii="Times New Roman" w:hAnsi="Times New Roman" w:eastAsia="Times New Roman"/>
        </w:rPr>
        <w:t>TrueBingding</w:t>
      </w:r>
      <w:r>
        <w:rPr>
          <w:rFonts w:ascii="Times New Roman" w:hAnsi="Times New Roman" w:eastAsia="Times New Roman"/>
          <w:spacing w:val="11"/>
        </w:rPr>
        <w:t> </w:t>
      </w:r>
      <w:r>
        <w:rPr>
          <w:spacing w:val="-9"/>
        </w:rPr>
        <w:t>宣布，其自研的 </w:t>
      </w:r>
      <w:r>
        <w:rPr>
          <w:rFonts w:ascii="Times New Roman" w:hAnsi="Times New Roman" w:eastAsia="Times New Roman"/>
        </w:rPr>
        <w:t>TB006</w:t>
      </w:r>
      <w:r>
        <w:rPr>
          <w:rFonts w:ascii="Times New Roman" w:hAnsi="Times New Roman" w:eastAsia="Times New Roman"/>
          <w:spacing w:val="11"/>
        </w:rPr>
        <w:t> </w:t>
      </w:r>
      <w:r>
        <w:rPr>
          <w:spacing w:val="-21"/>
        </w:rPr>
        <w:t>的 </w:t>
      </w:r>
      <w:r>
        <w:rPr>
          <w:rFonts w:ascii="Times New Roman" w:hAnsi="Times New Roman" w:eastAsia="Times New Roman"/>
        </w:rPr>
        <w:t>Ib/II</w:t>
      </w:r>
      <w:r>
        <w:rPr>
          <w:rFonts w:ascii="Times New Roman" w:hAnsi="Times New Roman" w:eastAsia="Times New Roman"/>
          <w:spacing w:val="9"/>
        </w:rPr>
        <w:t> </w:t>
      </w:r>
      <w:r>
        <w:rPr>
          <w:spacing w:val="-3"/>
        </w:rPr>
        <w:t>期概念性验证</w:t>
      </w:r>
      <w:r>
        <w:rPr>
          <w:spacing w:val="-5"/>
        </w:rPr>
        <w:t>试验达到主要终点，用于治疗轻度至重度 </w:t>
      </w:r>
      <w:r>
        <w:rPr>
          <w:rFonts w:ascii="Times New Roman" w:hAnsi="Times New Roman" w:eastAsia="Times New Roman"/>
        </w:rPr>
        <w:t>AD</w:t>
      </w:r>
      <w:r>
        <w:rPr>
          <w:rFonts w:ascii="Times New Roman" w:hAnsi="Times New Roman" w:eastAsia="Times New Roman"/>
          <w:spacing w:val="24"/>
        </w:rPr>
        <w:t> </w:t>
      </w:r>
      <w:r>
        <w:rPr>
          <w:spacing w:val="-2"/>
        </w:rPr>
        <w:t>患者</w:t>
      </w:r>
      <w:r>
        <w:rPr/>
        <w:t>（</w:t>
      </w:r>
      <w:r>
        <w:rPr>
          <w:rFonts w:ascii="Times New Roman" w:hAnsi="Times New Roman" w:eastAsia="Times New Roman"/>
        </w:rPr>
        <w:t>MMSE</w:t>
      </w:r>
      <w:r>
        <w:rPr>
          <w:rFonts w:ascii="Times New Roman" w:hAnsi="Times New Roman" w:eastAsia="Times New Roman"/>
          <w:spacing w:val="26"/>
        </w:rPr>
        <w:t> </w:t>
      </w:r>
      <w:r>
        <w:rPr>
          <w:spacing w:val="-8"/>
        </w:rPr>
        <w:t>基线评分为 </w:t>
      </w:r>
      <w:r>
        <w:rPr>
          <w:rFonts w:ascii="Times New Roman" w:hAnsi="Times New Roman" w:eastAsia="Times New Roman"/>
        </w:rPr>
        <w:t>2-24</w:t>
      </w:r>
      <w:r>
        <w:rPr/>
        <w:t>）。</w:t>
      </w:r>
      <w:r>
        <w:rPr>
          <w:spacing w:val="5"/>
          <w:w w:val="100"/>
        </w:rPr>
        <w:t>在接受治疗</w:t>
      </w:r>
      <w:r>
        <w:rPr>
          <w:rFonts w:ascii="Times New Roman" w:hAnsi="Times New Roman" w:eastAsia="Times New Roman"/>
          <w:w w:val="100"/>
        </w:rPr>
        <w:t>36</w:t>
      </w:r>
      <w:r>
        <w:rPr>
          <w:rFonts w:ascii="Times New Roman" w:hAnsi="Times New Roman" w:eastAsia="Times New Roman"/>
          <w:spacing w:val="-22"/>
        </w:rPr>
        <w:t> </w:t>
      </w:r>
      <w:r>
        <w:rPr>
          <w:spacing w:val="-21"/>
          <w:w w:val="100"/>
        </w:rPr>
        <w:t>天后，有</w:t>
      </w:r>
      <w:r>
        <w:rPr>
          <w:rFonts w:ascii="Times New Roman" w:hAnsi="Times New Roman" w:eastAsia="Times New Roman"/>
          <w:w w:val="100"/>
        </w:rPr>
        <w:t>25</w:t>
      </w:r>
      <w:r>
        <w:rPr>
          <w:rFonts w:ascii="Times New Roman" w:hAnsi="Times New Roman" w:eastAsia="Times New Roman"/>
          <w:spacing w:val="-3"/>
          <w:w w:val="100"/>
        </w:rPr>
        <w:t>.</w:t>
      </w:r>
      <w:r>
        <w:rPr>
          <w:rFonts w:ascii="Times New Roman" w:hAnsi="Times New Roman" w:eastAsia="Times New Roman"/>
          <w:w w:val="100"/>
        </w:rPr>
        <w:t>4</w:t>
      </w:r>
      <w:r>
        <w:rPr>
          <w:rFonts w:ascii="Times New Roman" w:hAnsi="Times New Roman" w:eastAsia="Times New Roman"/>
          <w:spacing w:val="-1"/>
          <w:w w:val="100"/>
        </w:rPr>
        <w:t>%</w:t>
      </w:r>
      <w:r>
        <w:rPr>
          <w:spacing w:val="-17"/>
          <w:w w:val="100"/>
        </w:rPr>
        <w:t>的患者获得了应答</w:t>
      </w:r>
      <w:r>
        <w:rPr>
          <w:spacing w:val="-1"/>
          <w:w w:val="100"/>
        </w:rPr>
        <w:t>（</w:t>
      </w:r>
      <w:r>
        <w:rPr>
          <w:rFonts w:ascii="Times New Roman" w:hAnsi="Times New Roman" w:eastAsia="Times New Roman"/>
          <w:spacing w:val="-2"/>
          <w:w w:val="100"/>
        </w:rPr>
        <w:t>CD</w:t>
      </w:r>
      <w:r>
        <w:rPr>
          <w:rFonts w:ascii="Times New Roman" w:hAnsi="Times New Roman" w:eastAsia="Times New Roman"/>
          <w:w w:val="100"/>
        </w:rPr>
        <w:t>R</w:t>
      </w:r>
      <w:r>
        <w:rPr>
          <w:rFonts w:ascii="Times New Roman" w:hAnsi="Times New Roman" w:eastAsia="Times New Roman"/>
          <w:spacing w:val="-1"/>
          <w:w w:val="100"/>
        </w:rPr>
        <w:t>-</w:t>
      </w:r>
      <w:r>
        <w:rPr>
          <w:rFonts w:ascii="Times New Roman" w:hAnsi="Times New Roman" w:eastAsia="Times New Roman"/>
          <w:w w:val="100"/>
        </w:rPr>
        <w:t>SB</w:t>
      </w:r>
      <w:r>
        <w:rPr>
          <w:rFonts w:ascii="Times New Roman" w:hAnsi="Times New Roman" w:eastAsia="Times New Roman"/>
          <w:spacing w:val="-23"/>
        </w:rPr>
        <w:t> </w:t>
      </w:r>
      <w:r>
        <w:rPr>
          <w:spacing w:val="1"/>
          <w:w w:val="100"/>
        </w:rPr>
        <w:t>评分自基线下降</w:t>
      </w:r>
      <w:r>
        <w:rPr>
          <w:rFonts w:ascii="Times New Roman" w:hAnsi="Times New Roman" w:eastAsia="Times New Roman"/>
          <w:w w:val="100"/>
        </w:rPr>
        <w:t>1</w:t>
      </w:r>
      <w:r>
        <w:rPr>
          <w:rFonts w:ascii="Times New Roman" w:hAnsi="Times New Roman" w:eastAsia="Times New Roman"/>
          <w:spacing w:val="-22"/>
        </w:rPr>
        <w:t> </w:t>
      </w:r>
      <w:r>
        <w:rPr>
          <w:spacing w:val="-3"/>
          <w:w w:val="100"/>
        </w:rPr>
        <w:t>分</w:t>
      </w:r>
      <w:r>
        <w:rPr>
          <w:spacing w:val="-108"/>
          <w:w w:val="100"/>
        </w:rPr>
        <w:t>）</w:t>
      </w:r>
      <w:r>
        <w:rPr>
          <w:w w:val="100"/>
        </w:rPr>
        <w:t>，</w:t>
      </w:r>
      <w:r>
        <w:rPr>
          <w:spacing w:val="-8"/>
        </w:rPr>
        <w:t>显著优于安慰剂的 </w:t>
      </w:r>
      <w:r>
        <w:rPr>
          <w:rFonts w:ascii="Times New Roman" w:hAnsi="Times New Roman" w:eastAsia="Times New Roman"/>
          <w:spacing w:val="-16"/>
        </w:rPr>
        <w:t>9.7%</w:t>
      </w:r>
      <w:r>
        <w:rPr>
          <w:spacing w:val="-16"/>
        </w:rPr>
        <w:t>（</w:t>
      </w:r>
      <w:r>
        <w:rPr>
          <w:rFonts w:ascii="Times New Roman" w:hAnsi="Times New Roman" w:eastAsia="Times New Roman"/>
          <w:spacing w:val="-16"/>
        </w:rPr>
        <w:t>p=0.016</w:t>
      </w:r>
      <w:r>
        <w:rPr>
          <w:spacing w:val="-16"/>
        </w:rPr>
        <w:t>）</w:t>
      </w:r>
      <w:r>
        <w:rPr>
          <w:spacing w:val="-11"/>
        </w:rPr>
        <w:t>，预示着用药期间病人的病情发生好转。第 </w:t>
      </w:r>
      <w:r>
        <w:rPr>
          <w:rFonts w:ascii="Times New Roman" w:hAnsi="Times New Roman" w:eastAsia="Times New Roman"/>
        </w:rPr>
        <w:t>104 </w:t>
      </w:r>
      <w:r>
        <w:rPr>
          <w:spacing w:val="-8"/>
        </w:rPr>
        <w:t>天时，其与安慰剂的治疗差异为 </w:t>
      </w:r>
      <w:r>
        <w:rPr>
          <w:rFonts w:ascii="Times New Roman" w:hAnsi="Times New Roman" w:eastAsia="Times New Roman"/>
          <w:spacing w:val="-6"/>
        </w:rPr>
        <w:t>63%</w:t>
      </w:r>
      <w:r>
        <w:rPr>
          <w:spacing w:val="-3"/>
        </w:rPr>
        <w:t>，分数变化为</w:t>
      </w:r>
      <w:r>
        <w:rPr>
          <w:rFonts w:ascii="Times New Roman" w:hAnsi="Times New Roman" w:eastAsia="Times New Roman"/>
        </w:rPr>
        <w:t>-0.44</w:t>
      </w:r>
      <w:r>
        <w:rPr>
          <w:rFonts w:ascii="Times New Roman" w:hAnsi="Times New Roman" w:eastAsia="Times New Roman"/>
          <w:spacing w:val="8"/>
        </w:rPr>
        <w:t> </w:t>
      </w:r>
      <w:r>
        <w:rPr>
          <w:spacing w:val="-7"/>
        </w:rPr>
        <w:t>分。此外，</w:t>
      </w:r>
      <w:r>
        <w:rPr>
          <w:rFonts w:ascii="Times New Roman" w:hAnsi="Times New Roman" w:eastAsia="Times New Roman"/>
          <w:spacing w:val="-5"/>
        </w:rPr>
        <w:t>TB006</w:t>
      </w:r>
      <w:r>
        <w:rPr>
          <w:rFonts w:ascii="Times New Roman" w:hAnsi="Times New Roman" w:eastAsia="Times New Roman"/>
          <w:spacing w:val="8"/>
        </w:rPr>
        <w:t> </w:t>
      </w:r>
      <w:r>
        <w:rPr>
          <w:spacing w:val="-2"/>
        </w:rPr>
        <w:t>治疗使</w:t>
      </w:r>
      <w:r>
        <w:rPr>
          <w:spacing w:val="-3"/>
        </w:rPr>
        <w:t>患者在一系列疾病严重程度方面有所改善，包括在难以治疗的中度和重度患者群</w:t>
      </w:r>
      <w:r>
        <w:rPr>
          <w:spacing w:val="-9"/>
        </w:rPr>
        <w:t>体中。</w:t>
      </w:r>
      <w:r>
        <w:rPr>
          <w:rFonts w:ascii="Times New Roman" w:hAnsi="Times New Roman" w:eastAsia="Times New Roman"/>
        </w:rPr>
        <w:t>TB006</w:t>
      </w:r>
      <w:r>
        <w:rPr>
          <w:rFonts w:ascii="Times New Roman" w:hAnsi="Times New Roman" w:eastAsia="Times New Roman"/>
          <w:spacing w:val="5"/>
        </w:rPr>
        <w:t> </w:t>
      </w:r>
      <w:r>
        <w:rPr>
          <w:spacing w:val="11"/>
        </w:rPr>
        <w:t>显著降低</w:t>
      </w:r>
      <w:r>
        <w:rPr>
          <w:rFonts w:ascii="Times New Roman" w:hAnsi="Times New Roman" w:eastAsia="Times New Roman"/>
        </w:rPr>
        <w:t>A</w:t>
      </w:r>
      <w:r>
        <w:rPr/>
        <w:t>β</w:t>
      </w:r>
      <w:r>
        <w:rPr>
          <w:rFonts w:ascii="Times New Roman" w:hAnsi="Times New Roman" w:eastAsia="Times New Roman"/>
        </w:rPr>
        <w:t>42</w:t>
      </w:r>
      <w:r>
        <w:rPr>
          <w:rFonts w:ascii="Times New Roman" w:hAnsi="Times New Roman" w:eastAsia="Times New Roman"/>
          <w:spacing w:val="5"/>
        </w:rPr>
        <w:t> </w:t>
      </w:r>
      <w:r>
        <w:rPr>
          <w:spacing w:val="-5"/>
        </w:rPr>
        <w:t>血浆水平并减少了淀粉样斑块，进一步证明了对潜</w:t>
      </w:r>
      <w:r>
        <w:rPr>
          <w:spacing w:val="-4"/>
        </w:rPr>
        <w:t>在疾病的影响。</w:t>
      </w:r>
      <w:r>
        <w:rPr>
          <w:rFonts w:ascii="Times New Roman" w:hAnsi="Times New Roman" w:eastAsia="Times New Roman"/>
        </w:rPr>
        <w:t>TB006</w:t>
      </w:r>
      <w:r>
        <w:rPr>
          <w:rFonts w:ascii="Times New Roman" w:hAnsi="Times New Roman" w:eastAsia="Times New Roman"/>
          <w:spacing w:val="26"/>
        </w:rPr>
        <w:t> </w:t>
      </w:r>
      <w:r>
        <w:rPr>
          <w:spacing w:val="-13"/>
        </w:rPr>
        <w:t>在 </w:t>
      </w:r>
      <w:r>
        <w:rPr>
          <w:rFonts w:ascii="Times New Roman" w:hAnsi="Times New Roman" w:eastAsia="Times New Roman"/>
        </w:rPr>
        <w:t>3.5</w:t>
      </w:r>
      <w:r>
        <w:rPr>
          <w:rFonts w:ascii="Times New Roman" w:hAnsi="Times New Roman" w:eastAsia="Times New Roman"/>
          <w:spacing w:val="30"/>
        </w:rPr>
        <w:t> </w:t>
      </w:r>
      <w:r>
        <w:rPr>
          <w:spacing w:val="-3"/>
        </w:rPr>
        <w:t>个月的观察期内安全且耐受性良好，没有与治疗相</w:t>
      </w:r>
      <w:r>
        <w:rPr>
          <w:spacing w:val="-7"/>
        </w:rPr>
        <w:t>关的严重不良事件，也没有与影像学相关的异常（</w:t>
      </w:r>
      <w:r>
        <w:rPr>
          <w:rFonts w:ascii="Times New Roman" w:hAnsi="Times New Roman" w:eastAsia="Times New Roman"/>
          <w:spacing w:val="-7"/>
        </w:rPr>
        <w:t>ARIA</w:t>
      </w:r>
      <w:r>
        <w:rPr>
          <w:spacing w:val="-7"/>
        </w:rPr>
        <w:t>）</w:t>
      </w:r>
      <w:r>
        <w:rPr>
          <w:spacing w:val="-4"/>
        </w:rPr>
        <w:t>，最常见的不良事件是</w:t>
      </w:r>
      <w:r>
        <w:rPr>
          <w:spacing w:val="-3"/>
        </w:rPr>
        <w:t>输注反应。</w:t>
      </w:r>
    </w:p>
    <w:p>
      <w:pPr>
        <w:pStyle w:val="BodyText"/>
        <w:spacing w:before="7"/>
        <w:rPr>
          <w:sz w:val="22"/>
        </w:rPr>
      </w:pPr>
    </w:p>
    <w:p>
      <w:pPr>
        <w:pStyle w:val="BodyText"/>
        <w:spacing w:line="304" w:lineRule="auto"/>
        <w:ind w:left="3163" w:right="724"/>
        <w:jc w:val="both"/>
      </w:pPr>
      <w:r>
        <w:rPr>
          <w:rFonts w:ascii="Times New Roman" w:eastAsia="Times New Roman"/>
        </w:rPr>
        <w:t>TrueBinding</w:t>
      </w:r>
      <w:r>
        <w:rPr>
          <w:rFonts w:ascii="Times New Roman" w:eastAsia="Times New Roman"/>
          <w:spacing w:val="-1"/>
        </w:rPr>
        <w:t> </w:t>
      </w:r>
      <w:r>
        <w:rPr>
          <w:spacing w:val="-26"/>
        </w:rPr>
        <w:t>于 </w:t>
      </w:r>
      <w:r>
        <w:rPr>
          <w:rFonts w:ascii="Times New Roman" w:eastAsia="Times New Roman"/>
        </w:rPr>
        <w:t>2023</w:t>
      </w:r>
      <w:r>
        <w:rPr>
          <w:rFonts w:ascii="Times New Roman" w:eastAsia="Times New Roman"/>
          <w:spacing w:val="1"/>
        </w:rPr>
        <w:t> </w:t>
      </w:r>
      <w:r>
        <w:rPr>
          <w:spacing w:val="-27"/>
        </w:rPr>
        <w:t>年 </w:t>
      </w:r>
      <w:r>
        <w:rPr>
          <w:rFonts w:ascii="Times New Roman" w:eastAsia="Times New Roman"/>
        </w:rPr>
        <w:t>2</w:t>
      </w:r>
      <w:r>
        <w:rPr>
          <w:rFonts w:ascii="Times New Roman" w:eastAsia="Times New Roman"/>
          <w:spacing w:val="-2"/>
        </w:rPr>
        <w:t> </w:t>
      </w:r>
      <w:r>
        <w:rPr>
          <w:spacing w:val="-26"/>
        </w:rPr>
        <w:t>月 </w:t>
      </w:r>
      <w:r>
        <w:rPr>
          <w:rFonts w:ascii="Times New Roman" w:eastAsia="Times New Roman"/>
        </w:rPr>
        <w:t>28</w:t>
      </w:r>
      <w:r>
        <w:rPr>
          <w:rFonts w:ascii="Times New Roman" w:eastAsia="Times New Roman"/>
          <w:spacing w:val="-1"/>
        </w:rPr>
        <w:t> </w:t>
      </w:r>
      <w:r>
        <w:rPr>
          <w:spacing w:val="-12"/>
        </w:rPr>
        <w:t>日收到美国 </w:t>
      </w:r>
      <w:r>
        <w:rPr>
          <w:rFonts w:ascii="Times New Roman" w:eastAsia="Times New Roman"/>
        </w:rPr>
        <w:t>FDA</w:t>
      </w:r>
      <w:r>
        <w:rPr>
          <w:rFonts w:ascii="Times New Roman" w:eastAsia="Times New Roman"/>
          <w:spacing w:val="2"/>
        </w:rPr>
        <w:t> </w:t>
      </w:r>
      <w:r>
        <w:rPr>
          <w:spacing w:val="2"/>
        </w:rPr>
        <w:t>的邮件通知，基于</w:t>
      </w:r>
      <w:r>
        <w:rPr>
          <w:rFonts w:ascii="Times New Roman" w:eastAsia="Times New Roman"/>
        </w:rPr>
        <w:t>TB006</w:t>
      </w:r>
      <w:r>
        <w:rPr>
          <w:rFonts w:ascii="Times New Roman" w:eastAsia="Times New Roman"/>
          <w:spacing w:val="-1"/>
        </w:rPr>
        <w:t> </w:t>
      </w:r>
      <w:r>
        <w:rPr>
          <w:spacing w:val="-2"/>
        </w:rPr>
        <w:t>在临床</w:t>
      </w:r>
      <w:r>
        <w:rPr>
          <w:rFonts w:ascii="Times New Roman" w:eastAsia="Times New Roman"/>
          <w:spacing w:val="-2"/>
        </w:rPr>
        <w:t>I/IIA</w:t>
      </w:r>
      <w:r>
        <w:rPr>
          <w:rFonts w:ascii="Times New Roman" w:eastAsia="Times New Roman"/>
          <w:spacing w:val="30"/>
        </w:rPr>
        <w:t> </w:t>
      </w:r>
      <w:r>
        <w:rPr>
          <w:spacing w:val="-3"/>
        </w:rPr>
        <w:t>试验中取得的结果，</w:t>
      </w:r>
      <w:r>
        <w:rPr>
          <w:rFonts w:ascii="Times New Roman" w:eastAsia="Times New Roman"/>
        </w:rPr>
        <w:t>FDA</w:t>
      </w:r>
      <w:r>
        <w:rPr>
          <w:rFonts w:ascii="Times New Roman" w:eastAsia="Times New Roman"/>
          <w:spacing w:val="30"/>
        </w:rPr>
        <w:t> </w:t>
      </w:r>
      <w:r>
        <w:rPr>
          <w:spacing w:val="-6"/>
        </w:rPr>
        <w:t>特别同意与之召开 </w:t>
      </w:r>
      <w:r>
        <w:rPr>
          <w:rFonts w:ascii="Times New Roman" w:eastAsia="Times New Roman"/>
        </w:rPr>
        <w:t>B</w:t>
      </w:r>
      <w:r>
        <w:rPr>
          <w:rFonts w:ascii="Times New Roman" w:eastAsia="Times New Roman"/>
          <w:spacing w:val="29"/>
        </w:rPr>
        <w:t> </w:t>
      </w:r>
      <w:r>
        <w:rPr>
          <w:spacing w:val="-3"/>
        </w:rPr>
        <w:t>类会议，讨论下一步需要进</w:t>
      </w:r>
      <w:r>
        <w:rPr>
          <w:spacing w:val="-15"/>
        </w:rPr>
        <w:t>行的 </w:t>
      </w:r>
      <w:r>
        <w:rPr>
          <w:rFonts w:ascii="Times New Roman" w:eastAsia="Times New Roman"/>
        </w:rPr>
        <w:t>IIB/III</w:t>
      </w:r>
      <w:r>
        <w:rPr>
          <w:rFonts w:ascii="Times New Roman" w:eastAsia="Times New Roman"/>
          <w:spacing w:val="12"/>
        </w:rPr>
        <w:t> </w:t>
      </w:r>
      <w:r>
        <w:rPr>
          <w:spacing w:val="-3"/>
        </w:rPr>
        <w:t>期试验的设计和要求。根据网宿科技公告，该产品目前已与药明生物签订代工协议。如根据正常申报流程，</w:t>
      </w:r>
      <w:r>
        <w:rPr>
          <w:rFonts w:ascii="Times New Roman" w:eastAsia="Times New Roman"/>
        </w:rPr>
        <w:t>TB006</w:t>
      </w:r>
      <w:r>
        <w:rPr>
          <w:rFonts w:ascii="Times New Roman" w:eastAsia="Times New Roman"/>
          <w:spacing w:val="3"/>
        </w:rPr>
        <w:t> </w:t>
      </w:r>
      <w:r>
        <w:rPr>
          <w:spacing w:val="-18"/>
        </w:rPr>
        <w:t>将于 </w:t>
      </w:r>
      <w:r>
        <w:rPr>
          <w:rFonts w:ascii="Times New Roman" w:eastAsia="Times New Roman"/>
        </w:rPr>
        <w:t>2023</w:t>
      </w:r>
      <w:r>
        <w:rPr>
          <w:rFonts w:ascii="Times New Roman" w:eastAsia="Times New Roman"/>
          <w:spacing w:val="3"/>
        </w:rPr>
        <w:t> </w:t>
      </w:r>
      <w:r>
        <w:rPr>
          <w:spacing w:val="-25"/>
        </w:rPr>
        <w:t>年 </w:t>
      </w:r>
      <w:r>
        <w:rPr>
          <w:rFonts w:ascii="Times New Roman" w:eastAsia="Times New Roman"/>
        </w:rPr>
        <w:t>7</w:t>
      </w:r>
      <w:r>
        <w:rPr>
          <w:rFonts w:ascii="Times New Roman" w:eastAsia="Times New Roman"/>
          <w:spacing w:val="3"/>
        </w:rPr>
        <w:t> </w:t>
      </w:r>
      <w:r>
        <w:rPr>
          <w:spacing w:val="-17"/>
        </w:rPr>
        <w:t>月至 </w:t>
      </w:r>
      <w:r>
        <w:rPr>
          <w:rFonts w:ascii="Times New Roman" w:eastAsia="Times New Roman"/>
        </w:rPr>
        <w:t>2025</w:t>
      </w:r>
      <w:r>
        <w:rPr>
          <w:rFonts w:ascii="Times New Roman" w:eastAsia="Times New Roman"/>
          <w:spacing w:val="4"/>
        </w:rPr>
        <w:t> </w:t>
      </w:r>
      <w:r>
        <w:rPr>
          <w:spacing w:val="-25"/>
        </w:rPr>
        <w:t>年 </w:t>
      </w:r>
      <w:r>
        <w:rPr>
          <w:rFonts w:ascii="Times New Roman" w:eastAsia="Times New Roman"/>
        </w:rPr>
        <w:t>3</w:t>
      </w:r>
      <w:r>
        <w:rPr>
          <w:rFonts w:ascii="Times New Roman" w:eastAsia="Times New Roman"/>
          <w:spacing w:val="3"/>
        </w:rPr>
        <w:t> </w:t>
      </w:r>
      <w:r>
        <w:rPr/>
        <w:t>月完</w:t>
      </w:r>
    </w:p>
    <w:p>
      <w:pPr>
        <w:pStyle w:val="BodyText"/>
        <w:spacing w:line="265" w:lineRule="exact"/>
        <w:ind w:left="3163"/>
      </w:pPr>
      <w:r>
        <w:rPr>
          <w:spacing w:val="-26"/>
        </w:rPr>
        <w:t>成 </w:t>
      </w:r>
      <w:r>
        <w:rPr>
          <w:rFonts w:ascii="Times New Roman" w:eastAsia="Times New Roman"/>
        </w:rPr>
        <w:t>IIB</w:t>
      </w:r>
      <w:r>
        <w:rPr>
          <w:rFonts w:ascii="Times New Roman" w:eastAsia="Times New Roman"/>
          <w:spacing w:val="-1"/>
        </w:rPr>
        <w:t> </w:t>
      </w:r>
      <w:r>
        <w:rPr>
          <w:spacing w:val="-16"/>
        </w:rPr>
        <w:t>期临床，于 </w:t>
      </w:r>
      <w:r>
        <w:rPr>
          <w:rFonts w:ascii="Times New Roman" w:eastAsia="Times New Roman"/>
        </w:rPr>
        <w:t>2025</w:t>
      </w:r>
      <w:r>
        <w:rPr>
          <w:rFonts w:ascii="Times New Roman" w:eastAsia="Times New Roman"/>
          <w:spacing w:val="-2"/>
        </w:rPr>
        <w:t> </w:t>
      </w:r>
      <w:r>
        <w:rPr>
          <w:spacing w:val="-27"/>
        </w:rPr>
        <w:t>年 </w:t>
      </w:r>
      <w:r>
        <w:rPr>
          <w:rFonts w:ascii="Times New Roman" w:eastAsia="Times New Roman"/>
        </w:rPr>
        <w:t>4</w:t>
      </w:r>
      <w:r>
        <w:rPr>
          <w:rFonts w:ascii="Times New Roman" w:eastAsia="Times New Roman"/>
          <w:spacing w:val="1"/>
        </w:rPr>
        <w:t> </w:t>
      </w:r>
      <w:r>
        <w:rPr>
          <w:spacing w:val="-18"/>
        </w:rPr>
        <w:t>月至 </w:t>
      </w:r>
      <w:r>
        <w:rPr>
          <w:rFonts w:ascii="Times New Roman" w:eastAsia="Times New Roman"/>
        </w:rPr>
        <w:t>2026</w:t>
      </w:r>
      <w:r>
        <w:rPr>
          <w:rFonts w:ascii="Times New Roman" w:eastAsia="Times New Roman"/>
          <w:spacing w:val="1"/>
        </w:rPr>
        <w:t> </w:t>
      </w:r>
      <w:r>
        <w:rPr>
          <w:spacing w:val="-26"/>
        </w:rPr>
        <w:t>年 </w:t>
      </w:r>
      <w:r>
        <w:rPr>
          <w:rFonts w:ascii="Times New Roman" w:eastAsia="Times New Roman"/>
        </w:rPr>
        <w:t>12</w:t>
      </w:r>
      <w:r>
        <w:rPr>
          <w:rFonts w:ascii="Times New Roman" w:eastAsia="Times New Roman"/>
          <w:spacing w:val="1"/>
        </w:rPr>
        <w:t> </w:t>
      </w:r>
      <w:r>
        <w:rPr>
          <w:spacing w:val="-15"/>
        </w:rPr>
        <w:t>月完成 </w:t>
      </w:r>
      <w:r>
        <w:rPr>
          <w:rFonts w:ascii="Times New Roman" w:eastAsia="Times New Roman"/>
        </w:rPr>
        <w:t>III</w:t>
      </w:r>
      <w:r>
        <w:rPr>
          <w:rFonts w:ascii="Times New Roman" w:eastAsia="Times New Roman"/>
          <w:spacing w:val="1"/>
        </w:rPr>
        <w:t> </w:t>
      </w:r>
      <w:r>
        <w:rPr>
          <w:spacing w:val="-15"/>
        </w:rPr>
        <w:t>期临床，于 </w:t>
      </w:r>
      <w:r>
        <w:rPr>
          <w:rFonts w:ascii="Times New Roman" w:eastAsia="Times New Roman"/>
        </w:rPr>
        <w:t>2027</w:t>
      </w:r>
      <w:r>
        <w:rPr>
          <w:rFonts w:ascii="Times New Roman" w:eastAsia="Times New Roman"/>
          <w:spacing w:val="-2"/>
        </w:rPr>
        <w:t> </w:t>
      </w:r>
      <w:r>
        <w:rPr>
          <w:spacing w:val="-26"/>
        </w:rPr>
        <w:t>年 </w:t>
      </w:r>
      <w:r>
        <w:rPr>
          <w:rFonts w:ascii="Times New Roman" w:eastAsia="Times New Roman"/>
        </w:rPr>
        <w:t>1</w:t>
      </w:r>
      <w:r>
        <w:rPr>
          <w:rFonts w:ascii="Times New Roman" w:eastAsia="Times New Roman"/>
          <w:spacing w:val="-2"/>
        </w:rPr>
        <w:t> </w:t>
      </w:r>
      <w:r>
        <w:rPr>
          <w:spacing w:val="-3"/>
        </w:rPr>
        <w:t>月至</w:t>
      </w:r>
    </w:p>
    <w:p>
      <w:pPr>
        <w:pStyle w:val="BodyText"/>
        <w:spacing w:before="72"/>
        <w:ind w:left="3163"/>
      </w:pPr>
      <w:r>
        <w:rPr>
          <w:rFonts w:ascii="Times New Roman" w:eastAsia="Times New Roman"/>
        </w:rPr>
        <w:t>2027 </w:t>
      </w:r>
      <w:r>
        <w:rPr/>
        <w:t>年 </w:t>
      </w:r>
      <w:r>
        <w:rPr>
          <w:rFonts w:ascii="Times New Roman" w:eastAsia="Times New Roman"/>
        </w:rPr>
        <w:t>6 </w:t>
      </w:r>
      <w:r>
        <w:rPr/>
        <w:t>月完成 </w:t>
      </w:r>
      <w:r>
        <w:rPr>
          <w:rFonts w:ascii="Times New Roman" w:eastAsia="Times New Roman"/>
        </w:rPr>
        <w:t>BLA </w:t>
      </w:r>
      <w:r>
        <w:rPr/>
        <w:t>申报。</w:t>
      </w:r>
    </w:p>
    <w:p>
      <w:pPr>
        <w:pStyle w:val="BodyText"/>
        <w:rPr>
          <w:sz w:val="20"/>
        </w:rPr>
      </w:pPr>
    </w:p>
    <w:p>
      <w:pPr>
        <w:pStyle w:val="BodyText"/>
        <w:spacing w:before="4" w:after="1"/>
        <w:rPr>
          <w:sz w:val="13"/>
        </w:rPr>
      </w:pPr>
    </w:p>
    <w:tbl>
      <w:tblPr>
        <w:tblW w:w="0" w:type="auto"/>
        <w:jc w:val="left"/>
        <w:tblInd w:w="4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121"/>
        <w:gridCol w:w="5151"/>
      </w:tblGrid>
      <w:tr>
        <w:trPr>
          <w:trHeight w:val="339" w:hRule="atLeast"/>
        </w:trPr>
        <w:tc>
          <w:tcPr>
            <w:tcW w:w="5121" w:type="dxa"/>
            <w:tcBorders>
              <w:bottom w:val="single" w:sz="4" w:space="0" w:color="000000"/>
            </w:tcBorders>
          </w:tcPr>
          <w:p>
            <w:pPr>
              <w:pStyle w:val="TableParagraph"/>
              <w:spacing w:line="295" w:lineRule="exact"/>
              <w:ind w:left="107"/>
              <w:rPr>
                <w:rFonts w:ascii="Microsoft JhengHei" w:eastAsia="Microsoft JhengHei" w:hint="eastAsia"/>
                <w:b/>
                <w:sz w:val="21"/>
              </w:rPr>
            </w:pPr>
            <w:bookmarkStart w:name="_bookmark43" w:id="62"/>
            <w:bookmarkEnd w:id="62"/>
            <w:r>
              <w:rPr/>
            </w:r>
            <w:r>
              <w:rPr>
                <w:rFonts w:ascii="Microsoft JhengHei" w:eastAsia="Microsoft JhengHei" w:hint="eastAsia"/>
                <w:b/>
                <w:sz w:val="21"/>
              </w:rPr>
              <w:t>图 </w:t>
            </w:r>
            <w:r>
              <w:rPr>
                <w:rFonts w:ascii="Times New Roman" w:eastAsia="Times New Roman"/>
                <w:b/>
                <w:sz w:val="21"/>
              </w:rPr>
              <w:t>18</w:t>
            </w:r>
            <w:r>
              <w:rPr>
                <w:rFonts w:ascii="Microsoft JhengHei" w:eastAsia="Microsoft JhengHei" w:hint="eastAsia"/>
                <w:b/>
                <w:sz w:val="21"/>
              </w:rPr>
              <w:t>、</w:t>
            </w:r>
            <w:r>
              <w:rPr>
                <w:rFonts w:ascii="Times New Roman" w:eastAsia="Times New Roman"/>
                <w:b/>
                <w:sz w:val="21"/>
              </w:rPr>
              <w:t>Galectin-3 </w:t>
            </w:r>
            <w:r>
              <w:rPr>
                <w:rFonts w:ascii="Microsoft JhengHei" w:eastAsia="Microsoft JhengHei" w:hint="eastAsia"/>
                <w:b/>
                <w:sz w:val="21"/>
              </w:rPr>
              <w:t>抑制剂机制介绍</w:t>
            </w:r>
          </w:p>
        </w:tc>
        <w:tc>
          <w:tcPr>
            <w:tcW w:w="5151" w:type="dxa"/>
            <w:tcBorders>
              <w:bottom w:val="single" w:sz="4" w:space="0" w:color="000000"/>
            </w:tcBorders>
          </w:tcPr>
          <w:p>
            <w:pPr>
              <w:pStyle w:val="TableParagraph"/>
              <w:spacing w:line="295" w:lineRule="exact"/>
              <w:ind w:left="232"/>
              <w:rPr>
                <w:rFonts w:ascii="Microsoft JhengHei" w:eastAsia="Microsoft JhengHei" w:hint="eastAsia"/>
                <w:b/>
                <w:sz w:val="21"/>
              </w:rPr>
            </w:pPr>
            <w:bookmarkStart w:name="_bookmark44" w:id="63"/>
            <w:bookmarkEnd w:id="63"/>
            <w:r>
              <w:rPr/>
            </w:r>
            <w:r>
              <w:rPr>
                <w:rFonts w:ascii="Microsoft JhengHei" w:eastAsia="Microsoft JhengHei" w:hint="eastAsia"/>
                <w:b/>
                <w:sz w:val="21"/>
              </w:rPr>
              <w:t>图 </w:t>
            </w:r>
            <w:r>
              <w:rPr>
                <w:rFonts w:ascii="Times New Roman" w:eastAsia="Times New Roman"/>
                <w:b/>
                <w:sz w:val="21"/>
              </w:rPr>
              <w:t>19</w:t>
            </w:r>
            <w:r>
              <w:rPr>
                <w:rFonts w:ascii="Microsoft JhengHei" w:eastAsia="Microsoft JhengHei" w:hint="eastAsia"/>
                <w:b/>
                <w:sz w:val="21"/>
              </w:rPr>
              <w:t>、</w:t>
            </w:r>
            <w:r>
              <w:rPr>
                <w:rFonts w:ascii="Times New Roman" w:eastAsia="Times New Roman"/>
                <w:b/>
                <w:sz w:val="21"/>
              </w:rPr>
              <w:t>TB006 </w:t>
            </w:r>
            <w:r>
              <w:rPr>
                <w:rFonts w:ascii="Microsoft JhengHei" w:eastAsia="Microsoft JhengHei" w:hint="eastAsia"/>
                <w:b/>
                <w:sz w:val="21"/>
              </w:rPr>
              <w:t>的 </w:t>
            </w:r>
            <w:r>
              <w:rPr>
                <w:rFonts w:ascii="Times New Roman" w:eastAsia="Times New Roman"/>
                <w:b/>
                <w:sz w:val="21"/>
              </w:rPr>
              <w:t>Ib/II </w:t>
            </w:r>
            <w:r>
              <w:rPr>
                <w:rFonts w:ascii="Microsoft JhengHei" w:eastAsia="Microsoft JhengHei" w:hint="eastAsia"/>
                <w:b/>
                <w:sz w:val="21"/>
              </w:rPr>
              <w:t>期临床试验结果</w:t>
            </w:r>
          </w:p>
        </w:tc>
      </w:tr>
      <w:tr>
        <w:trPr>
          <w:trHeight w:val="2370" w:hRule="atLeast"/>
        </w:trPr>
        <w:tc>
          <w:tcPr>
            <w:tcW w:w="5121" w:type="dxa"/>
            <w:tcBorders>
              <w:top w:val="single" w:sz="4" w:space="0" w:color="000000"/>
              <w:bottom w:val="single" w:sz="4" w:space="0" w:color="000000"/>
            </w:tcBorders>
          </w:tcPr>
          <w:p>
            <w:pPr>
              <w:pStyle w:val="TableParagraph"/>
              <w:ind w:left="355"/>
              <w:rPr>
                <w:sz w:val="20"/>
              </w:rPr>
            </w:pPr>
            <w:r>
              <w:rPr>
                <w:sz w:val="20"/>
              </w:rPr>
              <w:drawing>
                <wp:inline distT="0" distB="0" distL="0" distR="0">
                  <wp:extent cx="2852709" cy="1440180"/>
                  <wp:effectExtent l="0" t="0" r="0" b="0"/>
                  <wp:docPr id="43" name="image22.jpeg"/>
                  <wp:cNvGraphicFramePr>
                    <a:graphicFrameLocks noChangeAspect="1"/>
                  </wp:cNvGraphicFramePr>
                  <a:graphic>
                    <a:graphicData uri="http://schemas.openxmlformats.org/drawingml/2006/picture">
                      <pic:pic>
                        <pic:nvPicPr>
                          <pic:cNvPr id="44" name="image22.jpeg"/>
                          <pic:cNvPicPr/>
                        </pic:nvPicPr>
                        <pic:blipFill>
                          <a:blip r:embed="rId42" cstate="print"/>
                          <a:stretch>
                            <a:fillRect/>
                          </a:stretch>
                        </pic:blipFill>
                        <pic:spPr>
                          <a:xfrm>
                            <a:off x="0" y="0"/>
                            <a:ext cx="2852709" cy="1440180"/>
                          </a:xfrm>
                          <a:prstGeom prst="rect">
                            <a:avLst/>
                          </a:prstGeom>
                        </pic:spPr>
                      </pic:pic>
                    </a:graphicData>
                  </a:graphic>
                </wp:inline>
              </w:drawing>
            </w:r>
            <w:r>
              <w:rPr>
                <w:sz w:val="20"/>
              </w:rPr>
            </w:r>
          </w:p>
        </w:tc>
        <w:tc>
          <w:tcPr>
            <w:tcW w:w="5151" w:type="dxa"/>
            <w:tcBorders>
              <w:top w:val="single" w:sz="4" w:space="0" w:color="000000"/>
              <w:bottom w:val="single" w:sz="4" w:space="0" w:color="000000"/>
            </w:tcBorders>
          </w:tcPr>
          <w:p>
            <w:pPr>
              <w:pStyle w:val="TableParagraph"/>
              <w:spacing w:before="3"/>
              <w:rPr>
                <w:sz w:val="5"/>
              </w:rPr>
            </w:pPr>
          </w:p>
          <w:p>
            <w:pPr>
              <w:pStyle w:val="TableParagraph"/>
              <w:ind w:left="902"/>
              <w:rPr>
                <w:sz w:val="20"/>
              </w:rPr>
            </w:pPr>
            <w:r>
              <w:rPr>
                <w:sz w:val="20"/>
              </w:rPr>
              <w:drawing>
                <wp:inline distT="0" distB="0" distL="0" distR="0">
                  <wp:extent cx="2181899" cy="1371600"/>
                  <wp:effectExtent l="0" t="0" r="0" b="0"/>
                  <wp:docPr id="45" name="image23.jpeg"/>
                  <wp:cNvGraphicFramePr>
                    <a:graphicFrameLocks noChangeAspect="1"/>
                  </wp:cNvGraphicFramePr>
                  <a:graphic>
                    <a:graphicData uri="http://schemas.openxmlformats.org/drawingml/2006/picture">
                      <pic:pic>
                        <pic:nvPicPr>
                          <pic:cNvPr id="46" name="image23.jpeg"/>
                          <pic:cNvPicPr/>
                        </pic:nvPicPr>
                        <pic:blipFill>
                          <a:blip r:embed="rId43" cstate="print"/>
                          <a:stretch>
                            <a:fillRect/>
                          </a:stretch>
                        </pic:blipFill>
                        <pic:spPr>
                          <a:xfrm>
                            <a:off x="0" y="0"/>
                            <a:ext cx="2181899" cy="1371600"/>
                          </a:xfrm>
                          <a:prstGeom prst="rect">
                            <a:avLst/>
                          </a:prstGeom>
                        </pic:spPr>
                      </pic:pic>
                    </a:graphicData>
                  </a:graphic>
                </wp:inline>
              </w:drawing>
            </w:r>
            <w:r>
              <w:rPr>
                <w:sz w:val="20"/>
              </w:rPr>
            </w:r>
          </w:p>
        </w:tc>
      </w:tr>
      <w:tr>
        <w:trPr>
          <w:trHeight w:val="240" w:hRule="atLeast"/>
        </w:trPr>
        <w:tc>
          <w:tcPr>
            <w:tcW w:w="5121" w:type="dxa"/>
            <w:tcBorders>
              <w:top w:val="single" w:sz="4" w:space="0" w:color="000000"/>
            </w:tcBorders>
          </w:tcPr>
          <w:p>
            <w:pPr>
              <w:pStyle w:val="TableParagraph"/>
              <w:spacing w:line="199" w:lineRule="exact" w:before="21"/>
              <w:ind w:left="107"/>
              <w:rPr>
                <w:sz w:val="18"/>
              </w:rPr>
            </w:pPr>
            <w:r>
              <w:rPr>
                <w:sz w:val="18"/>
              </w:rPr>
              <w:t>资料来源：</w:t>
            </w:r>
            <w:r>
              <w:rPr>
                <w:rFonts w:ascii="Times New Roman" w:eastAsia="Times New Roman"/>
                <w:sz w:val="18"/>
              </w:rPr>
              <w:t>Truebinding </w:t>
            </w:r>
            <w:r>
              <w:rPr>
                <w:sz w:val="18"/>
              </w:rPr>
              <w:t>官网，兴业证券经济与金融研究院整理</w:t>
            </w:r>
          </w:p>
        </w:tc>
        <w:tc>
          <w:tcPr>
            <w:tcW w:w="5151" w:type="dxa"/>
            <w:tcBorders>
              <w:top w:val="single" w:sz="4" w:space="0" w:color="000000"/>
            </w:tcBorders>
          </w:tcPr>
          <w:p>
            <w:pPr>
              <w:pStyle w:val="TableParagraph"/>
              <w:rPr>
                <w:rFonts w:ascii="Times New Roman"/>
                <w:sz w:val="16"/>
              </w:rPr>
            </w:pPr>
          </w:p>
        </w:tc>
      </w:tr>
    </w:tbl>
    <w:p>
      <w:pPr>
        <w:spacing w:after="0"/>
        <w:rPr>
          <w:rFonts w:ascii="Times New Roman"/>
          <w:sz w:val="16"/>
        </w:rPr>
        <w:sectPr>
          <w:pgSz w:w="11910" w:h="16840"/>
          <w:pgMar w:header="868" w:footer="1201" w:top="1400" w:bottom="1400" w:left="240" w:right="400"/>
        </w:sectPr>
      </w:pPr>
    </w:p>
    <w:p>
      <w:pPr>
        <w:pStyle w:val="BodyText"/>
        <w:spacing w:before="4"/>
        <w:rPr>
          <w:sz w:val="13"/>
        </w:rPr>
      </w:pPr>
    </w:p>
    <w:p>
      <w:pPr>
        <w:pStyle w:val="BodyText"/>
        <w:spacing w:line="20" w:lineRule="exact"/>
        <w:ind w:left="614"/>
        <w:rPr>
          <w:sz w:val="2"/>
        </w:rPr>
      </w:pPr>
      <w:r>
        <w:rPr>
          <w:sz w:val="2"/>
        </w:rPr>
        <w:pict>
          <v:group style="width:508.1pt;height:.75pt;mso-position-horizontal-relative:char;mso-position-vertical-relative:line" coordorigin="0,0" coordsize="10162,15">
            <v:rect style="position:absolute;left:0;top:0;width:10162;height:15" filled="true" fillcolor="#333366" stroked="false">
              <v:fill type="solid"/>
            </v:rect>
          </v:group>
        </w:pict>
      </w:r>
      <w:r>
        <w:rPr>
          <w:sz w:val="2"/>
        </w:rPr>
      </w:r>
    </w:p>
    <w:p>
      <w:pPr>
        <w:pStyle w:val="Heading3"/>
        <w:numPr>
          <w:ilvl w:val="0"/>
          <w:numId w:val="11"/>
        </w:numPr>
        <w:tabs>
          <w:tab w:pos="3381" w:val="left" w:leader="none"/>
        </w:tabs>
        <w:spacing w:line="315" w:lineRule="exact" w:before="0" w:after="0"/>
        <w:ind w:left="3380" w:right="0" w:hanging="218"/>
        <w:jc w:val="left"/>
        <w:rPr>
          <w:rFonts w:ascii="Times New Roman" w:hAnsi="Times New Roman" w:eastAsia="Times New Roman"/>
        </w:rPr>
      </w:pPr>
      <w:r>
        <w:rPr>
          <w:rFonts w:ascii="Times New Roman" w:hAnsi="Times New Roman" w:eastAsia="Times New Roman"/>
          <w:w w:val="105"/>
        </w:rPr>
        <w:t>A</w:t>
      </w:r>
      <w:r>
        <w:rPr>
          <w:w w:val="105"/>
        </w:rPr>
        <w:t>β聚集抑制剂，</w:t>
      </w:r>
      <w:r>
        <w:rPr>
          <w:rFonts w:ascii="Times New Roman" w:hAnsi="Times New Roman" w:eastAsia="Times New Roman"/>
          <w:w w:val="105"/>
        </w:rPr>
        <w:t>ALZ-801</w:t>
      </w:r>
    </w:p>
    <w:p>
      <w:pPr>
        <w:pStyle w:val="BodyText"/>
        <w:spacing w:line="304" w:lineRule="auto" w:before="24"/>
        <w:ind w:left="3163" w:right="712"/>
        <w:jc w:val="both"/>
      </w:pPr>
      <w:r>
        <w:rPr>
          <w:spacing w:val="3"/>
        </w:rPr>
        <w:t>当前的突破性产品</w:t>
      </w:r>
      <w:r>
        <w:rPr>
          <w:rFonts w:ascii="Times New Roman" w:hAnsi="Times New Roman" w:eastAsia="Times New Roman"/>
        </w:rPr>
        <w:t>ALZ-801</w:t>
      </w:r>
      <w:r>
        <w:rPr>
          <w:rFonts w:ascii="Times New Roman" w:hAnsi="Times New Roman" w:eastAsia="Times New Roman"/>
          <w:spacing w:val="21"/>
        </w:rPr>
        <w:t> </w:t>
      </w:r>
      <w:r>
        <w:rPr>
          <w:spacing w:val="-8"/>
        </w:rPr>
        <w:t>是高牛磺酸前药，在血浆和肝脏中迅速完全转化为曲</w:t>
      </w:r>
      <w:r>
        <w:rPr>
          <w:spacing w:val="-18"/>
        </w:rPr>
        <w:t>米溴酸盐。活性剂高牛磺酸盐很容易穿过血脑屏障，达到约 </w:t>
      </w:r>
      <w:r>
        <w:rPr>
          <w:rFonts w:ascii="Times New Roman" w:hAnsi="Times New Roman" w:eastAsia="Times New Roman"/>
        </w:rPr>
        <w:t>40%</w:t>
      </w:r>
      <w:r>
        <w:rPr>
          <w:spacing w:val="-3"/>
        </w:rPr>
        <w:t>的稳态脑渗透率。</w:t>
      </w:r>
      <w:r>
        <w:rPr>
          <w:spacing w:val="3"/>
          <w:w w:val="100"/>
        </w:rPr>
        <w:t>大脑中存在具有抗</w:t>
      </w:r>
      <w:r>
        <w:rPr>
          <w:rFonts w:ascii="Times New Roman" w:hAnsi="Times New Roman" w:eastAsia="Times New Roman"/>
          <w:spacing w:val="1"/>
          <w:w w:val="100"/>
        </w:rPr>
        <w:t>A</w:t>
      </w:r>
      <w:r>
        <w:rPr>
          <w:spacing w:val="-3"/>
          <w:w w:val="100"/>
        </w:rPr>
        <w:t>β低聚物活性的内源性药物</w:t>
      </w:r>
      <w:r>
        <w:rPr>
          <w:spacing w:val="-53"/>
        </w:rPr>
        <w:t> </w:t>
      </w:r>
      <w:r>
        <w:rPr>
          <w:rFonts w:ascii="Times New Roman" w:hAnsi="Times New Roman" w:eastAsia="Times New Roman"/>
          <w:w w:val="100"/>
        </w:rPr>
        <w:t>3</w:t>
      </w:r>
      <w:r>
        <w:rPr>
          <w:rFonts w:ascii="Times New Roman" w:hAnsi="Times New Roman" w:eastAsia="Times New Roman"/>
          <w:spacing w:val="-1"/>
          <w:w w:val="100"/>
        </w:rPr>
        <w:t>-</w:t>
      </w:r>
      <w:r>
        <w:rPr>
          <w:rFonts w:ascii="Times New Roman" w:hAnsi="Times New Roman" w:eastAsia="Times New Roman"/>
          <w:spacing w:val="-3"/>
          <w:w w:val="100"/>
        </w:rPr>
        <w:t>S</w:t>
      </w:r>
      <w:r>
        <w:rPr>
          <w:rFonts w:ascii="Times New Roman" w:hAnsi="Times New Roman" w:eastAsia="Times New Roman"/>
          <w:spacing w:val="-20"/>
          <w:w w:val="100"/>
        </w:rPr>
        <w:t>P</w:t>
      </w:r>
      <w:r>
        <w:rPr>
          <w:rFonts w:ascii="Times New Roman" w:hAnsi="Times New Roman" w:eastAsia="Times New Roman"/>
          <w:spacing w:val="-92"/>
          <w:w w:val="100"/>
        </w:rPr>
        <w:t>A</w:t>
      </w:r>
      <w:r>
        <w:rPr>
          <w:w w:val="100"/>
        </w:rPr>
        <w:t>（</w:t>
      </w:r>
      <w:r>
        <w:rPr>
          <w:rFonts w:ascii="Times New Roman" w:hAnsi="Times New Roman" w:eastAsia="Times New Roman"/>
          <w:w w:val="100"/>
        </w:rPr>
        <w:t>3</w:t>
      </w:r>
      <w:r>
        <w:rPr>
          <w:rFonts w:ascii="Times New Roman" w:hAnsi="Times New Roman" w:eastAsia="Times New Roman"/>
          <w:spacing w:val="-4"/>
          <w:w w:val="100"/>
        </w:rPr>
        <w:t>-</w:t>
      </w:r>
      <w:r>
        <w:rPr>
          <w:spacing w:val="-22"/>
          <w:w w:val="100"/>
        </w:rPr>
        <w:t>磺基丙酸，</w:t>
      </w:r>
      <w:r>
        <w:rPr>
          <w:rFonts w:ascii="Times New Roman" w:hAnsi="Times New Roman" w:eastAsia="Times New Roman"/>
          <w:w w:val="100"/>
        </w:rPr>
        <w:t>N</w:t>
      </w:r>
      <w:r>
        <w:rPr>
          <w:rFonts w:ascii="Times New Roman" w:hAnsi="Times New Roman" w:eastAsia="Times New Roman"/>
          <w:spacing w:val="-2"/>
          <w:w w:val="100"/>
        </w:rPr>
        <w:t>R</w:t>
      </w:r>
      <w:r>
        <w:rPr>
          <w:rFonts w:ascii="Times New Roman" w:hAnsi="Times New Roman" w:eastAsia="Times New Roman"/>
          <w:spacing w:val="-1"/>
          <w:w w:val="100"/>
        </w:rPr>
        <w:t>M50</w:t>
      </w:r>
      <w:r>
        <w:rPr>
          <w:rFonts w:ascii="Times New Roman" w:hAnsi="Times New Roman" w:eastAsia="Times New Roman"/>
          <w:spacing w:val="-3"/>
          <w:w w:val="100"/>
        </w:rPr>
        <w:t>74</w:t>
      </w:r>
      <w:r>
        <w:rPr>
          <w:spacing w:val="-92"/>
          <w:w w:val="100"/>
        </w:rPr>
        <w:t>），</w:t>
      </w:r>
      <w:r>
        <w:rPr>
          <w:spacing w:val="25"/>
        </w:rPr>
        <w:t>抑制</w:t>
      </w:r>
      <w:r>
        <w:rPr>
          <w:rFonts w:ascii="Times New Roman" w:hAnsi="Times New Roman" w:eastAsia="Times New Roman"/>
        </w:rPr>
        <w:t>A</w:t>
      </w:r>
      <w:r>
        <w:rPr/>
        <w:t>β</w:t>
      </w:r>
      <w:r>
        <w:rPr>
          <w:rFonts w:ascii="Times New Roman" w:hAnsi="Times New Roman" w:eastAsia="Times New Roman"/>
        </w:rPr>
        <w:t>42</w:t>
      </w:r>
      <w:r>
        <w:rPr>
          <w:rFonts w:ascii="Times New Roman" w:hAnsi="Times New Roman" w:eastAsia="Times New Roman"/>
          <w:spacing w:val="19"/>
        </w:rPr>
        <w:t> </w:t>
      </w:r>
      <w:r>
        <w:rPr/>
        <w:t>聚集成小的低聚物，具有稳定</w:t>
      </w:r>
      <w:r>
        <w:rPr>
          <w:rFonts w:ascii="Times New Roman" w:hAnsi="Times New Roman" w:eastAsia="Times New Roman"/>
        </w:rPr>
        <w:t>A</w:t>
      </w:r>
      <w:r>
        <w:rPr/>
        <w:t>β</w:t>
      </w:r>
      <w:r>
        <w:rPr>
          <w:spacing w:val="-4"/>
        </w:rPr>
        <w:t>单体构象柔韧性的潜在活性，进而</w:t>
      </w:r>
      <w:r>
        <w:rPr>
          <w:spacing w:val="-15"/>
        </w:rPr>
        <w:t>抑制 </w:t>
      </w:r>
      <w:r>
        <w:rPr>
          <w:rFonts w:ascii="Times New Roman" w:hAnsi="Times New Roman" w:eastAsia="Times New Roman"/>
        </w:rPr>
        <w:t>A</w:t>
      </w:r>
      <w:r>
        <w:rPr/>
        <w:t>β</w:t>
      </w:r>
      <w:r>
        <w:rPr>
          <w:spacing w:val="-6"/>
        </w:rPr>
        <w:t>错误折叠和人类可溶性有毒 </w:t>
      </w:r>
      <w:r>
        <w:rPr>
          <w:rFonts w:ascii="Times New Roman" w:hAnsi="Times New Roman" w:eastAsia="Times New Roman"/>
        </w:rPr>
        <w:t>A</w:t>
      </w:r>
      <w:r>
        <w:rPr/>
        <w:t>β</w:t>
      </w:r>
      <w:r>
        <w:rPr>
          <w:spacing w:val="-6"/>
        </w:rPr>
        <w:t>低聚物的形成，从而防止 </w:t>
      </w:r>
      <w:r>
        <w:rPr>
          <w:rFonts w:ascii="Times New Roman" w:hAnsi="Times New Roman" w:eastAsia="Times New Roman"/>
        </w:rPr>
        <w:t>AD</w:t>
      </w:r>
      <w:r>
        <w:rPr>
          <w:rFonts w:ascii="Times New Roman" w:hAnsi="Times New Roman" w:eastAsia="Times New Roman"/>
          <w:spacing w:val="16"/>
        </w:rPr>
        <w:t> </w:t>
      </w:r>
      <w:r>
        <w:rPr>
          <w:spacing w:val="-2"/>
        </w:rPr>
        <w:t>进展的初</w:t>
      </w:r>
      <w:r>
        <w:rPr>
          <w:spacing w:val="-7"/>
        </w:rPr>
        <w:t>始致病步骤。</w:t>
      </w:r>
      <w:r>
        <w:rPr>
          <w:rFonts w:ascii="Times New Roman" w:hAnsi="Times New Roman" w:eastAsia="Times New Roman"/>
          <w:spacing w:val="-5"/>
        </w:rPr>
        <w:t>3-SPA</w:t>
      </w:r>
      <w:r>
        <w:rPr>
          <w:rFonts w:ascii="Times New Roman" w:hAnsi="Times New Roman" w:eastAsia="Times New Roman"/>
          <w:spacing w:val="4"/>
        </w:rPr>
        <w:t> </w:t>
      </w:r>
      <w:r>
        <w:rPr>
          <w:spacing w:val="50"/>
        </w:rPr>
        <w:t>是</w:t>
      </w:r>
      <w:r>
        <w:rPr>
          <w:rFonts w:ascii="Times New Roman" w:hAnsi="Times New Roman" w:eastAsia="Times New Roman"/>
        </w:rPr>
        <w:t>ALZ-801</w:t>
      </w:r>
      <w:r>
        <w:rPr>
          <w:rFonts w:ascii="Times New Roman" w:hAnsi="Times New Roman" w:eastAsia="Times New Roman"/>
          <w:spacing w:val="3"/>
        </w:rPr>
        <w:t> </w:t>
      </w:r>
      <w:r>
        <w:rPr>
          <w:spacing w:val="-7"/>
        </w:rPr>
        <w:t>的代谢产物。</w:t>
      </w:r>
      <w:r>
        <w:rPr>
          <w:rFonts w:ascii="Times New Roman" w:hAnsi="Times New Roman" w:eastAsia="Times New Roman"/>
        </w:rPr>
        <w:t>ALZ-801</w:t>
      </w:r>
      <w:r>
        <w:rPr>
          <w:rFonts w:ascii="Times New Roman" w:hAnsi="Times New Roman" w:eastAsia="Times New Roman"/>
          <w:spacing w:val="6"/>
        </w:rPr>
        <w:t> </w:t>
      </w:r>
      <w:r>
        <w:rPr>
          <w:spacing w:val="-24"/>
        </w:rPr>
        <w:t>的 </w:t>
      </w:r>
      <w:r>
        <w:rPr>
          <w:rFonts w:ascii="Times New Roman" w:hAnsi="Times New Roman" w:eastAsia="Times New Roman"/>
        </w:rPr>
        <w:t>II</w:t>
      </w:r>
      <w:r>
        <w:rPr>
          <w:rFonts w:ascii="Times New Roman" w:hAnsi="Times New Roman" w:eastAsia="Times New Roman"/>
          <w:spacing w:val="3"/>
        </w:rPr>
        <w:t> </w:t>
      </w:r>
      <w:r>
        <w:rPr>
          <w:spacing w:val="-3"/>
        </w:rPr>
        <w:t>期结果表明可减少早</w:t>
      </w:r>
      <w:r>
        <w:rPr>
          <w:spacing w:val="-20"/>
        </w:rPr>
        <w:t>期 </w:t>
      </w:r>
      <w:r>
        <w:rPr>
          <w:rFonts w:ascii="Times New Roman" w:hAnsi="Times New Roman" w:eastAsia="Times New Roman"/>
        </w:rPr>
        <w:t>AD</w:t>
      </w:r>
      <w:r>
        <w:rPr>
          <w:rFonts w:ascii="Times New Roman" w:hAnsi="Times New Roman" w:eastAsia="Times New Roman"/>
          <w:spacing w:val="17"/>
        </w:rPr>
        <w:t> </w:t>
      </w:r>
      <w:r>
        <w:rPr>
          <w:spacing w:val="-5"/>
        </w:rPr>
        <w:t>患者脑萎缩情况，降低血浆中磷酸化 </w:t>
      </w:r>
      <w:r>
        <w:rPr>
          <w:rFonts w:ascii="Times New Roman" w:hAnsi="Times New Roman" w:eastAsia="Times New Roman"/>
          <w:spacing w:val="-6"/>
        </w:rPr>
        <w:t>Tau</w:t>
      </w:r>
      <w:r>
        <w:rPr>
          <w:rFonts w:ascii="Times New Roman" w:hAnsi="Times New Roman" w:eastAsia="Times New Roman"/>
          <w:spacing w:val="18"/>
        </w:rPr>
        <w:t> </w:t>
      </w:r>
      <w:r>
        <w:rPr>
          <w:spacing w:val="-3"/>
        </w:rPr>
        <w:t>蛋白含量并改善记忆功能，安全</w:t>
      </w:r>
      <w:r>
        <w:rPr>
          <w:spacing w:val="-5"/>
        </w:rPr>
        <w:t>性优异，未来有预防治疗潜力。公司预计该产品将于 </w:t>
      </w:r>
      <w:r>
        <w:rPr>
          <w:rFonts w:ascii="Times New Roman" w:hAnsi="Times New Roman" w:eastAsia="Times New Roman"/>
        </w:rPr>
        <w:t>2025</w:t>
      </w:r>
      <w:r>
        <w:rPr>
          <w:rFonts w:ascii="Times New Roman" w:hAnsi="Times New Roman" w:eastAsia="Times New Roman"/>
          <w:spacing w:val="4"/>
        </w:rPr>
        <w:t> </w:t>
      </w:r>
      <w:r>
        <w:rPr>
          <w:spacing w:val="-3"/>
        </w:rPr>
        <w:t>年在美国商业化。</w:t>
      </w:r>
    </w:p>
    <w:p>
      <w:pPr>
        <w:pStyle w:val="BodyText"/>
        <w:spacing w:before="5"/>
        <w:rPr>
          <w:sz w:val="24"/>
        </w:rPr>
      </w:pPr>
    </w:p>
    <w:tbl>
      <w:tblPr>
        <w:tblW w:w="0" w:type="auto"/>
        <w:jc w:val="left"/>
        <w:tblInd w:w="31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543"/>
      </w:tblGrid>
      <w:tr>
        <w:trPr>
          <w:trHeight w:val="336" w:hRule="atLeast"/>
        </w:trPr>
        <w:tc>
          <w:tcPr>
            <w:tcW w:w="7543" w:type="dxa"/>
            <w:tcBorders>
              <w:bottom w:val="single" w:sz="4" w:space="0" w:color="000000"/>
            </w:tcBorders>
          </w:tcPr>
          <w:p>
            <w:pPr>
              <w:pStyle w:val="TableParagraph"/>
              <w:spacing w:line="295" w:lineRule="exact"/>
              <w:ind w:left="108"/>
              <w:rPr>
                <w:rFonts w:ascii="Microsoft JhengHei" w:eastAsia="Microsoft JhengHei" w:hint="eastAsia"/>
                <w:b/>
                <w:sz w:val="21"/>
              </w:rPr>
            </w:pPr>
            <w:bookmarkStart w:name="_bookmark45" w:id="64"/>
            <w:bookmarkEnd w:id="64"/>
            <w:r>
              <w:rPr/>
            </w:r>
            <w:r>
              <w:rPr>
                <w:rFonts w:ascii="Microsoft JhengHei" w:eastAsia="Microsoft JhengHei" w:hint="eastAsia"/>
                <w:b/>
                <w:sz w:val="21"/>
              </w:rPr>
              <w:t>图 </w:t>
            </w:r>
            <w:r>
              <w:rPr>
                <w:rFonts w:ascii="Times New Roman" w:eastAsia="Times New Roman"/>
                <w:b/>
                <w:sz w:val="21"/>
              </w:rPr>
              <w:t>20</w:t>
            </w:r>
            <w:r>
              <w:rPr>
                <w:rFonts w:ascii="Microsoft JhengHei" w:eastAsia="Microsoft JhengHei" w:hint="eastAsia"/>
                <w:b/>
                <w:sz w:val="21"/>
              </w:rPr>
              <w:t>、</w:t>
            </w:r>
            <w:r>
              <w:rPr>
                <w:rFonts w:ascii="Times New Roman" w:eastAsia="Times New Roman"/>
                <w:b/>
                <w:sz w:val="21"/>
              </w:rPr>
              <w:t>ALZ-801 </w:t>
            </w:r>
            <w:r>
              <w:rPr>
                <w:rFonts w:ascii="Microsoft JhengHei" w:eastAsia="Microsoft JhengHei" w:hint="eastAsia"/>
                <w:b/>
                <w:sz w:val="21"/>
              </w:rPr>
              <w:t>作用于 </w:t>
            </w:r>
            <w:r>
              <w:rPr>
                <w:rFonts w:ascii="Times New Roman" w:eastAsia="Times New Roman"/>
                <w:b/>
                <w:sz w:val="21"/>
              </w:rPr>
              <w:t>AD </w:t>
            </w:r>
            <w:r>
              <w:rPr>
                <w:rFonts w:ascii="Microsoft JhengHei" w:eastAsia="Microsoft JhengHei" w:hint="eastAsia"/>
                <w:b/>
                <w:sz w:val="21"/>
              </w:rPr>
              <w:t>中所有抗淀粉样蛋白药物的上游</w:t>
            </w:r>
          </w:p>
        </w:tc>
      </w:tr>
      <w:tr>
        <w:trPr>
          <w:trHeight w:val="6804" w:hRule="atLeast"/>
        </w:trPr>
        <w:tc>
          <w:tcPr>
            <w:tcW w:w="7543" w:type="dxa"/>
            <w:tcBorders>
              <w:top w:val="single" w:sz="4" w:space="0" w:color="000000"/>
              <w:bottom w:val="single" w:sz="4" w:space="0" w:color="000000"/>
            </w:tcBorders>
          </w:tcPr>
          <w:p>
            <w:pPr>
              <w:pStyle w:val="TableParagraph"/>
              <w:spacing w:before="3"/>
              <w:rPr>
                <w:sz w:val="12"/>
              </w:rPr>
            </w:pPr>
          </w:p>
          <w:p>
            <w:pPr>
              <w:pStyle w:val="TableParagraph"/>
              <w:ind w:left="210"/>
              <w:rPr>
                <w:sz w:val="20"/>
              </w:rPr>
            </w:pPr>
            <w:r>
              <w:rPr>
                <w:sz w:val="20"/>
              </w:rPr>
              <w:drawing>
                <wp:inline distT="0" distB="0" distL="0" distR="0">
                  <wp:extent cx="4517252" cy="2157983"/>
                  <wp:effectExtent l="0" t="0" r="0" b="0"/>
                  <wp:docPr id="47" name="image24.jpeg"/>
                  <wp:cNvGraphicFramePr>
                    <a:graphicFrameLocks noChangeAspect="1"/>
                  </wp:cNvGraphicFramePr>
                  <a:graphic>
                    <a:graphicData uri="http://schemas.openxmlformats.org/drawingml/2006/picture">
                      <pic:pic>
                        <pic:nvPicPr>
                          <pic:cNvPr id="48" name="image24.jpeg"/>
                          <pic:cNvPicPr/>
                        </pic:nvPicPr>
                        <pic:blipFill>
                          <a:blip r:embed="rId44" cstate="print"/>
                          <a:stretch>
                            <a:fillRect/>
                          </a:stretch>
                        </pic:blipFill>
                        <pic:spPr>
                          <a:xfrm>
                            <a:off x="0" y="0"/>
                            <a:ext cx="4517252" cy="2157983"/>
                          </a:xfrm>
                          <a:prstGeom prst="rect">
                            <a:avLst/>
                          </a:prstGeom>
                        </pic:spPr>
                      </pic:pic>
                    </a:graphicData>
                  </a:graphic>
                </wp:inline>
              </w:drawing>
            </w:r>
            <w:r>
              <w:rPr>
                <w:sz w:val="20"/>
              </w:rPr>
            </w:r>
          </w:p>
          <w:p>
            <w:pPr>
              <w:pStyle w:val="TableParagraph"/>
              <w:spacing w:before="4" w:after="1"/>
              <w:rPr>
                <w:sz w:val="13"/>
              </w:rPr>
            </w:pPr>
          </w:p>
          <w:p>
            <w:pPr>
              <w:pStyle w:val="TableParagraph"/>
              <w:ind w:left="106"/>
              <w:rPr>
                <w:sz w:val="20"/>
              </w:rPr>
            </w:pPr>
            <w:r>
              <w:rPr>
                <w:sz w:val="20"/>
              </w:rPr>
              <w:drawing>
                <wp:inline distT="0" distB="0" distL="0" distR="0">
                  <wp:extent cx="4642923" cy="1810512"/>
                  <wp:effectExtent l="0" t="0" r="0" b="0"/>
                  <wp:docPr id="49" name="image25.jpeg"/>
                  <wp:cNvGraphicFramePr>
                    <a:graphicFrameLocks noChangeAspect="1"/>
                  </wp:cNvGraphicFramePr>
                  <a:graphic>
                    <a:graphicData uri="http://schemas.openxmlformats.org/drawingml/2006/picture">
                      <pic:pic>
                        <pic:nvPicPr>
                          <pic:cNvPr id="50" name="image25.jpeg"/>
                          <pic:cNvPicPr/>
                        </pic:nvPicPr>
                        <pic:blipFill>
                          <a:blip r:embed="rId45" cstate="print"/>
                          <a:stretch>
                            <a:fillRect/>
                          </a:stretch>
                        </pic:blipFill>
                        <pic:spPr>
                          <a:xfrm>
                            <a:off x="0" y="0"/>
                            <a:ext cx="4642923" cy="1810512"/>
                          </a:xfrm>
                          <a:prstGeom prst="rect">
                            <a:avLst/>
                          </a:prstGeom>
                        </pic:spPr>
                      </pic:pic>
                    </a:graphicData>
                  </a:graphic>
                </wp:inline>
              </w:drawing>
            </w:r>
            <w:r>
              <w:rPr>
                <w:sz w:val="20"/>
              </w:rPr>
            </w:r>
          </w:p>
        </w:tc>
      </w:tr>
      <w:tr>
        <w:trPr>
          <w:trHeight w:val="240" w:hRule="atLeast"/>
        </w:trPr>
        <w:tc>
          <w:tcPr>
            <w:tcW w:w="7543" w:type="dxa"/>
            <w:tcBorders>
              <w:top w:val="single" w:sz="4" w:space="0" w:color="000000"/>
            </w:tcBorders>
          </w:tcPr>
          <w:p>
            <w:pPr>
              <w:pStyle w:val="TableParagraph"/>
              <w:spacing w:line="199" w:lineRule="exact" w:before="21"/>
              <w:ind w:left="108"/>
              <w:rPr>
                <w:sz w:val="18"/>
              </w:rPr>
            </w:pPr>
            <w:r>
              <w:rPr>
                <w:sz w:val="18"/>
              </w:rPr>
              <w:t>资料来源：</w:t>
            </w:r>
            <w:r>
              <w:rPr>
                <w:rFonts w:ascii="Times New Roman" w:eastAsia="Times New Roman"/>
                <w:sz w:val="18"/>
              </w:rPr>
              <w:t>Alzheon </w:t>
            </w:r>
            <w:r>
              <w:rPr>
                <w:sz w:val="18"/>
              </w:rPr>
              <w:t>官网，兴业证券经济与金融研究院整理</w:t>
            </w:r>
          </w:p>
        </w:tc>
      </w:tr>
    </w:tbl>
    <w:p>
      <w:pPr>
        <w:pStyle w:val="BodyText"/>
        <w:spacing w:before="4"/>
        <w:rPr>
          <w:sz w:val="17"/>
        </w:rPr>
      </w:pPr>
    </w:p>
    <w:p>
      <w:pPr>
        <w:pStyle w:val="ListParagraph"/>
        <w:numPr>
          <w:ilvl w:val="0"/>
          <w:numId w:val="11"/>
        </w:numPr>
        <w:tabs>
          <w:tab w:pos="3445" w:val="left" w:leader="none"/>
        </w:tabs>
        <w:spacing w:line="340" w:lineRule="exact" w:before="17" w:after="0"/>
        <w:ind w:left="3163" w:right="620" w:firstLine="0"/>
        <w:jc w:val="left"/>
        <w:rPr>
          <w:sz w:val="21"/>
        </w:rPr>
      </w:pPr>
      <w:r>
        <w:rPr>
          <w:rFonts w:ascii="Microsoft JhengHei" w:hAnsi="Microsoft JhengHei" w:eastAsia="Microsoft JhengHei" w:hint="eastAsia"/>
          <w:b/>
          <w:spacing w:val="4"/>
          <w:sz w:val="21"/>
        </w:rPr>
        <w:t>此外，还有 </w:t>
      </w:r>
      <w:r>
        <w:rPr>
          <w:rFonts w:ascii="Times New Roman" w:hAnsi="Times New Roman" w:eastAsia="Times New Roman"/>
          <w:b/>
          <w:sz w:val="21"/>
        </w:rPr>
        <w:t>A</w:t>
      </w:r>
      <w:r>
        <w:rPr>
          <w:rFonts w:ascii="Microsoft JhengHei" w:hAnsi="Microsoft JhengHei" w:eastAsia="Microsoft JhengHei" w:hint="eastAsia"/>
          <w:b/>
          <w:sz w:val="21"/>
        </w:rPr>
        <w:t>β</w:t>
      </w:r>
      <w:r>
        <w:rPr>
          <w:rFonts w:ascii="Microsoft JhengHei" w:hAnsi="Microsoft JhengHei" w:eastAsia="Microsoft JhengHei" w:hint="eastAsia"/>
          <w:b/>
          <w:spacing w:val="7"/>
          <w:sz w:val="21"/>
        </w:rPr>
        <w:t>疫苗 </w:t>
      </w:r>
      <w:r>
        <w:rPr>
          <w:rFonts w:ascii="Times New Roman" w:hAnsi="Times New Roman" w:eastAsia="Times New Roman"/>
          <w:b/>
          <w:spacing w:val="-3"/>
          <w:sz w:val="21"/>
        </w:rPr>
        <w:t>UB-311</w:t>
      </w:r>
      <w:r>
        <w:rPr>
          <w:rFonts w:ascii="Times New Roman" w:hAnsi="Times New Roman" w:eastAsia="Times New Roman"/>
          <w:b/>
          <w:spacing w:val="25"/>
          <w:sz w:val="21"/>
        </w:rPr>
        <w:t> </w:t>
      </w:r>
      <w:r>
        <w:rPr>
          <w:rFonts w:ascii="Microsoft JhengHei" w:hAnsi="Microsoft JhengHei" w:eastAsia="Microsoft JhengHei" w:hint="eastAsia"/>
          <w:b/>
          <w:spacing w:val="9"/>
          <w:sz w:val="21"/>
        </w:rPr>
        <w:t>和抗 </w:t>
      </w:r>
      <w:r>
        <w:rPr>
          <w:rFonts w:ascii="Times New Roman" w:hAnsi="Times New Roman" w:eastAsia="Times New Roman"/>
          <w:b/>
          <w:sz w:val="21"/>
        </w:rPr>
        <w:t>A</w:t>
      </w:r>
      <w:r>
        <w:rPr>
          <w:rFonts w:ascii="Microsoft JhengHei" w:hAnsi="Microsoft JhengHei" w:eastAsia="Microsoft JhengHei" w:hint="eastAsia"/>
          <w:b/>
          <w:sz w:val="21"/>
        </w:rPr>
        <w:t>β</w:t>
      </w:r>
      <w:r>
        <w:rPr>
          <w:rFonts w:ascii="Microsoft JhengHei" w:hAnsi="Microsoft JhengHei" w:eastAsia="Microsoft JhengHei" w:hint="eastAsia"/>
          <w:b/>
          <w:spacing w:val="3"/>
          <w:sz w:val="21"/>
        </w:rPr>
        <w:t>寡聚体单抗 </w:t>
      </w:r>
      <w:r>
        <w:rPr>
          <w:rFonts w:ascii="Times New Roman" w:hAnsi="Times New Roman" w:eastAsia="Times New Roman"/>
          <w:b/>
          <w:sz w:val="21"/>
        </w:rPr>
        <w:t>ACU193</w:t>
      </w:r>
      <w:r>
        <w:rPr>
          <w:rFonts w:ascii="Times New Roman" w:hAnsi="Times New Roman" w:eastAsia="Times New Roman"/>
          <w:b/>
          <w:spacing w:val="24"/>
          <w:sz w:val="21"/>
        </w:rPr>
        <w:t> </w:t>
      </w:r>
      <w:r>
        <w:rPr>
          <w:rFonts w:ascii="Microsoft JhengHei" w:hAnsi="Microsoft JhengHei" w:eastAsia="Microsoft JhengHei" w:hint="eastAsia"/>
          <w:b/>
          <w:spacing w:val="9"/>
          <w:sz w:val="21"/>
        </w:rPr>
        <w:t>获得 </w:t>
      </w:r>
      <w:r>
        <w:rPr>
          <w:rFonts w:ascii="Times New Roman" w:hAnsi="Times New Roman" w:eastAsia="Times New Roman"/>
          <w:b/>
          <w:sz w:val="21"/>
        </w:rPr>
        <w:t>FDA</w:t>
      </w:r>
      <w:r>
        <w:rPr>
          <w:rFonts w:ascii="Times New Roman" w:hAnsi="Times New Roman" w:eastAsia="Times New Roman"/>
          <w:b/>
          <w:spacing w:val="26"/>
          <w:sz w:val="21"/>
        </w:rPr>
        <w:t> </w:t>
      </w:r>
      <w:r>
        <w:rPr>
          <w:rFonts w:ascii="Microsoft JhengHei" w:hAnsi="Microsoft JhengHei" w:eastAsia="Microsoft JhengHei" w:hint="eastAsia"/>
          <w:b/>
          <w:sz w:val="21"/>
        </w:rPr>
        <w:t>快速通道认定。</w:t>
      </w:r>
      <w:r>
        <w:rPr>
          <w:rFonts w:ascii="Times New Roman" w:hAnsi="Times New Roman" w:eastAsia="Times New Roman"/>
          <w:sz w:val="21"/>
        </w:rPr>
        <w:t>Aβ</w:t>
      </w:r>
      <w:r>
        <w:rPr>
          <w:rFonts w:ascii="Times New Roman" w:hAnsi="Times New Roman" w:eastAsia="Times New Roman"/>
          <w:spacing w:val="18"/>
          <w:sz w:val="21"/>
        </w:rPr>
        <w:t> </w:t>
      </w:r>
      <w:r>
        <w:rPr>
          <w:spacing w:val="-13"/>
          <w:sz w:val="21"/>
        </w:rPr>
        <w:t>疫苗 </w:t>
      </w:r>
      <w:r>
        <w:rPr>
          <w:rFonts w:ascii="Times New Roman" w:hAnsi="Times New Roman" w:eastAsia="Times New Roman"/>
          <w:sz w:val="21"/>
        </w:rPr>
        <w:t>UB-311</w:t>
      </w:r>
      <w:r>
        <w:rPr>
          <w:rFonts w:ascii="Times New Roman" w:hAnsi="Times New Roman" w:eastAsia="Times New Roman"/>
          <w:spacing w:val="15"/>
          <w:sz w:val="21"/>
        </w:rPr>
        <w:t> </w:t>
      </w:r>
      <w:r>
        <w:rPr>
          <w:spacing w:val="-7"/>
          <w:sz w:val="21"/>
        </w:rPr>
        <w:t>是由两种合成的 </w:t>
      </w:r>
      <w:r>
        <w:rPr>
          <w:rFonts w:ascii="Times New Roman" w:hAnsi="Times New Roman" w:eastAsia="Times New Roman"/>
          <w:sz w:val="21"/>
        </w:rPr>
        <w:t>A</w:t>
      </w:r>
      <w:r>
        <w:rPr>
          <w:sz w:val="21"/>
        </w:rPr>
        <w:t>β</w:t>
      </w:r>
      <w:r>
        <w:rPr>
          <w:rFonts w:ascii="Times New Roman" w:hAnsi="Times New Roman" w:eastAsia="Times New Roman"/>
          <w:sz w:val="21"/>
        </w:rPr>
        <w:t>1-14</w:t>
      </w:r>
      <w:r>
        <w:rPr>
          <w:rFonts w:ascii="Times New Roman" w:hAnsi="Times New Roman" w:eastAsia="Times New Roman"/>
          <w:spacing w:val="15"/>
          <w:sz w:val="21"/>
        </w:rPr>
        <w:t> </w:t>
      </w:r>
      <w:r>
        <w:rPr>
          <w:sz w:val="21"/>
        </w:rPr>
        <w:t>靶向肽（</w:t>
      </w:r>
      <w:r>
        <w:rPr>
          <w:rFonts w:ascii="Times New Roman" w:hAnsi="Times New Roman" w:eastAsia="Times New Roman"/>
          <w:sz w:val="21"/>
        </w:rPr>
        <w:t>B</w:t>
      </w:r>
      <w:r>
        <w:rPr>
          <w:rFonts w:ascii="Times New Roman" w:hAnsi="Times New Roman" w:eastAsia="Times New Roman"/>
          <w:spacing w:val="17"/>
          <w:sz w:val="21"/>
        </w:rPr>
        <w:t> </w:t>
      </w:r>
      <w:r>
        <w:rPr>
          <w:spacing w:val="-3"/>
          <w:sz w:val="21"/>
        </w:rPr>
        <w:t>细胞表位</w:t>
      </w:r>
      <w:r>
        <w:rPr>
          <w:sz w:val="21"/>
        </w:rPr>
        <w:t>）</w:t>
      </w:r>
      <w:r>
        <w:rPr>
          <w:spacing w:val="-2"/>
          <w:sz w:val="21"/>
        </w:rPr>
        <w:t>构成， </w:t>
      </w:r>
      <w:r>
        <w:rPr>
          <w:spacing w:val="-6"/>
          <w:sz w:val="21"/>
        </w:rPr>
        <w:t>每一段肽序与不同的 </w:t>
      </w:r>
      <w:r>
        <w:rPr>
          <w:rFonts w:ascii="Times New Roman" w:hAnsi="Times New Roman" w:eastAsia="Times New Roman"/>
          <w:sz w:val="21"/>
        </w:rPr>
        <w:t>Th</w:t>
      </w:r>
      <w:r>
        <w:rPr>
          <w:rFonts w:ascii="Times New Roman" w:hAnsi="Times New Roman" w:eastAsia="Times New Roman"/>
          <w:spacing w:val="18"/>
          <w:sz w:val="21"/>
        </w:rPr>
        <w:t> </w:t>
      </w:r>
      <w:r>
        <w:rPr>
          <w:spacing w:val="-2"/>
          <w:sz w:val="21"/>
        </w:rPr>
        <w:t>细胞肽表位</w:t>
      </w:r>
      <w:r>
        <w:rPr>
          <w:sz w:val="21"/>
        </w:rPr>
        <w:t>（</w:t>
      </w:r>
      <w:r>
        <w:rPr>
          <w:rFonts w:ascii="Times New Roman" w:hAnsi="Times New Roman" w:eastAsia="Times New Roman"/>
          <w:sz w:val="21"/>
        </w:rPr>
        <w:t>UBITh</w:t>
      </w:r>
      <w:r>
        <w:rPr>
          <w:sz w:val="21"/>
        </w:rPr>
        <w:t>）</w:t>
      </w:r>
      <w:r>
        <w:rPr>
          <w:spacing w:val="-7"/>
          <w:sz w:val="21"/>
        </w:rPr>
        <w:t>相连。其中，两种 </w:t>
      </w:r>
      <w:r>
        <w:rPr>
          <w:rFonts w:ascii="Times New Roman" w:hAnsi="Times New Roman" w:eastAsia="Times New Roman"/>
          <w:sz w:val="21"/>
        </w:rPr>
        <w:t>UBITh</w:t>
      </w:r>
      <w:r>
        <w:rPr>
          <w:rFonts w:ascii="Times New Roman" w:hAnsi="Times New Roman" w:eastAsia="Times New Roman"/>
          <w:spacing w:val="21"/>
          <w:sz w:val="21"/>
        </w:rPr>
        <w:t> </w:t>
      </w:r>
      <w:r>
        <w:rPr>
          <w:spacing w:val="-2"/>
          <w:sz w:val="21"/>
        </w:rPr>
        <w:t>分别来</w:t>
      </w:r>
      <w:r>
        <w:rPr>
          <w:spacing w:val="-3"/>
          <w:sz w:val="21"/>
        </w:rPr>
        <w:t>自乙型肝炎表面抗原和麻疹病毒融合蛋白，以最大限度地提高免疫原性。临床实验表明，</w:t>
      </w:r>
      <w:r>
        <w:rPr>
          <w:rFonts w:ascii="Times New Roman" w:hAnsi="Times New Roman" w:eastAsia="Times New Roman"/>
          <w:sz w:val="21"/>
        </w:rPr>
        <w:t>UB-311</w:t>
      </w:r>
      <w:r>
        <w:rPr>
          <w:rFonts w:ascii="Times New Roman" w:hAnsi="Times New Roman" w:eastAsia="Times New Roman"/>
          <w:spacing w:val="1"/>
          <w:sz w:val="21"/>
        </w:rPr>
        <w:t> </w:t>
      </w:r>
      <w:r>
        <w:rPr>
          <w:spacing w:val="-27"/>
          <w:sz w:val="21"/>
        </w:rPr>
        <w:t>在 </w:t>
      </w:r>
      <w:r>
        <w:rPr>
          <w:rFonts w:ascii="Times New Roman" w:hAnsi="Times New Roman" w:eastAsia="Times New Roman"/>
          <w:sz w:val="21"/>
        </w:rPr>
        <w:t>FIH </w:t>
      </w:r>
      <w:r>
        <w:rPr>
          <w:spacing w:val="-11"/>
          <w:sz w:val="21"/>
        </w:rPr>
        <w:t>试验中对所有 </w:t>
      </w:r>
      <w:r>
        <w:rPr>
          <w:rFonts w:ascii="Times New Roman" w:hAnsi="Times New Roman" w:eastAsia="Times New Roman"/>
          <w:sz w:val="21"/>
        </w:rPr>
        <w:t>AD</w:t>
      </w:r>
      <w:r>
        <w:rPr>
          <w:rFonts w:ascii="Times New Roman" w:hAnsi="Times New Roman" w:eastAsia="Times New Roman"/>
          <w:spacing w:val="3"/>
          <w:sz w:val="21"/>
        </w:rPr>
        <w:t> </w:t>
      </w:r>
      <w:r>
        <w:rPr>
          <w:spacing w:val="-11"/>
          <w:sz w:val="21"/>
        </w:rPr>
        <w:t>患者产生了 </w:t>
      </w:r>
      <w:r>
        <w:rPr>
          <w:rFonts w:ascii="Times New Roman" w:hAnsi="Times New Roman" w:eastAsia="Times New Roman"/>
          <w:sz w:val="21"/>
        </w:rPr>
        <w:t>100%</w:t>
      </w:r>
      <w:r>
        <w:rPr>
          <w:spacing w:val="-3"/>
          <w:sz w:val="21"/>
        </w:rPr>
        <w:t>的反应率</w:t>
      </w:r>
      <w:r>
        <w:rPr>
          <w:sz w:val="21"/>
        </w:rPr>
        <w:t>（</w:t>
      </w:r>
      <w:r>
        <w:rPr>
          <w:spacing w:val="-2"/>
          <w:sz w:val="21"/>
        </w:rPr>
        <w:t>罕见</w:t>
      </w:r>
      <w:r>
        <w:rPr>
          <w:sz w:val="21"/>
        </w:rPr>
        <w:t>）， </w:t>
      </w:r>
      <w:r>
        <w:rPr>
          <w:spacing w:val="-3"/>
          <w:sz w:val="21"/>
        </w:rPr>
        <w:t>可能对阿尔茨海默氏症痴呆早期患者具有认知改善的潜力。</w:t>
      </w:r>
    </w:p>
    <w:p>
      <w:pPr>
        <w:spacing w:after="0" w:line="340" w:lineRule="exact"/>
        <w:jc w:val="left"/>
        <w:rPr>
          <w:sz w:val="21"/>
        </w:rPr>
        <w:sectPr>
          <w:pgSz w:w="11910" w:h="16840"/>
          <w:pgMar w:header="868" w:footer="1201" w:top="1400" w:bottom="1400" w:left="240" w:right="400"/>
        </w:sectPr>
      </w:pPr>
    </w:p>
    <w:p>
      <w:pPr>
        <w:pStyle w:val="BodyText"/>
        <w:spacing w:before="4"/>
        <w:rPr>
          <w:sz w:val="13"/>
        </w:rPr>
      </w:pPr>
    </w:p>
    <w:p>
      <w:pPr>
        <w:pStyle w:val="BodyText"/>
        <w:spacing w:line="20" w:lineRule="exact"/>
        <w:ind w:left="614"/>
        <w:rPr>
          <w:sz w:val="2"/>
        </w:rPr>
      </w:pPr>
      <w:r>
        <w:rPr>
          <w:sz w:val="2"/>
        </w:rPr>
        <w:pict>
          <v:group style="width:508.1pt;height:.75pt;mso-position-horizontal-relative:char;mso-position-vertical-relative:line" coordorigin="0,0" coordsize="10162,15">
            <v:rect style="position:absolute;left:0;top:0;width:10162;height:15" filled="true" fillcolor="#333366" stroked="false">
              <v:fill type="solid"/>
            </v:rect>
          </v:group>
        </w:pict>
      </w:r>
      <w:r>
        <w:rPr>
          <w:sz w:val="2"/>
        </w:rPr>
      </w:r>
    </w:p>
    <w:p>
      <w:pPr>
        <w:pStyle w:val="Heading3"/>
        <w:spacing w:line="292" w:lineRule="exact"/>
        <w:ind w:left="3163"/>
        <w:jc w:val="both"/>
      </w:pPr>
      <w:r>
        <w:rPr>
          <w:rFonts w:ascii="Times New Roman" w:hAnsi="Times New Roman" w:eastAsia="Times New Roman"/>
        </w:rPr>
        <w:t>ACU193 </w:t>
      </w:r>
      <w:r>
        <w:rPr/>
        <w:t>是一种抗 </w:t>
      </w:r>
      <w:r>
        <w:rPr>
          <w:rFonts w:ascii="Times New Roman" w:hAnsi="Times New Roman" w:eastAsia="Times New Roman"/>
        </w:rPr>
        <w:t>Aβ </w:t>
      </w:r>
      <w:r>
        <w:rPr/>
        <w:t>寡聚体（</w:t>
      </w:r>
      <w:r>
        <w:rPr>
          <w:rFonts w:ascii="Times New Roman" w:hAnsi="Times New Roman" w:eastAsia="Times New Roman"/>
        </w:rPr>
        <w:t>AβOs</w:t>
      </w:r>
      <w:r>
        <w:rPr/>
        <w:t>）单抗，在治疗 </w:t>
      </w:r>
      <w:r>
        <w:rPr>
          <w:rFonts w:ascii="Times New Roman" w:hAnsi="Times New Roman" w:eastAsia="Times New Roman"/>
        </w:rPr>
        <w:t>AD </w:t>
      </w:r>
      <w:r>
        <w:rPr/>
        <w:t>方面具有同类最佳的潜</w:t>
      </w:r>
    </w:p>
    <w:p>
      <w:pPr>
        <w:pStyle w:val="BodyText"/>
        <w:spacing w:line="363" w:lineRule="exact"/>
        <w:ind w:left="3163"/>
      </w:pPr>
      <w:r>
        <w:rPr>
          <w:rFonts w:ascii="Microsoft JhengHei" w:hAnsi="Microsoft JhengHei" w:eastAsia="Microsoft JhengHei" w:hint="eastAsia"/>
          <w:b/>
        </w:rPr>
        <w:t>力。</w:t>
      </w:r>
      <w:r>
        <w:rPr/>
        <w:t>它通过阻止 </w:t>
      </w:r>
      <w:r>
        <w:rPr>
          <w:rFonts w:ascii="Times New Roman" w:hAnsi="Times New Roman" w:eastAsia="Times New Roman"/>
        </w:rPr>
        <w:t>AβO </w:t>
      </w:r>
      <w:r>
        <w:rPr/>
        <w:t>与树突棘结合来帮助保护神经元功能，进而发挥治疗作用。</w:t>
      </w:r>
    </w:p>
    <w:p>
      <w:pPr>
        <w:pStyle w:val="BodyText"/>
        <w:spacing w:line="302" w:lineRule="auto" w:before="24"/>
        <w:ind w:left="3163" w:right="573"/>
        <w:rPr>
          <w:rFonts w:ascii="Times New Roman" w:hAnsi="Times New Roman" w:eastAsia="Times New Roman"/>
        </w:rPr>
      </w:pPr>
      <w:r>
        <w:rPr>
          <w:spacing w:val="-11"/>
        </w:rPr>
        <w:t>与其他 </w:t>
      </w:r>
      <w:r>
        <w:rPr>
          <w:rFonts w:ascii="Times New Roman" w:hAnsi="Times New Roman" w:eastAsia="Times New Roman"/>
        </w:rPr>
        <w:t>Aβ </w:t>
      </w:r>
      <w:r>
        <w:rPr>
          <w:spacing w:val="-3"/>
        </w:rPr>
        <w:t>单抗相比，</w:t>
      </w:r>
      <w:r>
        <w:rPr>
          <w:rFonts w:ascii="Times New Roman" w:hAnsi="Times New Roman" w:eastAsia="Times New Roman"/>
          <w:spacing w:val="-7"/>
        </w:rPr>
        <w:t>ACU193 </w:t>
      </w:r>
      <w:r>
        <w:rPr>
          <w:spacing w:val="7"/>
        </w:rPr>
        <w:t>的优势是对</w:t>
      </w:r>
      <w:r>
        <w:rPr>
          <w:rFonts w:ascii="Times New Roman" w:hAnsi="Times New Roman" w:eastAsia="Times New Roman"/>
        </w:rPr>
        <w:t>Aβ </w:t>
      </w:r>
      <w:r>
        <w:rPr>
          <w:spacing w:val="-16"/>
        </w:rPr>
        <w:t>寡聚体</w:t>
      </w:r>
      <w:r>
        <w:rPr>
          <w:spacing w:val="-8"/>
        </w:rPr>
        <w:t>（</w:t>
      </w:r>
      <w:r>
        <w:rPr>
          <w:rFonts w:ascii="Times New Roman" w:hAnsi="Times New Roman" w:eastAsia="Times New Roman"/>
          <w:spacing w:val="-8"/>
        </w:rPr>
        <w:t>AβOs</w:t>
      </w:r>
      <w:r>
        <w:rPr>
          <w:spacing w:val="-8"/>
        </w:rPr>
        <w:t>）</w:t>
      </w:r>
      <w:r>
        <w:rPr>
          <w:spacing w:val="-3"/>
        </w:rPr>
        <w:t>具有高度特异性。</w:t>
      </w:r>
      <w:r>
        <w:rPr>
          <w:rFonts w:ascii="Times New Roman" w:hAnsi="Times New Roman" w:eastAsia="Times New Roman"/>
        </w:rPr>
        <w:t>7</w:t>
      </w:r>
      <w:r>
        <w:rPr>
          <w:rFonts w:ascii="Times New Roman" w:hAnsi="Times New Roman" w:eastAsia="Times New Roman"/>
          <w:spacing w:val="12"/>
        </w:rPr>
        <w:t> </w:t>
      </w:r>
      <w:r>
        <w:rPr>
          <w:spacing w:val="-21"/>
        </w:rPr>
        <w:t>月 </w:t>
      </w:r>
      <w:r>
        <w:rPr>
          <w:rFonts w:ascii="Times New Roman" w:hAnsi="Times New Roman" w:eastAsia="Times New Roman"/>
        </w:rPr>
        <w:t>17 </w:t>
      </w:r>
      <w:r>
        <w:rPr/>
        <w:t>日，</w:t>
      </w:r>
      <w:r>
        <w:rPr>
          <w:rFonts w:ascii="Times New Roman" w:hAnsi="Times New Roman" w:eastAsia="Times New Roman"/>
        </w:rPr>
        <w:t>Acumen </w:t>
      </w:r>
      <w:r>
        <w:rPr>
          <w:spacing w:val="-13"/>
        </w:rPr>
        <w:t>宣布其 </w:t>
      </w:r>
      <w:r>
        <w:rPr>
          <w:rFonts w:ascii="Times New Roman" w:hAnsi="Times New Roman" w:eastAsia="Times New Roman"/>
        </w:rPr>
        <w:t>A</w:t>
      </w:r>
      <w:r>
        <w:rPr/>
        <w:t>β</w:t>
      </w:r>
      <w:r>
        <w:rPr>
          <w:rFonts w:ascii="Times New Roman" w:hAnsi="Times New Roman" w:eastAsia="Times New Roman"/>
        </w:rPr>
        <w:t>Os </w:t>
      </w:r>
      <w:r>
        <w:rPr>
          <w:spacing w:val="-13"/>
        </w:rPr>
        <w:t>抗体药 </w:t>
      </w:r>
      <w:r>
        <w:rPr>
          <w:rFonts w:ascii="Times New Roman" w:hAnsi="Times New Roman" w:eastAsia="Times New Roman"/>
        </w:rPr>
        <w:t>ACU193 </w:t>
      </w:r>
      <w:r>
        <w:rPr>
          <w:spacing w:val="-20"/>
        </w:rPr>
        <w:t>的 </w:t>
      </w:r>
      <w:r>
        <w:rPr>
          <w:rFonts w:ascii="Times New Roman" w:hAnsi="Times New Roman" w:eastAsia="Times New Roman"/>
        </w:rPr>
        <w:t>I </w:t>
      </w:r>
      <w:r>
        <w:rPr>
          <w:spacing w:val="-3"/>
        </w:rPr>
        <w:t>期临床获阳性顶线结果。</w:t>
      </w:r>
      <w:r>
        <w:rPr>
          <w:spacing w:val="-15"/>
        </w:rPr>
        <w:t>在较高剂量组群中观察到淀粉样斑块快速、剂量相关、统计学意义的显著</w:t>
      </w:r>
      <w:r>
        <w:rPr/>
        <w:t>（</w:t>
      </w:r>
      <w:r>
        <w:rPr>
          <w:rFonts w:ascii="Times New Roman" w:hAnsi="Times New Roman" w:eastAsia="Times New Roman"/>
        </w:rPr>
        <w:t>p=0.01</w:t>
      </w:r>
      <w:r>
        <w:rPr/>
        <w:t>） 减少，</w:t>
      </w:r>
      <w:r>
        <w:rPr>
          <w:rFonts w:ascii="Times New Roman" w:hAnsi="Times New Roman" w:eastAsia="Times New Roman"/>
        </w:rPr>
        <w:t>60 mg/kg Q4W </w:t>
      </w:r>
      <w:r>
        <w:rPr>
          <w:spacing w:val="-12"/>
        </w:rPr>
        <w:t>组群在第 </w:t>
      </w:r>
      <w:r>
        <w:rPr>
          <w:rFonts w:ascii="Times New Roman" w:hAnsi="Times New Roman" w:eastAsia="Times New Roman"/>
        </w:rPr>
        <w:t>63 </w:t>
      </w:r>
      <w:r>
        <w:rPr>
          <w:spacing w:val="-15"/>
        </w:rPr>
        <w:t>天减少 </w:t>
      </w:r>
      <w:r>
        <w:rPr>
          <w:rFonts w:ascii="Times New Roman" w:hAnsi="Times New Roman" w:eastAsia="Times New Roman"/>
        </w:rPr>
        <w:t>25%</w:t>
      </w:r>
      <w:r>
        <w:rPr/>
        <w:t>，</w:t>
      </w:r>
      <w:r>
        <w:rPr>
          <w:rFonts w:ascii="Times New Roman" w:hAnsi="Times New Roman" w:eastAsia="Times New Roman"/>
        </w:rPr>
        <w:t>25 mg/kg Q2W </w:t>
      </w:r>
      <w:r>
        <w:rPr>
          <w:spacing w:val="-13"/>
        </w:rPr>
        <w:t>组群在第 </w:t>
      </w:r>
      <w:r>
        <w:rPr>
          <w:rFonts w:ascii="Times New Roman" w:hAnsi="Times New Roman" w:eastAsia="Times New Roman"/>
        </w:rPr>
        <w:t>70 </w:t>
      </w:r>
      <w:r>
        <w:rPr>
          <w:spacing w:val="-3"/>
        </w:rPr>
        <w:t>天减</w:t>
      </w:r>
      <w:r>
        <w:rPr>
          <w:w w:val="100"/>
        </w:rPr>
        <w:t>少</w:t>
      </w:r>
      <w:r>
        <w:rPr>
          <w:spacing w:val="-52"/>
        </w:rPr>
        <w:t> </w:t>
      </w:r>
      <w:r>
        <w:rPr>
          <w:rFonts w:ascii="Times New Roman" w:hAnsi="Times New Roman" w:eastAsia="Times New Roman"/>
          <w:w w:val="100"/>
        </w:rPr>
        <w:t>21</w:t>
      </w:r>
      <w:r>
        <w:rPr>
          <w:rFonts w:ascii="Times New Roman" w:hAnsi="Times New Roman" w:eastAsia="Times New Roman"/>
          <w:spacing w:val="-4"/>
          <w:w w:val="100"/>
        </w:rPr>
        <w:t>%</w:t>
      </w:r>
      <w:r>
        <w:rPr>
          <w:spacing w:val="-20"/>
          <w:w w:val="100"/>
        </w:rPr>
        <w:t>，耐受性良好，给药后观察到</w:t>
      </w:r>
      <w:r>
        <w:rPr>
          <w:spacing w:val="-20"/>
        </w:rPr>
        <w:t> </w:t>
      </w:r>
      <w:r>
        <w:rPr>
          <w:rFonts w:ascii="Times New Roman" w:hAnsi="Times New Roman" w:eastAsia="Times New Roman"/>
          <w:w w:val="100"/>
        </w:rPr>
        <w:t>3</w:t>
      </w:r>
      <w:r>
        <w:rPr>
          <w:rFonts w:ascii="Times New Roman" w:hAnsi="Times New Roman" w:eastAsia="Times New Roman"/>
        </w:rPr>
        <w:t> </w:t>
      </w:r>
      <w:r>
        <w:rPr>
          <w:w w:val="100"/>
        </w:rPr>
        <w:t>例</w:t>
      </w:r>
      <w:r>
        <w:rPr>
          <w:spacing w:val="-53"/>
        </w:rPr>
        <w:t> </w:t>
      </w:r>
      <w:r>
        <w:rPr>
          <w:rFonts w:ascii="Times New Roman" w:hAnsi="Times New Roman" w:eastAsia="Times New Roman"/>
          <w:spacing w:val="-3"/>
          <w:w w:val="100"/>
        </w:rPr>
        <w:t>S</w:t>
      </w:r>
      <w:r>
        <w:rPr>
          <w:rFonts w:ascii="Times New Roman" w:hAnsi="Times New Roman" w:eastAsia="Times New Roman"/>
          <w:spacing w:val="-2"/>
          <w:w w:val="100"/>
        </w:rPr>
        <w:t>A</w:t>
      </w:r>
      <w:r>
        <w:rPr>
          <w:rFonts w:ascii="Times New Roman" w:hAnsi="Times New Roman" w:eastAsia="Times New Roman"/>
          <w:w w:val="100"/>
        </w:rPr>
        <w:t>Es</w:t>
      </w:r>
      <w:r>
        <w:rPr>
          <w:spacing w:val="-12"/>
          <w:w w:val="100"/>
        </w:rPr>
        <w:t>，所有不良事件均被认为与</w:t>
      </w:r>
      <w:r>
        <w:rPr>
          <w:spacing w:val="-12"/>
        </w:rPr>
        <w:t> </w:t>
      </w:r>
      <w:r>
        <w:rPr>
          <w:rFonts w:ascii="Times New Roman" w:hAnsi="Times New Roman" w:eastAsia="Times New Roman"/>
          <w:spacing w:val="-2"/>
          <w:w w:val="100"/>
        </w:rPr>
        <w:t>ACU</w:t>
      </w:r>
      <w:r>
        <w:rPr>
          <w:rFonts w:ascii="Times New Roman" w:hAnsi="Times New Roman" w:eastAsia="Times New Roman"/>
          <w:w w:val="100"/>
        </w:rPr>
        <w:t>193</w:t>
      </w:r>
      <w:r>
        <w:rPr>
          <w:spacing w:val="-6"/>
        </w:rPr>
        <w:t>无关或不太可能有关，所有剂量组最常见的治疗突发不良事件</w:t>
      </w:r>
      <w:r>
        <w:rPr>
          <w:spacing w:val="-5"/>
        </w:rPr>
        <w:t>（</w:t>
      </w:r>
      <w:r>
        <w:rPr>
          <w:rFonts w:ascii="Times New Roman" w:hAnsi="Times New Roman" w:eastAsia="Times New Roman"/>
          <w:spacing w:val="-5"/>
        </w:rPr>
        <w:t>AEs</w:t>
      </w:r>
      <w:r>
        <w:rPr>
          <w:spacing w:val="-5"/>
        </w:rPr>
        <w:t>）</w:t>
      </w:r>
      <w:r>
        <w:rPr>
          <w:spacing w:val="-23"/>
        </w:rPr>
        <w:t>为 </w:t>
      </w:r>
      <w:r>
        <w:rPr>
          <w:rFonts w:ascii="Times New Roman" w:hAnsi="Times New Roman" w:eastAsia="Times New Roman"/>
        </w:rPr>
        <w:t>ARIA-E</w:t>
      </w:r>
    </w:p>
    <w:p>
      <w:pPr>
        <w:pStyle w:val="BodyText"/>
        <w:spacing w:before="8"/>
        <w:ind w:left="3163"/>
      </w:pPr>
      <w:r>
        <w:rPr/>
        <w:t>（</w:t>
      </w:r>
      <w:r>
        <w:rPr>
          <w:rFonts w:ascii="Times New Roman" w:eastAsia="Times New Roman"/>
        </w:rPr>
        <w:t>10.4%</w:t>
      </w:r>
      <w:r>
        <w:rPr/>
        <w:t>）、</w:t>
      </w:r>
      <w:r>
        <w:rPr>
          <w:rFonts w:ascii="Times New Roman" w:eastAsia="Times New Roman"/>
        </w:rPr>
        <w:t>ARIA-H</w:t>
      </w:r>
      <w:r>
        <w:rPr/>
        <w:t>（出血）（</w:t>
      </w:r>
      <w:r>
        <w:rPr>
          <w:rFonts w:ascii="Times New Roman" w:eastAsia="Times New Roman"/>
        </w:rPr>
        <w:t>8.3%</w:t>
      </w:r>
      <w:r>
        <w:rPr/>
        <w:t>）、</w:t>
      </w:r>
      <w:r>
        <w:rPr>
          <w:rFonts w:ascii="Times New Roman" w:eastAsia="Times New Roman"/>
        </w:rPr>
        <w:t>COVID-19</w:t>
      </w:r>
      <w:r>
        <w:rPr/>
        <w:t>（</w:t>
      </w:r>
      <w:r>
        <w:rPr>
          <w:rFonts w:ascii="Times New Roman" w:eastAsia="Times New Roman"/>
        </w:rPr>
        <w:t>6.3%</w:t>
      </w:r>
      <w:r>
        <w:rPr/>
        <w:t>）、过敏（</w:t>
      </w:r>
      <w:r>
        <w:rPr>
          <w:rFonts w:ascii="Times New Roman" w:eastAsia="Times New Roman"/>
        </w:rPr>
        <w:t>6.3%</w:t>
      </w:r>
      <w:r>
        <w:rPr/>
        <w:t>）。</w:t>
      </w:r>
    </w:p>
    <w:p>
      <w:pPr>
        <w:pStyle w:val="BodyText"/>
        <w:spacing w:before="10"/>
        <w:rPr>
          <w:sz w:val="23"/>
        </w:rPr>
      </w:pPr>
    </w:p>
    <w:p>
      <w:pPr>
        <w:spacing w:line="278" w:lineRule="auto" w:before="1"/>
        <w:ind w:left="3163" w:right="724" w:firstLine="0"/>
        <w:jc w:val="both"/>
        <w:rPr>
          <w:sz w:val="21"/>
        </w:rPr>
      </w:pPr>
      <w:r>
        <w:rPr>
          <w:rFonts w:ascii="Times New Roman" w:hAnsi="Times New Roman" w:eastAsia="Times New Roman"/>
          <w:b/>
          <w:sz w:val="21"/>
        </w:rPr>
        <w:t>7</w:t>
      </w:r>
      <w:r>
        <w:rPr>
          <w:rFonts w:ascii="Microsoft JhengHei" w:hAnsi="Microsoft JhengHei" w:eastAsia="Microsoft JhengHei" w:hint="eastAsia"/>
          <w:b/>
          <w:sz w:val="21"/>
        </w:rPr>
        <w:t>）分泌酶抑制剂（</w:t>
      </w:r>
      <w:r>
        <w:rPr>
          <w:rFonts w:ascii="Times New Roman" w:hAnsi="Times New Roman" w:eastAsia="Times New Roman"/>
          <w:b/>
          <w:sz w:val="21"/>
        </w:rPr>
        <w:t>BACE </w:t>
      </w:r>
      <w:r>
        <w:rPr>
          <w:rFonts w:ascii="Microsoft JhengHei" w:hAnsi="Microsoft JhengHei" w:eastAsia="Microsoft JhengHei" w:hint="eastAsia"/>
          <w:b/>
          <w:sz w:val="21"/>
        </w:rPr>
        <w:t>抑制剂和</w:t>
      </w:r>
      <w:r>
        <w:rPr>
          <w:rFonts w:ascii="Microsoft JhengHei" w:hAnsi="Microsoft JhengHei" w:eastAsia="Microsoft JhengHei" w:hint="eastAsia"/>
          <w:b/>
          <w:w w:val="110"/>
          <w:sz w:val="21"/>
        </w:rPr>
        <w:t>γ</w:t>
      </w:r>
      <w:r>
        <w:rPr>
          <w:rFonts w:ascii="Times New Roman" w:hAnsi="Times New Roman" w:eastAsia="Times New Roman"/>
          <w:b/>
          <w:w w:val="110"/>
          <w:sz w:val="21"/>
        </w:rPr>
        <w:t>-</w:t>
      </w:r>
      <w:r>
        <w:rPr>
          <w:rFonts w:ascii="Microsoft JhengHei" w:hAnsi="Microsoft JhengHei" w:eastAsia="Microsoft JhengHei" w:hint="eastAsia"/>
          <w:b/>
          <w:sz w:val="21"/>
        </w:rPr>
        <w:t>分泌酶抑制剂）</w:t>
      </w:r>
      <w:r>
        <w:rPr>
          <w:sz w:val="21"/>
        </w:rPr>
        <w:t>可以分别通过靶向β</w:t>
      </w:r>
      <w:r>
        <w:rPr>
          <w:rFonts w:ascii="Times New Roman" w:hAnsi="Times New Roman" w:eastAsia="Times New Roman"/>
          <w:sz w:val="21"/>
        </w:rPr>
        <w:t>-</w:t>
      </w:r>
      <w:r>
        <w:rPr>
          <w:sz w:val="21"/>
        </w:rPr>
        <w:t>分泌酶和γ</w:t>
      </w:r>
      <w:r>
        <w:rPr>
          <w:rFonts w:ascii="Times New Roman" w:hAnsi="Times New Roman" w:eastAsia="Times New Roman"/>
          <w:sz w:val="21"/>
        </w:rPr>
        <w:t>-</w:t>
      </w:r>
      <w:r>
        <w:rPr>
          <w:sz w:val="21"/>
        </w:rPr>
        <w:t>分泌酶的催化部位限制</w:t>
      </w:r>
      <w:r>
        <w:rPr>
          <w:rFonts w:ascii="Times New Roman" w:hAnsi="Times New Roman" w:eastAsia="Times New Roman"/>
          <w:sz w:val="21"/>
        </w:rPr>
        <w:t>A</w:t>
      </w:r>
      <w:r>
        <w:rPr>
          <w:sz w:val="21"/>
        </w:rPr>
        <w:t>β生产，但目前已知的临床试验显示出缺乏疗效甚至认知恶化的情况。</w:t>
      </w:r>
    </w:p>
    <w:p>
      <w:pPr>
        <w:pStyle w:val="BodyText"/>
        <w:spacing w:before="6"/>
        <w:rPr>
          <w:sz w:val="19"/>
        </w:rPr>
      </w:pPr>
    </w:p>
    <w:p>
      <w:pPr>
        <w:pStyle w:val="Heading3"/>
        <w:numPr>
          <w:ilvl w:val="3"/>
          <w:numId w:val="3"/>
        </w:numPr>
        <w:tabs>
          <w:tab w:pos="3796" w:val="left" w:leader="none"/>
        </w:tabs>
        <w:spacing w:line="363" w:lineRule="exact" w:before="0" w:after="0"/>
        <w:ind w:left="3795" w:right="0" w:hanging="633"/>
        <w:jc w:val="left"/>
      </w:pPr>
      <w:r>
        <w:rPr/>
        <w:t>抗 </w:t>
      </w:r>
      <w:r>
        <w:rPr>
          <w:rFonts w:ascii="Times New Roman" w:eastAsia="Times New Roman"/>
          <w:spacing w:val="-8"/>
        </w:rPr>
        <w:t>Tau</w:t>
      </w:r>
      <w:r>
        <w:rPr>
          <w:rFonts w:ascii="Times New Roman" w:eastAsia="Times New Roman"/>
          <w:spacing w:val="-3"/>
        </w:rPr>
        <w:t> </w:t>
      </w:r>
      <w:r>
        <w:rPr/>
        <w:t>疗法</w:t>
      </w:r>
    </w:p>
    <w:p>
      <w:pPr>
        <w:spacing w:line="211" w:lineRule="auto" w:before="11"/>
        <w:ind w:left="3163" w:right="726" w:firstLine="0"/>
        <w:jc w:val="both"/>
        <w:rPr>
          <w:rFonts w:ascii="Times New Roman" w:eastAsia="Times New Roman"/>
          <w:sz w:val="21"/>
        </w:rPr>
      </w:pPr>
      <w:r>
        <w:rPr>
          <w:rFonts w:ascii="Microsoft JhengHei" w:eastAsia="Microsoft JhengHei" w:hint="eastAsia"/>
          <w:b/>
          <w:spacing w:val="-2"/>
          <w:sz w:val="21"/>
        </w:rPr>
        <w:t>磷酸酶修饰剂、激酶抑制剂、</w:t>
      </w:r>
      <w:r>
        <w:rPr>
          <w:rFonts w:ascii="Times New Roman" w:eastAsia="Times New Roman"/>
          <w:b/>
          <w:spacing w:val="-7"/>
          <w:sz w:val="21"/>
        </w:rPr>
        <w:t>Tau</w:t>
      </w:r>
      <w:r>
        <w:rPr>
          <w:rFonts w:ascii="Times New Roman" w:eastAsia="Times New Roman"/>
          <w:b/>
          <w:spacing w:val="19"/>
          <w:sz w:val="21"/>
        </w:rPr>
        <w:t> </w:t>
      </w:r>
      <w:r>
        <w:rPr>
          <w:rFonts w:ascii="Microsoft JhengHei" w:eastAsia="Microsoft JhengHei" w:hint="eastAsia"/>
          <w:b/>
          <w:sz w:val="21"/>
        </w:rPr>
        <w:t>聚集抑制剂、微管稳定剂暂无明确 </w:t>
      </w:r>
      <w:r>
        <w:rPr>
          <w:rFonts w:ascii="Times New Roman" w:eastAsia="Times New Roman"/>
          <w:b/>
          <w:sz w:val="21"/>
        </w:rPr>
        <w:t>AD</w:t>
      </w:r>
      <w:r>
        <w:rPr>
          <w:rFonts w:ascii="Times New Roman" w:eastAsia="Times New Roman"/>
          <w:b/>
          <w:spacing w:val="20"/>
          <w:sz w:val="21"/>
        </w:rPr>
        <w:t> </w:t>
      </w:r>
      <w:r>
        <w:rPr>
          <w:rFonts w:ascii="Microsoft JhengHei" w:eastAsia="Microsoft JhengHei" w:hint="eastAsia"/>
          <w:b/>
          <w:spacing w:val="-2"/>
          <w:sz w:val="21"/>
        </w:rPr>
        <w:t>治疗有</w:t>
      </w:r>
      <w:r>
        <w:rPr>
          <w:rFonts w:ascii="Microsoft JhengHei" w:eastAsia="Microsoft JhengHei" w:hint="eastAsia"/>
          <w:b/>
          <w:spacing w:val="-6"/>
          <w:sz w:val="21"/>
        </w:rPr>
        <w:t>效性且可耐受的相关产品进入临床后期阶段。</w:t>
      </w:r>
      <w:r>
        <w:rPr>
          <w:rFonts w:ascii="Times New Roman" w:eastAsia="Times New Roman"/>
          <w:b/>
          <w:spacing w:val="-27"/>
          <w:sz w:val="21"/>
        </w:rPr>
        <w:t>1</w:t>
      </w:r>
      <w:r>
        <w:rPr>
          <w:rFonts w:ascii="Microsoft JhengHei" w:eastAsia="Microsoft JhengHei" w:hint="eastAsia"/>
          <w:b/>
          <w:spacing w:val="-27"/>
          <w:sz w:val="21"/>
        </w:rPr>
        <w:t>）</w:t>
      </w:r>
      <w:r>
        <w:rPr>
          <w:spacing w:val="-3"/>
          <w:sz w:val="21"/>
        </w:rPr>
        <w:t>一项关于磷酸酶修饰剂硒酸钠的</w:t>
      </w:r>
      <w:r>
        <w:rPr>
          <w:rFonts w:ascii="Times New Roman" w:eastAsia="Times New Roman"/>
          <w:spacing w:val="-3"/>
          <w:sz w:val="21"/>
        </w:rPr>
        <w:t>II</w:t>
      </w:r>
      <w:r>
        <w:rPr>
          <w:rFonts w:ascii="Times New Roman" w:eastAsia="Times New Roman"/>
          <w:spacing w:val="12"/>
          <w:sz w:val="21"/>
        </w:rPr>
        <w:t> </w:t>
      </w:r>
      <w:r>
        <w:rPr>
          <w:spacing w:val="-7"/>
          <w:sz w:val="21"/>
        </w:rPr>
        <w:t>期试验未发现轻至中度 </w:t>
      </w:r>
      <w:r>
        <w:rPr>
          <w:rFonts w:ascii="Times New Roman" w:eastAsia="Times New Roman"/>
          <w:sz w:val="21"/>
        </w:rPr>
        <w:t>AD</w:t>
      </w:r>
      <w:r>
        <w:rPr>
          <w:rFonts w:ascii="Times New Roman" w:eastAsia="Times New Roman"/>
          <w:spacing w:val="14"/>
          <w:sz w:val="21"/>
        </w:rPr>
        <w:t> </w:t>
      </w:r>
      <w:r>
        <w:rPr>
          <w:spacing w:val="-4"/>
          <w:sz w:val="21"/>
        </w:rPr>
        <w:t>患者的认知能力有任何变化；</w:t>
      </w:r>
      <w:r>
        <w:rPr>
          <w:rFonts w:ascii="Times New Roman" w:eastAsia="Times New Roman"/>
          <w:b/>
          <w:spacing w:val="-11"/>
          <w:sz w:val="21"/>
        </w:rPr>
        <w:t>2</w:t>
      </w:r>
      <w:r>
        <w:rPr>
          <w:rFonts w:ascii="Microsoft JhengHei" w:eastAsia="Microsoft JhengHei" w:hint="eastAsia"/>
          <w:b/>
          <w:spacing w:val="-11"/>
          <w:sz w:val="21"/>
        </w:rPr>
        <w:t>）</w:t>
      </w:r>
      <w:r>
        <w:rPr>
          <w:spacing w:val="7"/>
          <w:sz w:val="21"/>
        </w:rPr>
        <w:t>激酶抑制剂</w:t>
      </w:r>
      <w:r>
        <w:rPr>
          <w:rFonts w:ascii="Times New Roman" w:eastAsia="Times New Roman"/>
          <w:sz w:val="21"/>
        </w:rPr>
        <w:t>CDK5</w:t>
      </w:r>
    </w:p>
    <w:p>
      <w:pPr>
        <w:pStyle w:val="BodyText"/>
        <w:spacing w:line="304" w:lineRule="auto" w:before="37"/>
        <w:ind w:left="3163" w:right="724"/>
        <w:jc w:val="both"/>
      </w:pPr>
      <w:r>
        <w:rPr>
          <w:spacing w:val="-11"/>
        </w:rPr>
        <w:t>抑制剂 </w:t>
      </w:r>
      <w:r>
        <w:rPr>
          <w:rFonts w:ascii="Times New Roman" w:eastAsia="Times New Roman"/>
        </w:rPr>
        <w:t>roscovitine</w:t>
      </w:r>
      <w:r>
        <w:rPr>
          <w:rFonts w:ascii="Times New Roman" w:eastAsia="Times New Roman"/>
          <w:spacing w:val="9"/>
        </w:rPr>
        <w:t> </w:t>
      </w:r>
      <w:r>
        <w:rPr>
          <w:spacing w:val="-23"/>
        </w:rPr>
        <w:t>在 </w:t>
      </w:r>
      <w:r>
        <w:rPr>
          <w:rFonts w:ascii="Times New Roman" w:eastAsia="Times New Roman"/>
        </w:rPr>
        <w:t>AD</w:t>
      </w:r>
      <w:r>
        <w:rPr>
          <w:rFonts w:ascii="Times New Roman" w:eastAsia="Times New Roman"/>
          <w:spacing w:val="9"/>
        </w:rPr>
        <w:t> </w:t>
      </w:r>
      <w:r>
        <w:rPr>
          <w:spacing w:val="-8"/>
        </w:rPr>
        <w:t>动物模型中可防止 </w:t>
      </w:r>
      <w:r>
        <w:rPr>
          <w:rFonts w:ascii="Times New Roman" w:eastAsia="Times New Roman"/>
          <w:spacing w:val="-5"/>
        </w:rPr>
        <w:t>Tau</w:t>
      </w:r>
      <w:r>
        <w:rPr>
          <w:rFonts w:ascii="Times New Roman" w:eastAsia="Times New Roman"/>
          <w:spacing w:val="9"/>
        </w:rPr>
        <w:t> </w:t>
      </w:r>
      <w:r>
        <w:rPr>
          <w:spacing w:val="-2"/>
        </w:rPr>
        <w:t>磷酸化，</w:t>
      </w:r>
      <w:r>
        <w:rPr>
          <w:rFonts w:ascii="Times New Roman" w:eastAsia="Times New Roman"/>
        </w:rPr>
        <w:t>flavopiridol</w:t>
      </w:r>
      <w:r>
        <w:rPr>
          <w:rFonts w:ascii="Times New Roman" w:eastAsia="Times New Roman"/>
          <w:spacing w:val="8"/>
        </w:rPr>
        <w:t> </w:t>
      </w:r>
      <w:r>
        <w:rPr>
          <w:spacing w:val="-3"/>
        </w:rPr>
        <w:t>可降低记忆</w:t>
      </w:r>
      <w:r>
        <w:rPr>
          <w:spacing w:val="-12"/>
        </w:rPr>
        <w:t>力下降，但尚未开展临床试验。一项双盲 </w:t>
      </w:r>
      <w:r>
        <w:rPr>
          <w:rFonts w:ascii="Times New Roman" w:eastAsia="Times New Roman"/>
        </w:rPr>
        <w:t>RCT</w:t>
      </w:r>
      <w:r>
        <w:rPr>
          <w:rFonts w:ascii="Times New Roman" w:eastAsia="Times New Roman"/>
          <w:spacing w:val="7"/>
        </w:rPr>
        <w:t> </w:t>
      </w:r>
      <w:r>
        <w:rPr>
          <w:spacing w:val="-7"/>
        </w:rPr>
        <w:t>研究表明微剂量锂可预防 </w:t>
      </w:r>
      <w:r>
        <w:rPr>
          <w:rFonts w:ascii="Times New Roman" w:eastAsia="Times New Roman"/>
        </w:rPr>
        <w:t>AD</w:t>
      </w:r>
      <w:r>
        <w:rPr>
          <w:rFonts w:ascii="Times New Roman" w:eastAsia="Times New Roman"/>
          <w:spacing w:val="7"/>
        </w:rPr>
        <w:t> </w:t>
      </w:r>
      <w:r>
        <w:rPr/>
        <w:t>患者</w:t>
      </w:r>
    </w:p>
    <w:p>
      <w:pPr>
        <w:pStyle w:val="BodyText"/>
        <w:spacing w:line="315" w:lineRule="exact"/>
        <w:ind w:left="3163"/>
        <w:jc w:val="both"/>
      </w:pPr>
      <w:r>
        <w:rPr>
          <w:spacing w:val="-8"/>
        </w:rPr>
        <w:t>的认知能力下降，需进一步验证；</w:t>
      </w:r>
      <w:r>
        <w:rPr>
          <w:rFonts w:ascii="Times New Roman" w:eastAsia="Times New Roman"/>
          <w:b/>
          <w:spacing w:val="-13"/>
        </w:rPr>
        <w:t>3</w:t>
      </w:r>
      <w:r>
        <w:rPr>
          <w:rFonts w:ascii="Microsoft JhengHei" w:eastAsia="Microsoft JhengHei" w:hint="eastAsia"/>
          <w:b/>
          <w:spacing w:val="-13"/>
        </w:rPr>
        <w:t>）</w:t>
      </w:r>
      <w:r>
        <w:rPr>
          <w:rFonts w:ascii="Times New Roman" w:eastAsia="Times New Roman"/>
          <w:spacing w:val="-13"/>
        </w:rPr>
        <w:t>Tau</w:t>
      </w:r>
      <w:r>
        <w:rPr>
          <w:rFonts w:ascii="Times New Roman" w:eastAsia="Times New Roman"/>
          <w:spacing w:val="14"/>
        </w:rPr>
        <w:t> </w:t>
      </w:r>
      <w:r>
        <w:rPr>
          <w:spacing w:val="-7"/>
        </w:rPr>
        <w:t>聚集抑制剂亚甲蓝</w:t>
      </w:r>
      <w:r>
        <w:rPr>
          <w:spacing w:val="-9"/>
        </w:rPr>
        <w:t>（</w:t>
      </w:r>
      <w:r>
        <w:rPr>
          <w:rFonts w:ascii="Times New Roman" w:eastAsia="Times New Roman"/>
          <w:spacing w:val="-9"/>
        </w:rPr>
        <w:t>MB</w:t>
      </w:r>
      <w:r>
        <w:rPr>
          <w:spacing w:val="-9"/>
        </w:rPr>
        <w:t>）</w:t>
      </w:r>
      <w:r>
        <w:rPr>
          <w:spacing w:val="-15"/>
        </w:rPr>
        <w:t>抑制 </w:t>
      </w:r>
      <w:r>
        <w:rPr>
          <w:rFonts w:ascii="Times New Roman" w:eastAsia="Times New Roman"/>
          <w:spacing w:val="-6"/>
        </w:rPr>
        <w:t>Tau</w:t>
      </w:r>
      <w:r>
        <w:rPr>
          <w:rFonts w:ascii="Times New Roman" w:eastAsia="Times New Roman"/>
          <w:spacing w:val="11"/>
        </w:rPr>
        <w:t> </w:t>
      </w:r>
      <w:r>
        <w:rPr/>
        <w:t>原纤</w:t>
      </w:r>
    </w:p>
    <w:p>
      <w:pPr>
        <w:pStyle w:val="BodyText"/>
        <w:spacing w:line="249" w:lineRule="auto" w:before="24"/>
        <w:ind w:left="3163" w:right="726"/>
        <w:jc w:val="both"/>
      </w:pPr>
      <w:r>
        <w:rPr>
          <w:spacing w:val="-6"/>
        </w:rPr>
        <w:t>维的形成，但加速神经毒性 </w:t>
      </w:r>
      <w:r>
        <w:rPr>
          <w:rFonts w:ascii="Times New Roman" w:eastAsia="Times New Roman"/>
          <w:spacing w:val="-5"/>
        </w:rPr>
        <w:t>Tau</w:t>
      </w:r>
      <w:r>
        <w:rPr>
          <w:rFonts w:ascii="Times New Roman" w:eastAsia="Times New Roman"/>
          <w:spacing w:val="15"/>
        </w:rPr>
        <w:t> </w:t>
      </w:r>
      <w:r>
        <w:rPr>
          <w:spacing w:val="-6"/>
        </w:rPr>
        <w:t>寡聚物的形成。姜黄素在治疗 </w:t>
      </w:r>
      <w:r>
        <w:rPr>
          <w:rFonts w:ascii="Times New Roman" w:eastAsia="Times New Roman"/>
        </w:rPr>
        <w:t>6</w:t>
      </w:r>
      <w:r>
        <w:rPr>
          <w:rFonts w:ascii="Times New Roman" w:eastAsia="Times New Roman"/>
          <w:spacing w:val="11"/>
        </w:rPr>
        <w:t> </w:t>
      </w:r>
      <w:r>
        <w:rPr>
          <w:spacing w:val="-3"/>
        </w:rPr>
        <w:t>个月后没有临床或生物标志物改善；</w:t>
      </w:r>
      <w:r>
        <w:rPr>
          <w:rFonts w:ascii="Times New Roman" w:eastAsia="Times New Roman"/>
          <w:b/>
        </w:rPr>
        <w:t>4</w:t>
      </w:r>
      <w:r>
        <w:rPr>
          <w:rFonts w:ascii="Microsoft JhengHei" w:eastAsia="Microsoft JhengHei" w:hint="eastAsia"/>
          <w:b/>
        </w:rPr>
        <w:t>）</w:t>
      </w:r>
      <w:r>
        <w:rPr>
          <w:spacing w:val="-11"/>
        </w:rPr>
        <w:t>微管稳定剂 </w:t>
      </w:r>
      <w:r>
        <w:rPr>
          <w:rFonts w:ascii="Times New Roman" w:eastAsia="Times New Roman"/>
        </w:rPr>
        <w:t>Epothilone</w:t>
      </w:r>
      <w:r>
        <w:rPr>
          <w:rFonts w:ascii="Times New Roman" w:eastAsia="Times New Roman"/>
          <w:spacing w:val="29"/>
        </w:rPr>
        <w:t> </w:t>
      </w:r>
      <w:r>
        <w:rPr>
          <w:rFonts w:ascii="Times New Roman" w:eastAsia="Times New Roman"/>
        </w:rPr>
        <w:t>D</w:t>
      </w:r>
      <w:r>
        <w:rPr>
          <w:rFonts w:ascii="Times New Roman" w:eastAsia="Times New Roman"/>
          <w:spacing w:val="10"/>
        </w:rPr>
        <w:t> </w:t>
      </w:r>
      <w:r>
        <w:rPr>
          <w:spacing w:val="-3"/>
        </w:rPr>
        <w:t>诱导微管蛋白聚合成微管，</w:t>
      </w:r>
      <w:r>
        <w:rPr>
          <w:rFonts w:ascii="Times New Roman" w:eastAsia="Times New Roman"/>
        </w:rPr>
        <w:t>I</w:t>
      </w:r>
      <w:r>
        <w:rPr>
          <w:rFonts w:ascii="Times New Roman" w:eastAsia="Times New Roman"/>
          <w:spacing w:val="5"/>
        </w:rPr>
        <w:t> </w:t>
      </w:r>
      <w:r>
        <w:rPr/>
        <w:t>期</w:t>
      </w:r>
      <w:r>
        <w:rPr>
          <w:spacing w:val="-3"/>
        </w:rPr>
        <w:t>临床显示无法耐受不良反应。</w:t>
      </w:r>
      <w:r>
        <w:rPr>
          <w:rFonts w:ascii="Times New Roman" w:eastAsia="Times New Roman"/>
        </w:rPr>
        <w:t>NAP</w:t>
      </w:r>
      <w:r>
        <w:rPr>
          <w:rFonts w:ascii="Times New Roman" w:eastAsia="Times New Roman"/>
          <w:spacing w:val="51"/>
        </w:rPr>
        <w:t> </w:t>
      </w:r>
      <w:r>
        <w:rPr>
          <w:spacing w:val="-3"/>
        </w:rPr>
        <w:t>是一种活性依赖性神经保护蛋白</w:t>
      </w:r>
      <w:r>
        <w:rPr/>
        <w:t>（</w:t>
      </w:r>
      <w:r>
        <w:rPr>
          <w:rFonts w:ascii="Times New Roman" w:eastAsia="Times New Roman"/>
        </w:rPr>
        <w:t>ADNP</w:t>
      </w:r>
      <w:r>
        <w:rPr/>
        <w:t>）衍</w:t>
      </w:r>
    </w:p>
    <w:p>
      <w:pPr>
        <w:pStyle w:val="BodyText"/>
        <w:spacing w:line="302" w:lineRule="auto" w:before="61"/>
        <w:ind w:left="3163" w:right="618"/>
        <w:jc w:val="both"/>
      </w:pPr>
      <w:r>
        <w:rPr/>
        <w:t>生物，</w:t>
      </w:r>
      <w:r>
        <w:rPr>
          <w:rFonts w:ascii="Times New Roman" w:eastAsia="Times New Roman"/>
        </w:rPr>
        <w:t>II </w:t>
      </w:r>
      <w:r>
        <w:rPr>
          <w:spacing w:val="-13"/>
        </w:rPr>
        <w:t>期双盲 </w:t>
      </w:r>
      <w:r>
        <w:rPr>
          <w:rFonts w:ascii="Times New Roman" w:eastAsia="Times New Roman"/>
        </w:rPr>
        <w:t>RCT </w:t>
      </w:r>
      <w:r>
        <w:rPr>
          <w:spacing w:val="-16"/>
        </w:rPr>
        <w:t>显示 </w:t>
      </w:r>
      <w:r>
        <w:rPr>
          <w:rFonts w:ascii="Times New Roman" w:eastAsia="Times New Roman"/>
        </w:rPr>
        <w:t>MCI </w:t>
      </w:r>
      <w:r>
        <w:rPr>
          <w:spacing w:val="-11"/>
        </w:rPr>
        <w:t>患者鼻内 </w:t>
      </w:r>
      <w:r>
        <w:rPr>
          <w:rFonts w:ascii="Times New Roman" w:eastAsia="Times New Roman"/>
        </w:rPr>
        <w:t>12 </w:t>
      </w:r>
      <w:r>
        <w:rPr>
          <w:spacing w:val="-23"/>
        </w:rPr>
        <w:t>周 </w:t>
      </w:r>
      <w:r>
        <w:rPr>
          <w:rFonts w:ascii="Times New Roman" w:eastAsia="Times New Roman"/>
        </w:rPr>
        <w:t>NAP </w:t>
      </w:r>
      <w:r>
        <w:rPr>
          <w:spacing w:val="-3"/>
        </w:rPr>
        <w:t>给药后认知和功能改善，其</w:t>
      </w:r>
      <w:r>
        <w:rPr>
          <w:spacing w:val="-25"/>
        </w:rPr>
        <w:t>在 </w:t>
      </w:r>
      <w:r>
        <w:rPr>
          <w:rFonts w:ascii="Times New Roman" w:eastAsia="Times New Roman"/>
        </w:rPr>
        <w:t>AD </w:t>
      </w:r>
      <w:r>
        <w:rPr>
          <w:spacing w:val="-7"/>
        </w:rPr>
        <w:t>患者中的临床效果尚未得到研究。</w:t>
      </w:r>
      <w:r>
        <w:rPr>
          <w:rFonts w:ascii="Times New Roman" w:eastAsia="Times New Roman"/>
        </w:rPr>
        <w:t>TPI-287 </w:t>
      </w:r>
      <w:r>
        <w:rPr>
          <w:spacing w:val="-8"/>
        </w:rPr>
        <w:t>合成紫杉烷衍生物，治疗组在轻</w:t>
      </w:r>
      <w:r>
        <w:rPr>
          <w:spacing w:val="-11"/>
        </w:rPr>
        <w:t>度至中度 </w:t>
      </w:r>
      <w:r>
        <w:rPr>
          <w:rFonts w:ascii="Times New Roman" w:eastAsia="Times New Roman"/>
        </w:rPr>
        <w:t>AD </w:t>
      </w:r>
      <w:r>
        <w:rPr>
          <w:spacing w:val="-14"/>
        </w:rPr>
        <w:t>中 </w:t>
      </w:r>
      <w:r>
        <w:rPr>
          <w:rFonts w:ascii="Times New Roman" w:eastAsia="Times New Roman"/>
        </w:rPr>
        <w:t>MMSE </w:t>
      </w:r>
      <w:r>
        <w:rPr>
          <w:spacing w:val="-3"/>
        </w:rPr>
        <w:t>评分下降幅度较小，</w:t>
      </w:r>
      <w:r>
        <w:rPr>
          <w:rFonts w:ascii="Times New Roman" w:eastAsia="Times New Roman"/>
        </w:rPr>
        <w:t>54%</w:t>
      </w:r>
      <w:r>
        <w:rPr>
          <w:spacing w:val="-3"/>
        </w:rPr>
        <w:t>伴过敏样反应的严重不良事件。</w:t>
      </w:r>
    </w:p>
    <w:p>
      <w:pPr>
        <w:pStyle w:val="BodyText"/>
        <w:spacing w:before="5"/>
        <w:rPr>
          <w:sz w:val="18"/>
        </w:rPr>
      </w:pPr>
    </w:p>
    <w:p>
      <w:pPr>
        <w:spacing w:line="254" w:lineRule="auto" w:before="0"/>
        <w:ind w:left="3163" w:right="726" w:firstLine="0"/>
        <w:jc w:val="both"/>
        <w:rPr>
          <w:sz w:val="21"/>
        </w:rPr>
      </w:pPr>
      <w:r>
        <w:rPr>
          <w:rFonts w:ascii="Times New Roman" w:eastAsia="Times New Roman"/>
          <w:b/>
          <w:spacing w:val="-7"/>
          <w:sz w:val="21"/>
        </w:rPr>
        <w:t>Tau </w:t>
      </w:r>
      <w:r>
        <w:rPr>
          <w:rFonts w:ascii="Microsoft JhengHei" w:eastAsia="Microsoft JhengHei" w:hint="eastAsia"/>
          <w:b/>
          <w:spacing w:val="9"/>
          <w:sz w:val="21"/>
        </w:rPr>
        <w:t>蛋白疫苗 </w:t>
      </w:r>
      <w:r>
        <w:rPr>
          <w:rFonts w:ascii="Times New Roman" w:eastAsia="Times New Roman"/>
          <w:b/>
          <w:sz w:val="21"/>
        </w:rPr>
        <w:t>AADvac1 </w:t>
      </w:r>
      <w:r>
        <w:rPr>
          <w:rFonts w:ascii="Microsoft JhengHei" w:eastAsia="Microsoft JhengHei" w:hint="eastAsia"/>
          <w:b/>
          <w:spacing w:val="-1"/>
          <w:sz w:val="21"/>
        </w:rPr>
        <w:t>安全且具有免疫原性。</w:t>
      </w:r>
      <w:r>
        <w:rPr>
          <w:spacing w:val="-3"/>
          <w:sz w:val="21"/>
        </w:rPr>
        <w:t>疫苗接种组能对该疫苗的多肽产</w:t>
      </w:r>
      <w:r>
        <w:rPr>
          <w:spacing w:val="-12"/>
          <w:sz w:val="21"/>
        </w:rPr>
        <w:t>生大量抗体，且治疗组和安慰剂组严重不良事件发生率分别为 </w:t>
      </w:r>
      <w:r>
        <w:rPr>
          <w:rFonts w:ascii="Times New Roman" w:eastAsia="Times New Roman"/>
          <w:sz w:val="21"/>
        </w:rPr>
        <w:t>17.1%</w:t>
      </w:r>
      <w:r>
        <w:rPr>
          <w:spacing w:val="-20"/>
          <w:sz w:val="21"/>
        </w:rPr>
        <w:t>和 </w:t>
      </w:r>
      <w:r>
        <w:rPr>
          <w:rFonts w:ascii="Times New Roman" w:eastAsia="Times New Roman"/>
          <w:spacing w:val="-12"/>
          <w:sz w:val="21"/>
        </w:rPr>
        <w:t>24.1%</w:t>
      </w:r>
      <w:r>
        <w:rPr>
          <w:spacing w:val="-36"/>
          <w:sz w:val="21"/>
        </w:rPr>
        <w:t>，不</w:t>
      </w:r>
    </w:p>
    <w:p>
      <w:pPr>
        <w:pStyle w:val="BodyText"/>
        <w:spacing w:line="302" w:lineRule="auto" w:before="57"/>
        <w:ind w:left="3163" w:right="723"/>
        <w:jc w:val="both"/>
      </w:pPr>
      <w:r>
        <w:rPr>
          <w:spacing w:val="-8"/>
        </w:rPr>
        <w:t>良事件事件发生率分别为 </w:t>
      </w:r>
      <w:r>
        <w:rPr>
          <w:rFonts w:ascii="Times New Roman" w:eastAsia="Times New Roman"/>
        </w:rPr>
        <w:t>84.6%</w:t>
      </w:r>
      <w:r>
        <w:rPr>
          <w:spacing w:val="-28"/>
        </w:rPr>
        <w:t>和 </w:t>
      </w:r>
      <w:r>
        <w:rPr>
          <w:rFonts w:ascii="Times New Roman" w:eastAsia="Times New Roman"/>
        </w:rPr>
        <w:t>81.0%</w:t>
      </w:r>
      <w:r>
        <w:rPr>
          <w:spacing w:val="-41"/>
        </w:rPr>
        <w:t>。证明 </w:t>
      </w:r>
      <w:r>
        <w:rPr>
          <w:rFonts w:ascii="Times New Roman" w:eastAsia="Times New Roman"/>
        </w:rPr>
        <w:t>AADvac1 </w:t>
      </w:r>
      <w:r>
        <w:rPr>
          <w:spacing w:val="-14"/>
        </w:rPr>
        <w:t>是安全的，且耐受性好。</w:t>
      </w:r>
      <w:r>
        <w:rPr>
          <w:spacing w:val="-10"/>
        </w:rPr>
        <w:t>有效性方面，为期 </w:t>
      </w:r>
      <w:r>
        <w:rPr>
          <w:rFonts w:ascii="Times New Roman" w:eastAsia="Times New Roman"/>
        </w:rPr>
        <w:t>104 </w:t>
      </w:r>
      <w:r>
        <w:rPr>
          <w:spacing w:val="-3"/>
        </w:rPr>
        <w:t>周实验的结果显示疫苗接种组能对该疫苗的多肽产生大量</w:t>
      </w:r>
      <w:r>
        <w:rPr>
          <w:spacing w:val="-12"/>
        </w:rPr>
        <w:t>抗体。同时，</w:t>
      </w:r>
      <w:r>
        <w:rPr>
          <w:rFonts w:ascii="Times New Roman" w:eastAsia="Times New Roman"/>
          <w:spacing w:val="-7"/>
        </w:rPr>
        <w:t>AADvac1 </w:t>
      </w:r>
      <w:r>
        <w:rPr>
          <w:spacing w:val="-6"/>
        </w:rPr>
        <w:t>治疗显著减缓了血浆神经丝轻链蛋白</w:t>
      </w:r>
      <w:r>
        <w:rPr>
          <w:spacing w:val="-11"/>
        </w:rPr>
        <w:t>（</w:t>
      </w:r>
      <w:r>
        <w:rPr>
          <w:rFonts w:ascii="Times New Roman" w:eastAsia="Times New Roman"/>
          <w:spacing w:val="-11"/>
        </w:rPr>
        <w:t>NfL</w:t>
      </w:r>
      <w:r>
        <w:rPr>
          <w:spacing w:val="-11"/>
        </w:rPr>
        <w:t>）</w:t>
      </w:r>
      <w:r>
        <w:rPr>
          <w:spacing w:val="-3"/>
        </w:rPr>
        <w:t>水平的升高， 提示神经退行性变的减缓，</w:t>
      </w:r>
      <w:r>
        <w:rPr>
          <w:rFonts w:ascii="Times New Roman" w:eastAsia="Times New Roman"/>
        </w:rPr>
        <w:t>P-tau217 </w:t>
      </w:r>
      <w:r>
        <w:rPr>
          <w:spacing w:val="-3"/>
        </w:rPr>
        <w:t>在统计学上显着减少。</w:t>
      </w:r>
    </w:p>
    <w:p>
      <w:pPr>
        <w:pStyle w:val="BodyText"/>
        <w:spacing w:before="3"/>
        <w:rPr>
          <w:sz w:val="19"/>
        </w:rPr>
      </w:pPr>
    </w:p>
    <w:p>
      <w:pPr>
        <w:spacing w:line="232" w:lineRule="auto" w:before="0"/>
        <w:ind w:left="3163" w:right="726" w:firstLine="0"/>
        <w:jc w:val="both"/>
        <w:rPr>
          <w:sz w:val="21"/>
        </w:rPr>
      </w:pPr>
      <w:r>
        <w:rPr>
          <w:rFonts w:ascii="Microsoft JhengHei" w:eastAsia="Microsoft JhengHei" w:hint="eastAsia"/>
          <w:b/>
          <w:spacing w:val="21"/>
          <w:sz w:val="21"/>
        </w:rPr>
        <w:t>抗 </w:t>
      </w:r>
      <w:r>
        <w:rPr>
          <w:rFonts w:ascii="Times New Roman" w:eastAsia="Times New Roman"/>
          <w:b/>
          <w:spacing w:val="-8"/>
          <w:sz w:val="21"/>
        </w:rPr>
        <w:t>Tau </w:t>
      </w:r>
      <w:r>
        <w:rPr>
          <w:rFonts w:ascii="Microsoft JhengHei" w:eastAsia="Microsoft JhengHei" w:hint="eastAsia"/>
          <w:b/>
          <w:sz w:val="21"/>
        </w:rPr>
        <w:t>疗法除疫苗外还可以通过抗体实现被动免疫，目前在研的抗体类型包括</w:t>
      </w:r>
      <w:r>
        <w:rPr>
          <w:rFonts w:ascii="Times New Roman" w:eastAsia="Times New Roman"/>
          <w:b/>
          <w:spacing w:val="-1"/>
          <w:w w:val="100"/>
          <w:sz w:val="21"/>
        </w:rPr>
        <w:t>Ig</w:t>
      </w:r>
      <w:r>
        <w:rPr>
          <w:rFonts w:ascii="Times New Roman" w:eastAsia="Times New Roman"/>
          <w:b/>
          <w:spacing w:val="-2"/>
          <w:w w:val="100"/>
          <w:sz w:val="21"/>
        </w:rPr>
        <w:t>G</w:t>
      </w:r>
      <w:r>
        <w:rPr>
          <w:rFonts w:ascii="Times New Roman" w:eastAsia="Times New Roman"/>
          <w:b/>
          <w:w w:val="100"/>
          <w:sz w:val="21"/>
        </w:rPr>
        <w:t>4</w:t>
      </w:r>
      <w:r>
        <w:rPr>
          <w:rFonts w:ascii="Times New Roman" w:eastAsia="Times New Roman"/>
          <w:b/>
          <w:sz w:val="21"/>
        </w:rPr>
        <w:t> </w:t>
      </w:r>
      <w:r>
        <w:rPr>
          <w:rFonts w:ascii="Microsoft JhengHei" w:eastAsia="Microsoft JhengHei" w:hint="eastAsia"/>
          <w:b/>
          <w:w w:val="100"/>
          <w:sz w:val="21"/>
        </w:rPr>
        <w:t>和</w:t>
      </w:r>
      <w:r>
        <w:rPr>
          <w:rFonts w:ascii="Microsoft JhengHei" w:eastAsia="Microsoft JhengHei" w:hint="eastAsia"/>
          <w:b/>
          <w:sz w:val="21"/>
        </w:rPr>
        <w:t> </w:t>
      </w:r>
      <w:r>
        <w:rPr>
          <w:rFonts w:ascii="Times New Roman" w:eastAsia="Times New Roman"/>
          <w:b/>
          <w:spacing w:val="-1"/>
          <w:w w:val="100"/>
          <w:sz w:val="21"/>
        </w:rPr>
        <w:t>Ig</w:t>
      </w:r>
      <w:r>
        <w:rPr>
          <w:rFonts w:ascii="Times New Roman" w:eastAsia="Times New Roman"/>
          <w:b/>
          <w:spacing w:val="-2"/>
          <w:w w:val="100"/>
          <w:sz w:val="21"/>
        </w:rPr>
        <w:t>G</w:t>
      </w:r>
      <w:r>
        <w:rPr>
          <w:rFonts w:ascii="Times New Roman" w:eastAsia="Times New Roman"/>
          <w:b/>
          <w:spacing w:val="-3"/>
          <w:w w:val="100"/>
          <w:sz w:val="21"/>
        </w:rPr>
        <w:t>1</w:t>
      </w:r>
      <w:r>
        <w:rPr>
          <w:rFonts w:ascii="Microsoft JhengHei" w:eastAsia="Microsoft JhengHei" w:hint="eastAsia"/>
          <w:b/>
          <w:spacing w:val="-15"/>
          <w:w w:val="100"/>
          <w:sz w:val="21"/>
        </w:rPr>
        <w:t>，均有相关产品显示出良好的安全性和耐受性，疗效结果尚未披露。 </w:t>
      </w:r>
      <w:r>
        <w:rPr>
          <w:rFonts w:ascii="Times New Roman" w:eastAsia="Times New Roman"/>
          <w:spacing w:val="-15"/>
          <w:sz w:val="21"/>
        </w:rPr>
        <w:t>IgG4 </w:t>
      </w:r>
      <w:r>
        <w:rPr>
          <w:spacing w:val="7"/>
          <w:sz w:val="21"/>
        </w:rPr>
        <w:t>中的产品有</w:t>
      </w:r>
      <w:r>
        <w:rPr>
          <w:rFonts w:ascii="Times New Roman" w:eastAsia="Times New Roman"/>
          <w:sz w:val="21"/>
        </w:rPr>
        <w:t>BIIB092</w:t>
      </w:r>
      <w:r>
        <w:rPr>
          <w:spacing w:val="-38"/>
          <w:sz w:val="21"/>
        </w:rPr>
        <w:t>、</w:t>
      </w:r>
      <w:r>
        <w:rPr>
          <w:rFonts w:ascii="Times New Roman" w:eastAsia="Times New Roman"/>
          <w:spacing w:val="-3"/>
          <w:sz w:val="21"/>
        </w:rPr>
        <w:t>ABBV-8E12</w:t>
      </w:r>
      <w:r>
        <w:rPr>
          <w:spacing w:val="-41"/>
          <w:sz w:val="21"/>
        </w:rPr>
        <w:t>、</w:t>
      </w:r>
      <w:r>
        <w:rPr>
          <w:rFonts w:ascii="Times New Roman" w:eastAsia="Times New Roman"/>
          <w:sz w:val="21"/>
        </w:rPr>
        <w:t>RO7105705</w:t>
      </w:r>
      <w:r>
        <w:rPr>
          <w:spacing w:val="-29"/>
          <w:sz w:val="21"/>
        </w:rPr>
        <w:t>。在 </w:t>
      </w:r>
      <w:r>
        <w:rPr>
          <w:rFonts w:ascii="Times New Roman" w:eastAsia="Times New Roman"/>
          <w:sz w:val="21"/>
        </w:rPr>
        <w:t>IgG1 </w:t>
      </w:r>
      <w:r>
        <w:rPr>
          <w:spacing w:val="-3"/>
          <w:sz w:val="21"/>
        </w:rPr>
        <w:t>方面的相关产品有</w:t>
      </w:r>
    </w:p>
    <w:p>
      <w:pPr>
        <w:pStyle w:val="BodyText"/>
        <w:spacing w:before="71"/>
        <w:ind w:left="3163"/>
      </w:pPr>
      <w:r>
        <w:rPr>
          <w:rFonts w:ascii="Times New Roman" w:eastAsia="Times New Roman"/>
        </w:rPr>
        <w:t>BIIB076</w:t>
      </w:r>
      <w:r>
        <w:rPr/>
        <w:t>、</w:t>
      </w:r>
      <w:r>
        <w:rPr>
          <w:rFonts w:ascii="Times New Roman" w:eastAsia="Times New Roman"/>
        </w:rPr>
        <w:t>LY3303560</w:t>
      </w:r>
      <w:r>
        <w:rPr/>
        <w:t>、</w:t>
      </w:r>
      <w:r>
        <w:rPr>
          <w:rFonts w:ascii="Times New Roman" w:eastAsia="Times New Roman"/>
        </w:rPr>
        <w:t>JNJ-63733657 </w:t>
      </w:r>
      <w:r>
        <w:rPr/>
        <w:t>和 </w:t>
      </w:r>
      <w:r>
        <w:rPr>
          <w:rFonts w:ascii="Times New Roman" w:eastAsia="Times New Roman"/>
        </w:rPr>
        <w:t>UCB66 </w:t>
      </w:r>
      <w:r>
        <w:rPr/>
        <w:t>等。</w:t>
      </w:r>
    </w:p>
    <w:p>
      <w:pPr>
        <w:spacing w:after="0"/>
        <w:sectPr>
          <w:pgSz w:w="11910" w:h="16840"/>
          <w:pgMar w:header="868" w:footer="1201" w:top="1400" w:bottom="1400" w:left="240" w:right="400"/>
        </w:sectPr>
      </w:pPr>
    </w:p>
    <w:p>
      <w:pPr>
        <w:pStyle w:val="BodyText"/>
        <w:spacing w:before="4"/>
        <w:rPr>
          <w:sz w:val="13"/>
        </w:rPr>
      </w:pPr>
    </w:p>
    <w:p>
      <w:pPr>
        <w:pStyle w:val="BodyText"/>
        <w:spacing w:line="20" w:lineRule="exact"/>
        <w:ind w:left="614"/>
        <w:rPr>
          <w:sz w:val="2"/>
        </w:rPr>
      </w:pPr>
      <w:r>
        <w:rPr>
          <w:sz w:val="2"/>
        </w:rPr>
        <w:pict>
          <v:group style="width:508.1pt;height:.75pt;mso-position-horizontal-relative:char;mso-position-vertical-relative:line" coordorigin="0,0" coordsize="10162,15">
            <v:rect style="position:absolute;left:0;top:0;width:10162;height:15" filled="true" fillcolor="#333366" stroked="false">
              <v:fill type="solid"/>
            </v:rect>
          </v:group>
        </w:pict>
      </w:r>
      <w:r>
        <w:rPr>
          <w:sz w:val="2"/>
        </w:rPr>
      </w:r>
    </w:p>
    <w:p>
      <w:pPr>
        <w:pStyle w:val="Heading3"/>
        <w:numPr>
          <w:ilvl w:val="3"/>
          <w:numId w:val="3"/>
        </w:numPr>
        <w:tabs>
          <w:tab w:pos="3849" w:val="left" w:leader="none"/>
        </w:tabs>
        <w:spacing w:line="315" w:lineRule="exact" w:before="0" w:after="0"/>
        <w:ind w:left="3848" w:right="0" w:hanging="686"/>
        <w:jc w:val="left"/>
      </w:pPr>
      <w:r>
        <w:rPr>
          <w:w w:val="105"/>
        </w:rPr>
        <w:t>σ</w:t>
      </w:r>
      <w:r>
        <w:rPr>
          <w:rFonts w:ascii="Times New Roman" w:hAnsi="Times New Roman" w:eastAsia="Times New Roman"/>
          <w:w w:val="105"/>
        </w:rPr>
        <w:t>-1</w:t>
      </w:r>
      <w:r>
        <w:rPr>
          <w:rFonts w:ascii="Times New Roman" w:hAnsi="Times New Roman" w:eastAsia="Times New Roman"/>
          <w:spacing w:val="-6"/>
          <w:w w:val="105"/>
        </w:rPr>
        <w:t> </w:t>
      </w:r>
      <w:r>
        <w:rPr>
          <w:w w:val="105"/>
        </w:rPr>
        <w:t>受体激动剂</w:t>
      </w:r>
    </w:p>
    <w:p>
      <w:pPr>
        <w:pStyle w:val="BodyText"/>
        <w:spacing w:line="304" w:lineRule="auto" w:before="24"/>
        <w:ind w:left="3163" w:right="724"/>
        <w:jc w:val="both"/>
      </w:pPr>
      <w:r>
        <w:rPr>
          <w:spacing w:val="-6"/>
        </w:rPr>
        <w:t>应用神经保护策略旨在延缓 </w:t>
      </w:r>
      <w:r>
        <w:rPr>
          <w:rFonts w:ascii="Times New Roman" w:hAnsi="Times New Roman" w:eastAsia="Times New Roman"/>
        </w:rPr>
        <w:t>AD</w:t>
      </w:r>
      <w:r>
        <w:rPr>
          <w:rFonts w:ascii="Times New Roman" w:hAnsi="Times New Roman" w:eastAsia="Times New Roman"/>
          <w:spacing w:val="17"/>
        </w:rPr>
        <w:t> </w:t>
      </w:r>
      <w:r>
        <w:rPr>
          <w:spacing w:val="-9"/>
        </w:rPr>
        <w:t>发作和 </w:t>
      </w:r>
      <w:r>
        <w:rPr>
          <w:rFonts w:ascii="Times New Roman" w:hAnsi="Times New Roman" w:eastAsia="Times New Roman"/>
        </w:rPr>
        <w:t>AD</w:t>
      </w:r>
      <w:r>
        <w:rPr>
          <w:rFonts w:ascii="Times New Roman" w:hAnsi="Times New Roman" w:eastAsia="Times New Roman"/>
          <w:spacing w:val="20"/>
        </w:rPr>
        <w:t> </w:t>
      </w:r>
      <w:r>
        <w:rPr>
          <w:spacing w:val="-3"/>
        </w:rPr>
        <w:t>进展，通常讨论三种神经保护候选药</w:t>
      </w:r>
      <w:r>
        <w:rPr>
          <w:spacing w:val="-5"/>
        </w:rPr>
        <w:t>物：抗癫痫药物，ω</w:t>
      </w:r>
      <w:r>
        <w:rPr>
          <w:rFonts w:ascii="Times New Roman" w:hAnsi="Times New Roman" w:eastAsia="Times New Roman"/>
          <w:spacing w:val="-5"/>
        </w:rPr>
        <w:t>-3</w:t>
      </w:r>
      <w:r>
        <w:rPr>
          <w:rFonts w:ascii="Times New Roman" w:hAnsi="Times New Roman" w:eastAsia="Times New Roman"/>
          <w:spacing w:val="18"/>
        </w:rPr>
        <w:t> </w:t>
      </w:r>
      <w:r>
        <w:rPr>
          <w:spacing w:val="1"/>
        </w:rPr>
        <w:t>多不饱和脂肪酸补充剂和</w:t>
      </w:r>
      <w:r>
        <w:rPr>
          <w:rFonts w:ascii="Times New Roman" w:hAnsi="Times New Roman" w:eastAsia="Times New Roman"/>
        </w:rPr>
        <w:t>NMDAR</w:t>
      </w:r>
      <w:r>
        <w:rPr>
          <w:rFonts w:ascii="Times New Roman" w:hAnsi="Times New Roman" w:eastAsia="Times New Roman"/>
          <w:spacing w:val="19"/>
        </w:rPr>
        <w:t> </w:t>
      </w:r>
      <w:r>
        <w:rPr>
          <w:spacing w:val="-5"/>
        </w:rPr>
        <w:t>活性修改，疗效待进一</w:t>
      </w:r>
    </w:p>
    <w:p>
      <w:pPr>
        <w:spacing w:line="315" w:lineRule="exact" w:before="0"/>
        <w:ind w:left="3163" w:right="0" w:firstLine="0"/>
        <w:jc w:val="both"/>
        <w:rPr>
          <w:sz w:val="21"/>
        </w:rPr>
      </w:pPr>
      <w:r>
        <w:rPr>
          <w:spacing w:val="-1"/>
          <w:sz w:val="21"/>
        </w:rPr>
        <w:t>步验证。</w:t>
      </w:r>
      <w:r>
        <w:rPr>
          <w:rFonts w:ascii="Microsoft JhengHei" w:hAnsi="Microsoft JhengHei" w:eastAsia="Microsoft JhengHei" w:hint="eastAsia"/>
          <w:b/>
          <w:sz w:val="21"/>
        </w:rPr>
        <w:t>σ</w:t>
      </w:r>
      <w:r>
        <w:rPr>
          <w:rFonts w:ascii="Times New Roman" w:hAnsi="Times New Roman" w:eastAsia="Times New Roman"/>
          <w:b/>
          <w:sz w:val="21"/>
        </w:rPr>
        <w:t>-1</w:t>
      </w:r>
      <w:r>
        <w:rPr>
          <w:rFonts w:ascii="Times New Roman" w:hAnsi="Times New Roman" w:eastAsia="Times New Roman"/>
          <w:b/>
          <w:spacing w:val="16"/>
          <w:sz w:val="21"/>
        </w:rPr>
        <w:t>   </w:t>
      </w:r>
      <w:r>
        <w:rPr>
          <w:rFonts w:ascii="Microsoft JhengHei" w:hAnsi="Microsoft JhengHei" w:eastAsia="Microsoft JhengHei" w:hint="eastAsia"/>
          <w:b/>
          <w:spacing w:val="-1"/>
          <w:sz w:val="21"/>
        </w:rPr>
        <w:t>受体激动剂与神经保护作用相关</w:t>
      </w:r>
      <w:r>
        <w:rPr>
          <w:spacing w:val="-3"/>
          <w:sz w:val="21"/>
        </w:rPr>
        <w:t>。</w:t>
      </w:r>
      <w:r>
        <w:rPr>
          <w:rFonts w:ascii="Times New Roman" w:hAnsi="Times New Roman" w:eastAsia="Times New Roman"/>
          <w:spacing w:val="-3"/>
          <w:sz w:val="21"/>
        </w:rPr>
        <w:t>ANAVEX</w:t>
      </w:r>
      <w:r>
        <w:rPr>
          <w:rFonts w:ascii="Times New Roman" w:hAnsi="Times New Roman" w:eastAsia="Times New Roman"/>
          <w:spacing w:val="-3"/>
          <w:position w:val="7"/>
          <w:sz w:val="14"/>
        </w:rPr>
        <w:t>®</w:t>
      </w:r>
      <w:r>
        <w:rPr>
          <w:rFonts w:ascii="Times New Roman" w:hAnsi="Times New Roman" w:eastAsia="Times New Roman"/>
          <w:spacing w:val="-3"/>
          <w:sz w:val="21"/>
        </w:rPr>
        <w:t>2-73</w:t>
      </w:r>
      <w:r>
        <w:rPr>
          <w:spacing w:val="-3"/>
          <w:sz w:val="21"/>
        </w:rPr>
        <w:t>（</w:t>
      </w:r>
      <w:r>
        <w:rPr>
          <w:rFonts w:ascii="Times New Roman" w:hAnsi="Times New Roman" w:eastAsia="Times New Roman"/>
          <w:spacing w:val="-3"/>
          <w:sz w:val="21"/>
        </w:rPr>
        <w:t>Blarcamesine</w:t>
      </w:r>
      <w:r>
        <w:rPr>
          <w:spacing w:val="-3"/>
          <w:sz w:val="21"/>
        </w:rPr>
        <w:t>，</w:t>
      </w:r>
    </w:p>
    <w:p>
      <w:pPr>
        <w:pStyle w:val="BodyText"/>
        <w:spacing w:line="302" w:lineRule="auto" w:before="24"/>
        <w:ind w:left="3163" w:right="723"/>
        <w:jc w:val="both"/>
      </w:pPr>
      <w:r>
        <w:rPr/>
        <w:t>口服σ</w:t>
      </w:r>
      <w:r>
        <w:rPr>
          <w:rFonts w:ascii="Times New Roman" w:hAnsi="Times New Roman" w:eastAsia="Times New Roman"/>
        </w:rPr>
        <w:t>-1R </w:t>
      </w:r>
      <w:r>
        <w:rPr>
          <w:spacing w:val="-3"/>
        </w:rPr>
        <w:t>小分子激动剂</w:t>
      </w:r>
      <w:r>
        <w:rPr>
          <w:spacing w:val="-65"/>
        </w:rPr>
        <w:t>）</w:t>
      </w:r>
      <w:r>
        <w:rPr>
          <w:spacing w:val="-8"/>
        </w:rPr>
        <w:t>可以改善多种疾病中存在的蛋白质稳态失衡，如 </w:t>
      </w:r>
      <w:r>
        <w:rPr>
          <w:rFonts w:ascii="Times New Roman" w:hAnsi="Times New Roman" w:eastAsia="Times New Roman"/>
        </w:rPr>
        <w:t>AD </w:t>
      </w:r>
      <w:r>
        <w:rPr/>
        <w:t>患</w:t>
      </w:r>
      <w:r>
        <w:rPr>
          <w:spacing w:val="-3"/>
        </w:rPr>
        <w:t>者中异常淀粉样蛋白沉积，</w:t>
      </w:r>
      <w:r>
        <w:rPr>
          <w:rFonts w:ascii="Times New Roman" w:hAnsi="Times New Roman" w:eastAsia="Times New Roman"/>
        </w:rPr>
        <w:t>PD </w:t>
      </w:r>
      <w:r>
        <w:rPr>
          <w:spacing w:val="-8"/>
        </w:rPr>
        <w:t>患者中 </w:t>
      </w:r>
      <w:r>
        <w:rPr>
          <w:rFonts w:ascii="Times New Roman" w:hAnsi="Times New Roman" w:eastAsia="Times New Roman"/>
          <w:spacing w:val="-6"/>
        </w:rPr>
        <w:t>Tau </w:t>
      </w:r>
      <w:r>
        <w:rPr>
          <w:spacing w:val="-3"/>
        </w:rPr>
        <w:t>蛋白以及异常折叠的</w:t>
      </w:r>
      <w:r>
        <w:rPr/>
        <w:t>α</w:t>
      </w:r>
      <w:r>
        <w:rPr>
          <w:rFonts w:ascii="Times New Roman" w:hAnsi="Times New Roman" w:eastAsia="Times New Roman"/>
        </w:rPr>
        <w:t>-</w:t>
      </w:r>
      <w:r>
        <w:rPr>
          <w:spacing w:val="-3"/>
        </w:rPr>
        <w:t>突触核蛋白。</w:t>
      </w:r>
      <w:r>
        <w:rPr>
          <w:spacing w:val="-8"/>
        </w:rPr>
        <w:t>另外敲除 </w:t>
      </w:r>
      <w:r>
        <w:rPr>
          <w:rFonts w:ascii="Times New Roman" w:hAnsi="Times New Roman" w:eastAsia="Times New Roman"/>
          <w:spacing w:val="-2"/>
        </w:rPr>
        <w:t>σ-1 </w:t>
      </w:r>
      <w:r>
        <w:rPr>
          <w:spacing w:val="-7"/>
        </w:rPr>
        <w:t>受体或添加 </w:t>
      </w:r>
      <w:r>
        <w:rPr>
          <w:rFonts w:ascii="Times New Roman" w:hAnsi="Times New Roman" w:eastAsia="Times New Roman"/>
        </w:rPr>
        <w:t>σ-1 </w:t>
      </w:r>
      <w:r>
        <w:rPr>
          <w:spacing w:val="-3"/>
        </w:rPr>
        <w:t>受体拮抗剂会导致溶酶体和自噬体融合的损伤。而</w:t>
      </w:r>
      <w:r>
        <w:rPr>
          <w:spacing w:val="-20"/>
        </w:rPr>
        <w:t>加入 </w:t>
      </w:r>
      <w:r>
        <w:rPr>
          <w:rFonts w:ascii="Times New Roman" w:hAnsi="Times New Roman" w:eastAsia="Times New Roman"/>
        </w:rPr>
        <w:t>σ-1 </w:t>
      </w:r>
      <w:r>
        <w:rPr>
          <w:spacing w:val="-9"/>
        </w:rPr>
        <w:t>受体激动剂或上调 </w:t>
      </w:r>
      <w:r>
        <w:rPr>
          <w:rFonts w:ascii="Times New Roman" w:hAnsi="Times New Roman" w:eastAsia="Times New Roman"/>
        </w:rPr>
        <w:t>σ-1 </w:t>
      </w:r>
      <w:r>
        <w:rPr>
          <w:spacing w:val="-3"/>
        </w:rPr>
        <w:t>受体会导致自噬上调。</w:t>
      </w:r>
    </w:p>
    <w:p>
      <w:pPr>
        <w:pStyle w:val="BodyText"/>
        <w:spacing w:before="12"/>
        <w:rPr>
          <w:sz w:val="23"/>
        </w:rPr>
      </w:pPr>
    </w:p>
    <w:p>
      <w:pPr>
        <w:pStyle w:val="BodyText"/>
        <w:spacing w:line="304" w:lineRule="auto"/>
        <w:ind w:left="3163" w:right="723"/>
        <w:jc w:val="both"/>
      </w:pPr>
      <w:r>
        <w:rPr>
          <w:rFonts w:ascii="Times New Roman" w:hAnsi="Times New Roman" w:eastAsia="Times New Roman"/>
        </w:rPr>
        <w:t>2022 </w:t>
      </w:r>
      <w:r>
        <w:rPr>
          <w:spacing w:val="-24"/>
        </w:rPr>
        <w:t>年 </w:t>
      </w:r>
      <w:r>
        <w:rPr>
          <w:rFonts w:ascii="Times New Roman" w:hAnsi="Times New Roman" w:eastAsia="Times New Roman"/>
        </w:rPr>
        <w:t>12 </w:t>
      </w:r>
      <w:r>
        <w:rPr>
          <w:spacing w:val="-2"/>
        </w:rPr>
        <w:t>月，</w:t>
      </w:r>
      <w:r>
        <w:rPr>
          <w:rFonts w:ascii="Times New Roman" w:hAnsi="Times New Roman" w:eastAsia="Times New Roman"/>
          <w:spacing w:val="-3"/>
        </w:rPr>
        <w:t>Anavex </w:t>
      </w:r>
      <w:r>
        <w:rPr>
          <w:spacing w:val="-17"/>
        </w:rPr>
        <w:t>宣布 </w:t>
      </w:r>
      <w:r>
        <w:rPr>
          <w:rFonts w:ascii="Times New Roman" w:hAnsi="Times New Roman" w:eastAsia="Times New Roman"/>
          <w:spacing w:val="-3"/>
        </w:rPr>
        <w:t>ANAVEX</w:t>
      </w:r>
      <w:r>
        <w:rPr>
          <w:rFonts w:ascii="Times New Roman" w:hAnsi="Times New Roman" w:eastAsia="Times New Roman"/>
          <w:spacing w:val="-3"/>
          <w:position w:val="7"/>
          <w:sz w:val="14"/>
        </w:rPr>
        <w:t>®</w:t>
      </w:r>
      <w:r>
        <w:rPr>
          <w:rFonts w:ascii="Times New Roman" w:hAnsi="Times New Roman" w:eastAsia="Times New Roman"/>
          <w:spacing w:val="-3"/>
        </w:rPr>
        <w:t>2-73</w:t>
      </w:r>
      <w:r>
        <w:rPr>
          <w:spacing w:val="-3"/>
        </w:rPr>
        <w:t>（</w:t>
      </w:r>
      <w:r>
        <w:rPr>
          <w:rFonts w:ascii="Times New Roman" w:hAnsi="Times New Roman" w:eastAsia="Times New Roman"/>
          <w:spacing w:val="-3"/>
        </w:rPr>
        <w:t>Blarcamesine</w:t>
      </w:r>
      <w:r>
        <w:rPr>
          <w:spacing w:val="-3"/>
        </w:rPr>
        <w:t>）</w:t>
      </w:r>
      <w:r>
        <w:rPr>
          <w:spacing w:val="-14"/>
        </w:rPr>
        <w:t>在一项 </w:t>
      </w:r>
      <w:r>
        <w:rPr>
          <w:rFonts w:ascii="Times New Roman" w:hAnsi="Times New Roman" w:eastAsia="Times New Roman"/>
        </w:rPr>
        <w:t>509 </w:t>
      </w:r>
      <w:r>
        <w:rPr>
          <w:spacing w:val="-2"/>
        </w:rPr>
        <w:t>名患者参</w:t>
      </w:r>
      <w:r>
        <w:rPr>
          <w:spacing w:val="-17"/>
        </w:rPr>
        <w:t>与的 </w:t>
      </w:r>
      <w:r>
        <w:rPr>
          <w:rFonts w:ascii="Times New Roman" w:hAnsi="Times New Roman" w:eastAsia="Times New Roman"/>
        </w:rPr>
        <w:t>IIb/III </w:t>
      </w:r>
      <w:r>
        <w:rPr>
          <w:spacing w:val="-10"/>
        </w:rPr>
        <w:t>期试验中达到了主要终点和关键次要终点。该试验以 </w:t>
      </w:r>
      <w:r>
        <w:rPr>
          <w:rFonts w:ascii="Times New Roman" w:hAnsi="Times New Roman" w:eastAsia="Times New Roman"/>
        </w:rPr>
        <w:t>1:1:1 </w:t>
      </w:r>
      <w:r>
        <w:rPr>
          <w:spacing w:val="-3"/>
        </w:rPr>
        <w:t>随机分配中</w:t>
      </w:r>
      <w:r>
        <w:rPr>
          <w:spacing w:val="-5"/>
        </w:rPr>
        <w:t>剂量或高剂量的 </w:t>
      </w:r>
      <w:r>
        <w:rPr>
          <w:rFonts w:ascii="Times New Roman" w:hAnsi="Times New Roman" w:eastAsia="Times New Roman"/>
          <w:spacing w:val="-4"/>
        </w:rPr>
        <w:t>ANAVEX</w:t>
      </w:r>
      <w:r>
        <w:rPr>
          <w:rFonts w:ascii="Times New Roman" w:hAnsi="Times New Roman" w:eastAsia="Times New Roman"/>
          <w:spacing w:val="-4"/>
          <w:position w:val="7"/>
          <w:sz w:val="14"/>
        </w:rPr>
        <w:t>®</w:t>
      </w:r>
      <w:r>
        <w:rPr>
          <w:rFonts w:ascii="Times New Roman" w:hAnsi="Times New Roman" w:eastAsia="Times New Roman"/>
          <w:spacing w:val="-4"/>
        </w:rPr>
        <w:t>2-73 </w:t>
      </w:r>
      <w:r>
        <w:rPr>
          <w:spacing w:val="-3"/>
        </w:rPr>
        <w:t>或安慰剂。与安慰组相比，接受治疗的患者中， </w:t>
      </w:r>
      <w:r>
        <w:rPr>
          <w:spacing w:val="-18"/>
        </w:rPr>
        <w:t>超过 </w:t>
      </w:r>
      <w:r>
        <w:rPr>
          <w:rFonts w:ascii="Times New Roman" w:hAnsi="Times New Roman" w:eastAsia="Times New Roman"/>
        </w:rPr>
        <w:t>84%</w:t>
      </w:r>
      <w:r>
        <w:rPr>
          <w:spacing w:val="50"/>
        </w:rPr>
        <w:t>的</w:t>
      </w:r>
      <w:r>
        <w:rPr>
          <w:rFonts w:ascii="Times New Roman" w:hAnsi="Times New Roman" w:eastAsia="Times New Roman"/>
        </w:rPr>
        <w:t>ADAS-Cog </w:t>
      </w:r>
      <w:r>
        <w:rPr>
          <w:spacing w:val="-11"/>
        </w:rPr>
        <w:t>评分下降了 </w:t>
      </w:r>
      <w:r>
        <w:rPr>
          <w:rFonts w:ascii="Times New Roman" w:hAnsi="Times New Roman" w:eastAsia="Times New Roman"/>
        </w:rPr>
        <w:t>0.50 </w:t>
      </w:r>
      <w:r>
        <w:rPr>
          <w:spacing w:val="-20"/>
        </w:rPr>
        <w:t>分及以上。通过 </w:t>
      </w:r>
      <w:r>
        <w:rPr>
          <w:rFonts w:ascii="Times New Roman" w:hAnsi="Times New Roman" w:eastAsia="Times New Roman"/>
          <w:spacing w:val="-4"/>
        </w:rPr>
        <w:t>ANAVEX</w:t>
      </w:r>
      <w:r>
        <w:rPr>
          <w:rFonts w:ascii="Times New Roman" w:hAnsi="Times New Roman" w:eastAsia="Times New Roman"/>
          <w:spacing w:val="-4"/>
          <w:position w:val="7"/>
          <w:sz w:val="14"/>
        </w:rPr>
        <w:t>®</w:t>
      </w:r>
      <w:r>
        <w:rPr>
          <w:rFonts w:ascii="Times New Roman" w:hAnsi="Times New Roman" w:eastAsia="Times New Roman"/>
          <w:spacing w:val="-4"/>
        </w:rPr>
        <w:t>2-73 </w:t>
      </w:r>
      <w:r>
        <w:rPr>
          <w:spacing w:val="-2"/>
        </w:rPr>
        <w:t>治疗改善</w:t>
      </w:r>
      <w:r>
        <w:rPr>
          <w:spacing w:val="-3"/>
        </w:rPr>
        <w:t>认知的患者，</w:t>
      </w:r>
      <w:r>
        <w:rPr>
          <w:rFonts w:ascii="Times New Roman" w:hAnsi="Times New Roman" w:eastAsia="Times New Roman"/>
        </w:rPr>
        <w:t>ADAS-Cog </w:t>
      </w:r>
      <w:r>
        <w:rPr>
          <w:spacing w:val="-7"/>
        </w:rPr>
        <w:t>认知评分平均下降了 </w:t>
      </w:r>
      <w:r>
        <w:rPr>
          <w:rFonts w:ascii="Times New Roman" w:hAnsi="Times New Roman" w:eastAsia="Times New Roman"/>
        </w:rPr>
        <w:t>4.03 </w:t>
      </w:r>
      <w:r>
        <w:rPr/>
        <w:t>分。</w:t>
      </w:r>
      <w:r>
        <w:rPr>
          <w:rFonts w:ascii="Times New Roman" w:hAnsi="Times New Roman" w:eastAsia="Times New Roman"/>
          <w:spacing w:val="-4"/>
        </w:rPr>
        <w:t>ANAVEX</w:t>
      </w:r>
      <w:r>
        <w:rPr>
          <w:rFonts w:ascii="Times New Roman" w:hAnsi="Times New Roman" w:eastAsia="Times New Roman"/>
          <w:spacing w:val="-4"/>
          <w:position w:val="7"/>
          <w:sz w:val="14"/>
        </w:rPr>
        <w:t>®</w:t>
      </w:r>
      <w:r>
        <w:rPr>
          <w:rFonts w:ascii="Times New Roman" w:hAnsi="Times New Roman" w:eastAsia="Times New Roman"/>
          <w:spacing w:val="-4"/>
        </w:rPr>
        <w:t>2-73 </w:t>
      </w:r>
      <w:r>
        <w:rPr>
          <w:spacing w:val="-2"/>
        </w:rPr>
        <w:t>治疗改善</w:t>
      </w:r>
      <w:r>
        <w:rPr>
          <w:spacing w:val="1"/>
        </w:rPr>
        <w:t>功能的可能性提高了 </w:t>
      </w:r>
      <w:r>
        <w:rPr>
          <w:rFonts w:ascii="Times New Roman" w:hAnsi="Times New Roman" w:eastAsia="Times New Roman"/>
        </w:rPr>
        <w:t>167%</w:t>
      </w:r>
      <w:r>
        <w:rPr/>
        <w:t>，</w:t>
      </w:r>
      <w:r>
        <w:rPr>
          <w:rFonts w:ascii="Times New Roman" w:hAnsi="Times New Roman" w:eastAsia="Times New Roman"/>
        </w:rPr>
        <w:t>ADCS-ADL </w:t>
      </w:r>
      <w:r>
        <w:rPr>
          <w:spacing w:val="2"/>
        </w:rPr>
        <w:t>评分变化增加了 </w:t>
      </w:r>
      <w:r>
        <w:rPr>
          <w:rFonts w:ascii="Times New Roman" w:hAnsi="Times New Roman" w:eastAsia="Times New Roman"/>
        </w:rPr>
        <w:t>3.5 </w:t>
      </w:r>
      <w:r>
        <w:rPr/>
        <w:t>分及以上，表明</w:t>
      </w:r>
      <w:r>
        <w:rPr>
          <w:rFonts w:ascii="Times New Roman" w:hAnsi="Times New Roman" w:eastAsia="Times New Roman"/>
          <w:spacing w:val="-4"/>
        </w:rPr>
        <w:t>ANAVEX</w:t>
      </w:r>
      <w:r>
        <w:rPr>
          <w:rFonts w:ascii="Times New Roman" w:hAnsi="Times New Roman" w:eastAsia="Times New Roman"/>
          <w:spacing w:val="-4"/>
          <w:position w:val="7"/>
          <w:sz w:val="14"/>
        </w:rPr>
        <w:t>®</w:t>
      </w:r>
      <w:r>
        <w:rPr>
          <w:rFonts w:ascii="Times New Roman" w:hAnsi="Times New Roman" w:eastAsia="Times New Roman"/>
          <w:spacing w:val="-4"/>
        </w:rPr>
        <w:t>2-73 </w:t>
      </w:r>
      <w:r>
        <w:rPr>
          <w:spacing w:val="-24"/>
        </w:rPr>
        <w:t>在 </w:t>
      </w:r>
      <w:r>
        <w:rPr>
          <w:rFonts w:ascii="Times New Roman" w:hAnsi="Times New Roman" w:eastAsia="Times New Roman"/>
        </w:rPr>
        <w:t>AD </w:t>
      </w:r>
      <w:r>
        <w:rPr>
          <w:spacing w:val="-14"/>
        </w:rPr>
        <w:t>患者身上明显的改善。此外，与安慰剂相比，用 </w:t>
      </w:r>
      <w:r>
        <w:rPr>
          <w:rFonts w:ascii="Times New Roman" w:hAnsi="Times New Roman" w:eastAsia="Times New Roman"/>
        </w:rPr>
        <w:t>ADAS-Cog </w:t>
      </w:r>
      <w:r>
        <w:rPr>
          <w:spacing w:val="-10"/>
        </w:rPr>
        <w:t>测量的 </w:t>
      </w:r>
      <w:r>
        <w:rPr>
          <w:rFonts w:ascii="Times New Roman" w:hAnsi="Times New Roman" w:eastAsia="Times New Roman"/>
          <w:spacing w:val="-4"/>
        </w:rPr>
        <w:t>ANAVEX</w:t>
      </w:r>
      <w:r>
        <w:rPr>
          <w:rFonts w:ascii="Times New Roman" w:hAnsi="Times New Roman" w:eastAsia="Times New Roman"/>
          <w:spacing w:val="-4"/>
          <w:position w:val="7"/>
          <w:sz w:val="14"/>
        </w:rPr>
        <w:t>®</w:t>
      </w:r>
      <w:r>
        <w:rPr>
          <w:rFonts w:ascii="Times New Roman" w:hAnsi="Times New Roman" w:eastAsia="Times New Roman"/>
          <w:spacing w:val="-4"/>
        </w:rPr>
        <w:t>2-73 </w:t>
      </w:r>
      <w:r>
        <w:rPr>
          <w:spacing w:val="-6"/>
        </w:rPr>
        <w:t>治疗组在统计学上显着减少了 </w:t>
      </w:r>
      <w:r>
        <w:rPr>
          <w:rFonts w:ascii="Times New Roman" w:hAnsi="Times New Roman" w:eastAsia="Times New Roman"/>
        </w:rPr>
        <w:t>45%</w:t>
      </w:r>
      <w:r>
        <w:rPr>
          <w:spacing w:val="-3"/>
        </w:rPr>
        <w:t>的认知衰退。关键次要</w:t>
      </w:r>
      <w:r>
        <w:rPr>
          <w:spacing w:val="-6"/>
        </w:rPr>
        <w:t>终点方面， </w:t>
      </w:r>
      <w:r>
        <w:rPr>
          <w:rFonts w:ascii="Times New Roman" w:hAnsi="Times New Roman" w:eastAsia="Times New Roman"/>
          <w:spacing w:val="-4"/>
        </w:rPr>
        <w:t>ANAVEX®2-73 </w:t>
      </w:r>
      <w:r>
        <w:rPr>
          <w:spacing w:val="12"/>
        </w:rPr>
        <w:t>治疗组 </w:t>
      </w:r>
      <w:r>
        <w:rPr>
          <w:rFonts w:ascii="Times New Roman" w:hAnsi="Times New Roman" w:eastAsia="Times New Roman"/>
        </w:rPr>
        <w:t>CDR-SB </w:t>
      </w:r>
      <w:r>
        <w:rPr>
          <w:spacing w:val="12"/>
        </w:rPr>
        <w:t>评分较安慰剂组下降了 </w:t>
      </w:r>
      <w:r>
        <w:rPr>
          <w:rFonts w:ascii="Times New Roman" w:hAnsi="Times New Roman" w:eastAsia="Times New Roman"/>
        </w:rPr>
        <w:t>0.42 </w:t>
      </w:r>
      <w:r>
        <w:rPr/>
        <w:t>分</w:t>
      </w:r>
      <w:r>
        <w:rPr>
          <w:rFonts w:ascii="Times New Roman" w:hAnsi="Times New Roman" w:eastAsia="Times New Roman"/>
        </w:rPr>
        <w:t>(p=0.040)</w:t>
      </w:r>
      <w:r>
        <w:rPr>
          <w:spacing w:val="-5"/>
        </w:rPr>
        <w:t>，也代表意向治疗人群减少了 </w:t>
      </w:r>
      <w:r>
        <w:rPr>
          <w:rFonts w:ascii="Times New Roman" w:hAnsi="Times New Roman" w:eastAsia="Times New Roman"/>
        </w:rPr>
        <w:t>27%</w:t>
      </w:r>
      <w:r>
        <w:rPr>
          <w:spacing w:val="-3"/>
        </w:rPr>
        <w:t>。</w:t>
      </w:r>
      <w:r>
        <w:rPr>
          <w:rFonts w:ascii="Times New Roman" w:hAnsi="Times New Roman" w:eastAsia="Times New Roman"/>
        </w:rPr>
        <w:t>TEAE </w:t>
      </w:r>
      <w:r>
        <w:rPr>
          <w:spacing w:val="-3"/>
        </w:rPr>
        <w:t>的发生率与安慰剂组类似， </w:t>
      </w:r>
      <w:r>
        <w:rPr>
          <w:spacing w:val="-12"/>
        </w:rPr>
        <w:t>其中头晕最为常见。开放标签扩展研究 </w:t>
      </w:r>
      <w:r>
        <w:rPr>
          <w:rFonts w:ascii="Times New Roman" w:hAnsi="Times New Roman" w:eastAsia="Times New Roman"/>
          <w:spacing w:val="-3"/>
        </w:rPr>
        <w:t>ATTENTION-AD </w:t>
      </w:r>
      <w:r>
        <w:rPr>
          <w:spacing w:val="-16"/>
        </w:rPr>
        <w:t>将在 </w:t>
      </w:r>
      <w:r>
        <w:rPr>
          <w:rFonts w:ascii="Times New Roman" w:hAnsi="Times New Roman" w:eastAsia="Times New Roman"/>
        </w:rPr>
        <w:t>96 </w:t>
      </w:r>
      <w:r>
        <w:rPr>
          <w:spacing w:val="-3"/>
        </w:rPr>
        <w:t>周内继续评估该药物的疗效及安全性。</w:t>
      </w:r>
    </w:p>
    <w:p>
      <w:pPr>
        <w:pStyle w:val="BodyText"/>
        <w:rPr>
          <w:sz w:val="17"/>
        </w:rPr>
      </w:pPr>
    </w:p>
    <w:p>
      <w:pPr>
        <w:pStyle w:val="Heading3"/>
        <w:numPr>
          <w:ilvl w:val="3"/>
          <w:numId w:val="3"/>
        </w:numPr>
        <w:tabs>
          <w:tab w:pos="3849" w:val="left" w:leader="none"/>
        </w:tabs>
        <w:spacing w:line="363" w:lineRule="exact" w:before="1" w:after="0"/>
        <w:ind w:left="3848" w:right="0" w:hanging="686"/>
        <w:jc w:val="left"/>
      </w:pPr>
      <w:r>
        <w:rPr/>
        <w:t>抗神经炎症疗法</w:t>
      </w:r>
    </w:p>
    <w:p>
      <w:pPr>
        <w:spacing w:line="363" w:lineRule="exact" w:before="0"/>
        <w:ind w:left="3163" w:right="0" w:firstLine="0"/>
        <w:jc w:val="left"/>
        <w:rPr>
          <w:sz w:val="21"/>
        </w:rPr>
      </w:pPr>
      <w:r>
        <w:rPr>
          <w:rFonts w:ascii="Microsoft JhengHei" w:eastAsia="Microsoft JhengHei" w:hint="eastAsia"/>
          <w:b/>
          <w:spacing w:val="-6"/>
          <w:w w:val="100"/>
          <w:sz w:val="21"/>
        </w:rPr>
        <w:t>小胶质细胞调节剂和星形胶质细胞调节剂多处于临床前阶段。</w:t>
      </w:r>
      <w:r>
        <w:rPr>
          <w:rFonts w:ascii="Times New Roman" w:eastAsia="Times New Roman"/>
          <w:spacing w:val="-1"/>
          <w:w w:val="100"/>
          <w:sz w:val="21"/>
        </w:rPr>
        <w:t>F</w:t>
      </w:r>
      <w:r>
        <w:rPr>
          <w:rFonts w:ascii="Times New Roman" w:eastAsia="Times New Roman"/>
          <w:spacing w:val="-2"/>
          <w:w w:val="100"/>
          <w:sz w:val="21"/>
        </w:rPr>
        <w:t>K</w:t>
      </w:r>
      <w:r>
        <w:rPr>
          <w:rFonts w:ascii="Times New Roman" w:eastAsia="Times New Roman"/>
          <w:w w:val="100"/>
          <w:sz w:val="21"/>
        </w:rPr>
        <w:t>50</w:t>
      </w:r>
      <w:r>
        <w:rPr>
          <w:rFonts w:ascii="Times New Roman" w:eastAsia="Times New Roman"/>
          <w:spacing w:val="-85"/>
          <w:w w:val="100"/>
          <w:sz w:val="21"/>
        </w:rPr>
        <w:t>6</w:t>
      </w:r>
      <w:r>
        <w:rPr>
          <w:spacing w:val="-3"/>
          <w:w w:val="100"/>
          <w:sz w:val="21"/>
        </w:rPr>
        <w:t>（他克莫司</w:t>
      </w:r>
      <w:r>
        <w:rPr>
          <w:w w:val="100"/>
          <w:sz w:val="21"/>
        </w:rPr>
        <w:t>）</w:t>
      </w:r>
    </w:p>
    <w:p>
      <w:pPr>
        <w:pStyle w:val="BodyText"/>
        <w:spacing w:line="302" w:lineRule="auto" w:before="24"/>
        <w:ind w:left="3163" w:right="726"/>
        <w:jc w:val="both"/>
      </w:pPr>
      <w:r>
        <w:rPr>
          <w:spacing w:val="25"/>
        </w:rPr>
        <w:t>抑制</w:t>
      </w:r>
      <w:r>
        <w:rPr>
          <w:rFonts w:ascii="Times New Roman" w:eastAsia="Times New Roman"/>
        </w:rPr>
        <w:t>APP/PS1 </w:t>
      </w:r>
      <w:r>
        <w:rPr>
          <w:spacing w:val="-3"/>
        </w:rPr>
        <w:t>小鼠的钙调磷酸酶</w:t>
      </w:r>
      <w:r>
        <w:rPr>
          <w:rFonts w:ascii="Times New Roman" w:eastAsia="Times New Roman"/>
          <w:spacing w:val="-10"/>
        </w:rPr>
        <w:t>/NFAT </w:t>
      </w:r>
      <w:r>
        <w:rPr>
          <w:spacing w:val="-12"/>
        </w:rPr>
        <w:t>通路并改善认知缺陷；开放标签 </w:t>
      </w:r>
      <w:r>
        <w:rPr>
          <w:rFonts w:ascii="Times New Roman" w:eastAsia="Times New Roman"/>
        </w:rPr>
        <w:t>II </w:t>
      </w:r>
      <w:r>
        <w:rPr>
          <w:spacing w:val="-2"/>
        </w:rPr>
        <w:t>期研究</w:t>
      </w:r>
      <w:r>
        <w:rPr>
          <w:spacing w:val="-3"/>
        </w:rPr>
        <w:t>正在进行中，尚未发表任何结果。</w:t>
      </w:r>
    </w:p>
    <w:p>
      <w:pPr>
        <w:pStyle w:val="BodyText"/>
        <w:spacing w:before="10"/>
        <w:rPr>
          <w:sz w:val="18"/>
        </w:rPr>
      </w:pPr>
    </w:p>
    <w:p>
      <w:pPr>
        <w:pStyle w:val="BodyText"/>
        <w:spacing w:line="340" w:lineRule="exact"/>
        <w:ind w:left="3163" w:right="726"/>
        <w:jc w:val="both"/>
        <w:rPr>
          <w:rFonts w:ascii="Times New Roman" w:hAnsi="Times New Roman" w:eastAsia="Times New Roman"/>
        </w:rPr>
      </w:pPr>
      <w:r>
        <w:rPr>
          <w:rFonts w:ascii="Microsoft JhengHei" w:hAnsi="Microsoft JhengHei" w:eastAsia="Microsoft JhengHei" w:hint="eastAsia"/>
          <w:b/>
          <w:spacing w:val="-1"/>
        </w:rPr>
        <w:t>胰岛素抵抗管理显示出 </w:t>
      </w:r>
      <w:r>
        <w:rPr>
          <w:rFonts w:ascii="Times New Roman" w:hAnsi="Times New Roman" w:eastAsia="Times New Roman"/>
          <w:b/>
        </w:rPr>
        <w:t>AD </w:t>
      </w:r>
      <w:r>
        <w:rPr>
          <w:rFonts w:ascii="Microsoft JhengHei" w:hAnsi="Microsoft JhengHei" w:eastAsia="Microsoft JhengHei" w:hint="eastAsia"/>
          <w:b/>
        </w:rPr>
        <w:t>治疗潜力</w:t>
      </w:r>
      <w:r>
        <w:rPr>
          <w:spacing w:val="-15"/>
        </w:rPr>
        <w:t>。</w:t>
      </w:r>
      <w:r>
        <w:rPr>
          <w:rFonts w:ascii="Times New Roman" w:hAnsi="Times New Roman" w:eastAsia="Times New Roman"/>
        </w:rPr>
        <w:t>GLP-1 </w:t>
      </w:r>
      <w:r>
        <w:rPr>
          <w:spacing w:val="-5"/>
        </w:rPr>
        <w:t>的受体在许多大脑区域表达，包括</w:t>
      </w:r>
      <w:r>
        <w:rPr>
          <w:spacing w:val="-6"/>
        </w:rPr>
        <w:t>纹状体、伏隔核和海马体。动物研究表明，给予 </w:t>
      </w:r>
      <w:r>
        <w:rPr>
          <w:rFonts w:ascii="Times New Roman" w:hAnsi="Times New Roman" w:eastAsia="Times New Roman"/>
        </w:rPr>
        <w:t>GLP-1 RA </w:t>
      </w:r>
      <w:r>
        <w:rPr>
          <w:spacing w:val="-3"/>
        </w:rPr>
        <w:t>利拉鲁肽可以改善记</w:t>
      </w:r>
      <w:r>
        <w:rPr>
          <w:spacing w:val="-10"/>
        </w:rPr>
        <w:t>忆和学习，增加海马体中的 </w:t>
      </w:r>
      <w:r>
        <w:rPr>
          <w:rFonts w:ascii="Times New Roman" w:hAnsi="Times New Roman" w:eastAsia="Times New Roman"/>
        </w:rPr>
        <w:t>CA1 </w:t>
      </w:r>
      <w:r>
        <w:rPr>
          <w:spacing w:val="-8"/>
        </w:rPr>
        <w:t>神经元，减少淀粉样蛋白</w:t>
      </w:r>
      <w:r>
        <w:rPr>
          <w:spacing w:val="-18"/>
        </w:rPr>
        <w:t>β（</w:t>
      </w:r>
      <w:r>
        <w:rPr>
          <w:rFonts w:ascii="Times New Roman" w:hAnsi="Times New Roman" w:eastAsia="Times New Roman"/>
          <w:spacing w:val="-18"/>
        </w:rPr>
        <w:t>A</w:t>
      </w:r>
      <w:r>
        <w:rPr>
          <w:spacing w:val="-18"/>
        </w:rPr>
        <w:t>β）</w:t>
      </w:r>
      <w:r>
        <w:rPr>
          <w:spacing w:val="-14"/>
        </w:rPr>
        <w:t>，并防止 </w:t>
      </w:r>
      <w:r>
        <w:rPr>
          <w:rFonts w:ascii="Times New Roman" w:hAnsi="Times New Roman" w:eastAsia="Times New Roman"/>
          <w:spacing w:val="-6"/>
        </w:rPr>
        <w:t>Tau</w:t>
      </w:r>
    </w:p>
    <w:p>
      <w:pPr>
        <w:pStyle w:val="BodyText"/>
        <w:spacing w:line="302" w:lineRule="auto" w:before="65"/>
        <w:ind w:left="3163" w:right="726"/>
        <w:jc w:val="both"/>
      </w:pPr>
      <w:r>
        <w:rPr>
          <w:spacing w:val="-17"/>
        </w:rPr>
        <w:t>缠结沉积，此外 </w:t>
      </w:r>
      <w:r>
        <w:rPr>
          <w:rFonts w:ascii="Times New Roman" w:eastAsia="Times New Roman"/>
        </w:rPr>
        <w:t>12 </w:t>
      </w:r>
      <w:r>
        <w:rPr>
          <w:spacing w:val="-7"/>
        </w:rPr>
        <w:t>个月的利拉鲁肽治疗延缓了 </w:t>
      </w:r>
      <w:r>
        <w:rPr>
          <w:rFonts w:ascii="Times New Roman" w:eastAsia="Times New Roman"/>
        </w:rPr>
        <w:t>AD </w:t>
      </w:r>
      <w:r>
        <w:rPr>
          <w:spacing w:val="-14"/>
        </w:rPr>
        <w:t>认知损害。诺和诺德也自 </w:t>
      </w:r>
      <w:r>
        <w:rPr>
          <w:rFonts w:ascii="Times New Roman" w:eastAsia="Times New Roman"/>
        </w:rPr>
        <w:t>2021 </w:t>
      </w:r>
      <w:r>
        <w:rPr>
          <w:spacing w:val="-3"/>
        </w:rPr>
        <w:t>年起便启动了两项检视司美格鲁肽是否能缓解早期阿尔茨海默病患者症状的大型</w:t>
      </w:r>
      <w:r>
        <w:rPr>
          <w:rFonts w:ascii="Times New Roman" w:eastAsia="Times New Roman"/>
          <w:spacing w:val="-3"/>
        </w:rPr>
        <w:t>3</w:t>
      </w:r>
      <w:r>
        <w:rPr>
          <w:rFonts w:ascii="Times New Roman" w:eastAsia="Times New Roman"/>
          <w:spacing w:val="41"/>
        </w:rPr>
        <w:t> </w:t>
      </w:r>
      <w:r>
        <w:rPr>
          <w:spacing w:val="-4"/>
        </w:rPr>
        <w:t>期试验；二甲双胍给药可改善治疗组的执行功能；吡格列酮对轻度 </w:t>
      </w:r>
      <w:r>
        <w:rPr>
          <w:rFonts w:ascii="Times New Roman" w:eastAsia="Times New Roman"/>
        </w:rPr>
        <w:t>AD </w:t>
      </w:r>
      <w:r>
        <w:rPr>
          <w:spacing w:val="-2"/>
        </w:rPr>
        <w:t>糖尿病</w:t>
      </w:r>
      <w:r>
        <w:rPr>
          <w:spacing w:val="-8"/>
        </w:rPr>
        <w:t>患者有认知益处，但 </w:t>
      </w:r>
      <w:r>
        <w:rPr>
          <w:rFonts w:ascii="Times New Roman" w:eastAsia="Times New Roman"/>
        </w:rPr>
        <w:t>MCI </w:t>
      </w:r>
      <w:r>
        <w:rPr>
          <w:spacing w:val="-2"/>
        </w:rPr>
        <w:t>患者无疗效</w:t>
      </w:r>
      <w:r>
        <w:rPr/>
        <w:t>（</w:t>
      </w:r>
      <w:r>
        <w:rPr>
          <w:spacing w:val="-3"/>
        </w:rPr>
        <w:t>无安全性问题</w:t>
      </w:r>
      <w:r>
        <w:rPr/>
        <w:t>）。</w:t>
      </w:r>
    </w:p>
    <w:p>
      <w:pPr>
        <w:pStyle w:val="BodyText"/>
        <w:spacing w:before="7"/>
        <w:rPr>
          <w:sz w:val="18"/>
        </w:rPr>
      </w:pPr>
    </w:p>
    <w:p>
      <w:pPr>
        <w:pStyle w:val="Heading3"/>
        <w:numPr>
          <w:ilvl w:val="3"/>
          <w:numId w:val="3"/>
        </w:numPr>
        <w:tabs>
          <w:tab w:pos="3796" w:val="left" w:leader="none"/>
        </w:tabs>
        <w:spacing w:line="363" w:lineRule="exact" w:before="1" w:after="0"/>
        <w:ind w:left="3795" w:right="0" w:hanging="633"/>
        <w:jc w:val="left"/>
      </w:pPr>
      <w:r>
        <w:rPr/>
        <w:t>国内在研产品</w:t>
      </w:r>
    </w:p>
    <w:p>
      <w:pPr>
        <w:spacing w:line="363" w:lineRule="exact" w:before="0"/>
        <w:ind w:left="3163" w:right="0" w:firstLine="0"/>
        <w:jc w:val="left"/>
        <w:rPr>
          <w:rFonts w:ascii="Microsoft JhengHei" w:hAnsi="Microsoft JhengHei" w:eastAsia="Microsoft JhengHei" w:hint="eastAsia"/>
          <w:b/>
          <w:sz w:val="21"/>
        </w:rPr>
      </w:pPr>
      <w:r>
        <w:rPr>
          <w:rFonts w:ascii="Microsoft JhengHei" w:hAnsi="Microsoft JhengHei" w:eastAsia="Microsoft JhengHei" w:hint="eastAsia"/>
          <w:b/>
          <w:spacing w:val="-2"/>
          <w:w w:val="105"/>
          <w:sz w:val="21"/>
        </w:rPr>
        <w:t>国内在研产品中以 </w:t>
      </w:r>
      <w:r>
        <w:rPr>
          <w:rFonts w:ascii="Times New Roman" w:hAnsi="Times New Roman" w:eastAsia="Times New Roman"/>
          <w:b/>
          <w:w w:val="105"/>
          <w:sz w:val="21"/>
        </w:rPr>
        <w:t>A</w:t>
      </w:r>
      <w:r>
        <w:rPr>
          <w:rFonts w:ascii="Microsoft JhengHei" w:hAnsi="Microsoft JhengHei" w:eastAsia="Microsoft JhengHei" w:hint="eastAsia"/>
          <w:b/>
          <w:w w:val="105"/>
          <w:sz w:val="21"/>
        </w:rPr>
        <w:t>β</w:t>
      </w:r>
      <w:r>
        <w:rPr>
          <w:rFonts w:ascii="Microsoft JhengHei" w:hAnsi="Microsoft JhengHei" w:eastAsia="Microsoft JhengHei" w:hint="eastAsia"/>
          <w:b/>
          <w:spacing w:val="50"/>
          <w:w w:val="105"/>
          <w:sz w:val="21"/>
        </w:rPr>
        <w:t>或</w:t>
      </w:r>
      <w:r>
        <w:rPr>
          <w:rFonts w:ascii="Times New Roman" w:hAnsi="Times New Roman" w:eastAsia="Times New Roman"/>
          <w:b/>
          <w:spacing w:val="-7"/>
          <w:w w:val="105"/>
          <w:sz w:val="21"/>
        </w:rPr>
        <w:t>Tau </w:t>
      </w:r>
      <w:r>
        <w:rPr>
          <w:rFonts w:ascii="Microsoft JhengHei" w:hAnsi="Microsoft JhengHei" w:eastAsia="Microsoft JhengHei" w:hint="eastAsia"/>
          <w:b/>
          <w:spacing w:val="-3"/>
          <w:w w:val="105"/>
          <w:sz w:val="21"/>
        </w:rPr>
        <w:t>为靶点的研发公司包括恒瑞、先声、润佳等。</w:t>
      </w:r>
    </w:p>
    <w:p>
      <w:pPr>
        <w:pStyle w:val="BodyText"/>
        <w:spacing w:line="304" w:lineRule="auto" w:before="21"/>
        <w:ind w:left="3163" w:right="724"/>
        <w:jc w:val="both"/>
      </w:pPr>
      <w:r>
        <w:rPr>
          <w:spacing w:val="-6"/>
        </w:rPr>
        <w:t>其中恒瑞医药在研 </w:t>
      </w:r>
      <w:r>
        <w:rPr>
          <w:rFonts w:ascii="Times New Roman" w:hAnsi="Times New Roman" w:eastAsia="Times New Roman"/>
        </w:rPr>
        <w:t>I </w:t>
      </w:r>
      <w:r>
        <w:rPr>
          <w:spacing w:val="-7"/>
        </w:rPr>
        <w:t>期阶段产品为抗 </w:t>
      </w:r>
      <w:r>
        <w:rPr>
          <w:rFonts w:ascii="Times New Roman" w:hAnsi="Times New Roman" w:eastAsia="Times New Roman"/>
        </w:rPr>
        <w:t>A</w:t>
      </w:r>
      <w:r>
        <w:rPr/>
        <w:t>β</w:t>
      </w:r>
      <w:r>
        <w:rPr>
          <w:spacing w:val="-11"/>
        </w:rPr>
        <w:t>单抗 </w:t>
      </w:r>
      <w:r>
        <w:rPr>
          <w:rFonts w:ascii="Times New Roman" w:hAnsi="Times New Roman" w:eastAsia="Times New Roman"/>
        </w:rPr>
        <w:t>SHR-1707</w:t>
      </w:r>
      <w:r>
        <w:rPr>
          <w:spacing w:val="-7"/>
        </w:rPr>
        <w:t>，润佳医药的 </w:t>
      </w:r>
      <w:r>
        <w:rPr>
          <w:rFonts w:ascii="Times New Roman" w:hAnsi="Times New Roman" w:eastAsia="Times New Roman"/>
        </w:rPr>
        <w:t>RP902 </w:t>
      </w:r>
      <w:r>
        <w:rPr/>
        <w:t>则</w:t>
      </w:r>
      <w:r>
        <w:rPr>
          <w:spacing w:val="-6"/>
        </w:rPr>
        <w:t>是化药。根据恒瑞在 </w:t>
      </w:r>
      <w:r>
        <w:rPr>
          <w:rFonts w:ascii="Times New Roman" w:hAnsi="Times New Roman" w:eastAsia="Times New Roman"/>
        </w:rPr>
        <w:t>2023AAIC </w:t>
      </w:r>
      <w:r>
        <w:rPr>
          <w:spacing w:val="-3"/>
        </w:rPr>
        <w:t>会议的披露信息，在年轻健康和老年受试者中， </w:t>
      </w:r>
      <w:r>
        <w:rPr>
          <w:rFonts w:ascii="Times New Roman" w:hAnsi="Times New Roman" w:eastAsia="Times New Roman"/>
          <w:spacing w:val="-3"/>
        </w:rPr>
        <w:t>2~60mg/kg </w:t>
      </w:r>
      <w:r>
        <w:rPr>
          <w:spacing w:val="6"/>
        </w:rPr>
        <w:t>单次静脉给予</w:t>
      </w:r>
      <w:r>
        <w:rPr>
          <w:rFonts w:ascii="Times New Roman" w:hAnsi="Times New Roman" w:eastAsia="Times New Roman"/>
        </w:rPr>
        <w:t>SHR-1707 </w:t>
      </w:r>
      <w:r>
        <w:rPr>
          <w:spacing w:val="-9"/>
        </w:rPr>
        <w:t>安全性、耐受性良好。</w:t>
      </w:r>
      <w:r>
        <w:rPr>
          <w:rFonts w:ascii="Times New Roman" w:hAnsi="Times New Roman" w:eastAsia="Times New Roman"/>
        </w:rPr>
        <w:t>PK</w:t>
      </w:r>
      <w:r>
        <w:rPr>
          <w:spacing w:val="-24"/>
        </w:rPr>
        <w:t>、</w:t>
      </w:r>
      <w:r>
        <w:rPr>
          <w:rFonts w:ascii="Times New Roman" w:hAnsi="Times New Roman" w:eastAsia="Times New Roman"/>
        </w:rPr>
        <w:t>PD </w:t>
      </w:r>
      <w:r>
        <w:rPr>
          <w:spacing w:val="-3"/>
        </w:rPr>
        <w:t>数据支持进一</w:t>
      </w:r>
      <w:r>
        <w:rPr>
          <w:spacing w:val="-18"/>
        </w:rPr>
        <w:t>步临床研发。</w:t>
      </w:r>
      <w:r>
        <w:rPr>
          <w:rFonts w:ascii="Times New Roman" w:hAnsi="Times New Roman" w:eastAsia="Times New Roman"/>
        </w:rPr>
        <w:t>SHR-1707 </w:t>
      </w:r>
      <w:r>
        <w:rPr>
          <w:spacing w:val="-3"/>
        </w:rPr>
        <w:t>多次给药在阿尔茨海默病源性轻度认知功能障碍和轻度阿</w:t>
      </w:r>
    </w:p>
    <w:p>
      <w:pPr>
        <w:spacing w:after="0" w:line="304" w:lineRule="auto"/>
        <w:jc w:val="both"/>
        <w:sectPr>
          <w:pgSz w:w="11910" w:h="16840"/>
          <w:pgMar w:header="868" w:footer="1201" w:top="1400" w:bottom="1400" w:left="240" w:right="400"/>
        </w:sectPr>
      </w:pPr>
    </w:p>
    <w:p>
      <w:pPr>
        <w:pStyle w:val="BodyText"/>
        <w:spacing w:before="4"/>
        <w:rPr>
          <w:sz w:val="13"/>
        </w:rPr>
      </w:pPr>
      <w:r>
        <w:rPr/>
        <w:pict>
          <v:rect style="position:absolute;margin-left:42.720001pt;margin-top:767.880005pt;width:508.08pt;height:1.44pt;mso-position-horizontal-relative:page;mso-position-vertical-relative:page;z-index:15762432" filled="true" fillcolor="#333366" stroked="false">
            <v:fill type="solid"/>
            <w10:wrap type="none"/>
          </v:rect>
        </w:pict>
      </w:r>
      <w:r>
        <w:rPr/>
        <w:pict>
          <v:rect style="position:absolute;margin-left:85.824005pt;margin-top:760.560974pt;width:471.940022pt;height:.479pt;mso-position-horizontal-relative:page;mso-position-vertical-relative:page;z-index:-17860096" filled="true" fillcolor="#000000" stroked="false">
            <v:fill type="solid"/>
            <w10:wrap type="none"/>
          </v:rect>
        </w:pict>
      </w:r>
    </w:p>
    <w:p>
      <w:pPr>
        <w:pStyle w:val="BodyText"/>
        <w:spacing w:line="20" w:lineRule="exact"/>
        <w:ind w:left="614"/>
        <w:rPr>
          <w:sz w:val="2"/>
        </w:rPr>
      </w:pPr>
      <w:r>
        <w:rPr>
          <w:sz w:val="2"/>
        </w:rPr>
        <w:pict>
          <v:group style="width:508.1pt;height:.75pt;mso-position-horizontal-relative:char;mso-position-vertical-relative:line" coordorigin="0,0" coordsize="10162,15">
            <v:rect style="position:absolute;left:0;top:0;width:10162;height:15" filled="true" fillcolor="#333366" stroked="false">
              <v:fill type="solid"/>
            </v:rect>
          </v:group>
        </w:pict>
      </w:r>
      <w:r>
        <w:rPr>
          <w:sz w:val="2"/>
        </w:rPr>
      </w:r>
    </w:p>
    <w:p>
      <w:pPr>
        <w:pStyle w:val="BodyText"/>
        <w:spacing w:line="267" w:lineRule="exact"/>
        <w:ind w:left="3163"/>
        <w:rPr>
          <w:rFonts w:ascii="Times New Roman" w:eastAsia="Times New Roman"/>
        </w:rPr>
      </w:pPr>
      <w:r>
        <w:rPr/>
        <w:t>尔茨海默病患者中的安全性、耐受性及药效学研究</w:t>
      </w:r>
      <w:r>
        <w:rPr>
          <w:rFonts w:ascii="Times New Roman" w:eastAsia="Times New Roman"/>
        </w:rPr>
        <w:t>-</w:t>
      </w:r>
      <w:r>
        <w:rPr/>
        <w:t>随机、双盲、安慰剂对照的 </w:t>
      </w:r>
      <w:r>
        <w:rPr>
          <w:rFonts w:ascii="Times New Roman" w:eastAsia="Times New Roman"/>
        </w:rPr>
        <w:t>Ib</w:t>
      </w:r>
    </w:p>
    <w:p>
      <w:pPr>
        <w:pStyle w:val="BodyText"/>
        <w:spacing w:before="71"/>
        <w:ind w:left="3163"/>
      </w:pPr>
      <w:r>
        <w:rPr/>
        <w:t>期临床研究（</w:t>
      </w:r>
      <w:r>
        <w:rPr>
          <w:rFonts w:ascii="Times New Roman" w:eastAsia="Times New Roman"/>
        </w:rPr>
        <w:t>NCT05681819</w:t>
      </w:r>
      <w:r>
        <w:rPr/>
        <w:t>）也在推进中。</w:t>
      </w:r>
    </w:p>
    <w:p>
      <w:pPr>
        <w:pStyle w:val="BodyText"/>
        <w:spacing w:before="3"/>
        <w:rPr>
          <w:sz w:val="29"/>
        </w:rPr>
      </w:pPr>
    </w:p>
    <w:p>
      <w:pPr>
        <w:pStyle w:val="BodyText"/>
        <w:spacing w:line="304" w:lineRule="auto"/>
        <w:ind w:left="3163" w:right="618"/>
      </w:pPr>
      <w:r>
        <w:rPr>
          <w:spacing w:val="-7"/>
        </w:rPr>
        <w:t>先声药业与 </w:t>
      </w:r>
      <w:r>
        <w:rPr>
          <w:rFonts w:ascii="Times New Roman" w:hAnsi="Times New Roman" w:eastAsia="Times New Roman"/>
          <w:spacing w:val="-3"/>
        </w:rPr>
        <w:t>Vivoryon </w:t>
      </w:r>
      <w:r>
        <w:rPr>
          <w:rFonts w:ascii="Times New Roman" w:hAnsi="Times New Roman" w:eastAsia="Times New Roman"/>
        </w:rPr>
        <w:t>Therapeutics </w:t>
      </w:r>
      <w:r>
        <w:rPr>
          <w:spacing w:val="-5"/>
        </w:rPr>
        <w:t>达成合作，获得在大中华区开发和商业化 </w:t>
      </w:r>
      <w:r>
        <w:rPr>
          <w:rFonts w:ascii="Times New Roman" w:hAnsi="Times New Roman" w:eastAsia="Times New Roman"/>
        </w:rPr>
        <w:t>2 </w:t>
      </w:r>
      <w:r>
        <w:rPr/>
        <w:t>款</w:t>
      </w:r>
      <w:r>
        <w:rPr>
          <w:rFonts w:ascii="Times New Roman" w:hAnsi="Times New Roman" w:eastAsia="Times New Roman"/>
        </w:rPr>
        <w:t>AD </w:t>
      </w:r>
      <w:r>
        <w:rPr>
          <w:spacing w:val="-4"/>
        </w:rPr>
        <w:t>治疗药物的权益：</w:t>
      </w:r>
      <w:r>
        <w:rPr>
          <w:rFonts w:ascii="Times New Roman" w:hAnsi="Times New Roman" w:eastAsia="Times New Roman"/>
          <w:spacing w:val="-6"/>
        </w:rPr>
        <w:t>Varoglutamstat </w:t>
      </w:r>
      <w:r>
        <w:rPr>
          <w:spacing w:val="-23"/>
        </w:rPr>
        <w:t>和 </w:t>
      </w:r>
      <w:r>
        <w:rPr>
          <w:rFonts w:ascii="Times New Roman" w:hAnsi="Times New Roman" w:eastAsia="Times New Roman"/>
        </w:rPr>
        <w:t>PBD-C06</w:t>
      </w:r>
      <w:r>
        <w:rPr>
          <w:spacing w:val="-46"/>
        </w:rPr>
        <w:t>。</w:t>
      </w:r>
      <w:r>
        <w:rPr>
          <w:rFonts w:ascii="Times New Roman" w:hAnsi="Times New Roman" w:eastAsia="Times New Roman"/>
          <w:spacing w:val="-3"/>
        </w:rPr>
        <w:t>Varoglutamstat </w:t>
      </w:r>
      <w:r>
        <w:rPr>
          <w:spacing w:val="-3"/>
        </w:rPr>
        <w:t>是一种谷氨酰肽环转移酶</w:t>
      </w:r>
      <w:r>
        <w:rPr/>
        <w:t>（</w:t>
      </w:r>
      <w:r>
        <w:rPr>
          <w:rFonts w:ascii="Times New Roman" w:hAnsi="Times New Roman" w:eastAsia="Times New Roman"/>
        </w:rPr>
        <w:t>QPCT</w:t>
      </w:r>
      <w:r>
        <w:rPr/>
        <w:t>）</w:t>
      </w:r>
      <w:r>
        <w:rPr>
          <w:spacing w:val="-3"/>
        </w:rPr>
        <w:t>的口服小分子抑制剂。</w:t>
      </w:r>
      <w:r>
        <w:rPr>
          <w:rFonts w:ascii="Times New Roman" w:hAnsi="Times New Roman" w:eastAsia="Times New Roman"/>
        </w:rPr>
        <w:t>2021 </w:t>
      </w:r>
      <w:r>
        <w:rPr>
          <w:spacing w:val="-19"/>
        </w:rPr>
        <w:t>年 </w:t>
      </w:r>
      <w:r>
        <w:rPr>
          <w:rFonts w:ascii="Times New Roman" w:hAnsi="Times New Roman" w:eastAsia="Times New Roman"/>
        </w:rPr>
        <w:t>12 </w:t>
      </w:r>
      <w:r>
        <w:rPr>
          <w:spacing w:val="-20"/>
        </w:rPr>
        <w:t>月 </w:t>
      </w:r>
      <w:r>
        <w:rPr>
          <w:rFonts w:ascii="Times New Roman" w:hAnsi="Times New Roman" w:eastAsia="Times New Roman"/>
        </w:rPr>
        <w:t>FDA </w:t>
      </w:r>
      <w:r>
        <w:rPr>
          <w:spacing w:val="-3"/>
        </w:rPr>
        <w:t>已授予该小分子口</w:t>
      </w:r>
      <w:r>
        <w:rPr>
          <w:spacing w:val="-10"/>
        </w:rPr>
        <w:t>服候选药物“快速通道”资格认定。</w:t>
      </w:r>
      <w:r>
        <w:rPr>
          <w:rFonts w:ascii="Times New Roman" w:hAnsi="Times New Roman" w:eastAsia="Times New Roman"/>
        </w:rPr>
        <w:t>PBD-C06 </w:t>
      </w:r>
      <w:r>
        <w:rPr>
          <w:spacing w:val="-3"/>
        </w:rPr>
        <w:t>是一种处于临床前开发阶段的人源</w:t>
      </w:r>
      <w:r>
        <w:rPr>
          <w:spacing w:val="-22"/>
        </w:rPr>
        <w:t>化、去免疫性 </w:t>
      </w:r>
      <w:r>
        <w:rPr>
          <w:rFonts w:ascii="Times New Roman" w:hAnsi="Times New Roman" w:eastAsia="Times New Roman"/>
        </w:rPr>
        <w:t>IgG1 </w:t>
      </w:r>
      <w:r>
        <w:rPr>
          <w:spacing w:val="-12"/>
        </w:rPr>
        <w:t>抗体药物，其结构经专门设计可结合和去除大脑中的 </w:t>
      </w:r>
      <w:r>
        <w:rPr>
          <w:rFonts w:ascii="Times New Roman" w:hAnsi="Times New Roman" w:eastAsia="Times New Roman"/>
        </w:rPr>
        <w:t>N3pE </w:t>
      </w:r>
      <w:r>
        <w:rPr/>
        <w:t>淀</w:t>
      </w:r>
      <w:r>
        <w:rPr>
          <w:spacing w:val="-5"/>
        </w:rPr>
        <w:t>粉样蛋白。该抗体经优化后具有低免疫原性和低 </w:t>
      </w:r>
      <w:r>
        <w:rPr>
          <w:rFonts w:ascii="Times New Roman" w:hAnsi="Times New Roman" w:eastAsia="Times New Roman"/>
        </w:rPr>
        <w:t>ARIA </w:t>
      </w:r>
      <w:r>
        <w:rPr>
          <w:spacing w:val="-3"/>
        </w:rPr>
        <w:t>诱导效力，因而降低了抗体药物在治疗阿尔茨海默氏症时最主要的严重副作用。根据协议条款，</w:t>
      </w:r>
      <w:r>
        <w:rPr>
          <w:rFonts w:ascii="Times New Roman" w:hAnsi="Times New Roman" w:eastAsia="Times New Roman"/>
        </w:rPr>
        <w:t>Vivoryon </w:t>
      </w:r>
      <w:r>
        <w:rPr>
          <w:spacing w:val="-11"/>
        </w:rPr>
        <w:t>将收取前期款项，且亦将在取得若干开发成果及销售里程碑后获得本公司的付款， 所有款项合计超过 </w:t>
      </w:r>
      <w:r>
        <w:rPr>
          <w:rFonts w:ascii="Times New Roman" w:hAnsi="Times New Roman" w:eastAsia="Times New Roman"/>
        </w:rPr>
        <w:t>5.65 </w:t>
      </w:r>
      <w:r>
        <w:rPr>
          <w:spacing w:val="-3"/>
        </w:rPr>
        <w:t>亿美元。同时将有权收取双位数的销售提成。</w:t>
      </w:r>
    </w:p>
    <w:p>
      <w:pPr>
        <w:pStyle w:val="BodyText"/>
        <w:spacing w:before="8"/>
        <w:rPr>
          <w:sz w:val="22"/>
        </w:rPr>
      </w:pPr>
    </w:p>
    <w:p>
      <w:pPr>
        <w:pStyle w:val="BodyText"/>
        <w:spacing w:line="304" w:lineRule="auto"/>
        <w:ind w:left="3163" w:right="743"/>
      </w:pPr>
      <w:r>
        <w:rPr/>
        <w:pict>
          <v:group style="position:absolute;margin-left:86.424004pt;margin-top:151.160034pt;width:471.35pt;height:16.6pt;mso-position-horizontal-relative:page;mso-position-vertical-relative:paragraph;z-index:-17860608" coordorigin="1728,3023" coordsize="9427,332">
            <v:shape style="position:absolute;left:1728;top:3032;width:9425;height:312" coordorigin="1728,3033" coordsize="9425,312" path="m4167,3033l3118,3033,3118,3033,1728,3033,1728,3345,3118,3345,3118,3345,4167,3345,4167,3033xm9225,3033l7401,3033,4167,3033,4167,3345,7401,3345,9225,3345,9225,3033xm11153,3033l9225,3033,9225,3345,11153,3345,11153,3033xe" filled="true" fillcolor="#deebf6" stroked="false">
              <v:path arrowok="t"/>
              <v:fill type="solid"/>
            </v:shape>
            <v:shape style="position:absolute;left:1730;top:3023;width:9425;height:332" coordorigin="1731,3023" coordsize="9425,332" path="m4170,3345l3130,3345,3120,3345,3120,3345,1731,3345,1731,3354,3120,3354,3120,3354,3130,3354,4170,3354,4170,3345xm4170,3023l3130,3023,3120,3023,3120,3023,1731,3023,1731,3033,3120,3033,3120,3033,3130,3033,4170,3033,4170,3023xm7410,3345l7401,3345,4179,3345,4170,3345,4170,3354,4179,3354,7401,3354,7410,3354,7410,3345xm7410,3023l7401,3023,4179,3023,4170,3023,4170,3033,4179,3033,7401,3033,7410,3033,7410,3023xm9225,3345l7410,3345,7410,3354,9225,3354,9225,3345xm9225,3023l7410,3023,7410,3033,9225,3033,9225,3023xm9235,3345l9225,3345,9225,3354,9235,3354,9235,3345xm9235,3023l9225,3023,9225,3033,9235,3033,9235,3023xm11155,3023l11146,3023,11146,3023,9235,3023,9235,3033,11146,3033,11146,3033,11155,3033,11155,3023xm11155,3345l9235,3345,9235,3354,11155,3354,11155,3345xe" filled="true" fillcolor="#000000" stroked="false">
              <v:path arrowok="t"/>
              <v:fill type="solid"/>
            </v:shape>
            <w10:wrap type="none"/>
          </v:group>
        </w:pict>
      </w:r>
      <w:r>
        <w:rPr>
          <w:spacing w:val="-3"/>
        </w:rPr>
        <w:t>此外，国内中药创新药也在进攻阿尔茨海默病。五加益智颗粒是康弘药业子公司</w:t>
      </w:r>
      <w:r>
        <w:rPr>
          <w:spacing w:val="-8"/>
        </w:rPr>
        <w:t>济生堂自主研发的 </w:t>
      </w:r>
      <w:r>
        <w:rPr>
          <w:rFonts w:ascii="Times New Roman" w:hAnsi="Times New Roman" w:eastAsia="Times New Roman"/>
        </w:rPr>
        <w:t>6.1 </w:t>
      </w:r>
      <w:r>
        <w:rPr>
          <w:spacing w:val="-3"/>
        </w:rPr>
        <w:t>类中药创新药物（中药、天然药物制成的现代中药复方制剂）。据公司介绍，该产品用于脾肾两虚所致痴呆，症见表情呆滞，沉默寡言， </w:t>
      </w:r>
      <w:r>
        <w:rPr>
          <w:spacing w:val="-5"/>
        </w:rPr>
        <w:t>记忆减退等，轻、中度阿尔茨海默病见上述证候者。五加益智颗粒 </w:t>
      </w:r>
      <w:r>
        <w:rPr>
          <w:rFonts w:ascii="Times New Roman" w:hAnsi="Times New Roman" w:eastAsia="Times New Roman"/>
        </w:rPr>
        <w:t>2018 </w:t>
      </w:r>
      <w:r>
        <w:rPr>
          <w:spacing w:val="-24"/>
        </w:rPr>
        <w:t>年 </w:t>
      </w:r>
      <w:r>
        <w:rPr>
          <w:rFonts w:ascii="Times New Roman" w:hAnsi="Times New Roman" w:eastAsia="Times New Roman"/>
        </w:rPr>
        <w:t>10 </w:t>
      </w:r>
      <w:r>
        <w:rPr/>
        <w:t>月</w:t>
      </w:r>
      <w:r>
        <w:rPr>
          <w:spacing w:val="-7"/>
        </w:rPr>
        <w:t>获批临床，目前正处于 </w:t>
      </w:r>
      <w:r>
        <w:rPr>
          <w:rFonts w:ascii="Times New Roman" w:hAnsi="Times New Roman" w:eastAsia="Times New Roman"/>
        </w:rPr>
        <w:t>IIb </w:t>
      </w:r>
      <w:r>
        <w:rPr>
          <w:spacing w:val="-7"/>
        </w:rPr>
        <w:t>期临床试验，按计划可在 </w:t>
      </w:r>
      <w:r>
        <w:rPr>
          <w:rFonts w:ascii="Times New Roman" w:hAnsi="Times New Roman" w:eastAsia="Times New Roman"/>
        </w:rPr>
        <w:t>2023 </w:t>
      </w:r>
      <w:r>
        <w:rPr>
          <w:spacing w:val="-3"/>
        </w:rPr>
        <w:t>年第三季度获得临床数据。值得注意的是，五加益智颗粒的二期临床设计采用的是“头对头”盐酸多奈哌齐片。其他的产品还有天士力的养血清脑，维吾尔药业的棉花花总黄酮。</w:t>
      </w:r>
    </w:p>
    <w:p>
      <w:pPr>
        <w:pStyle w:val="BodyText"/>
        <w:spacing w:before="8"/>
        <w:rPr>
          <w:sz w:val="24"/>
        </w:rPr>
      </w:pPr>
    </w:p>
    <w:tbl>
      <w:tblPr>
        <w:tblW w:w="0" w:type="auto"/>
        <w:jc w:val="left"/>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559"/>
        <w:gridCol w:w="878"/>
        <w:gridCol w:w="3278"/>
        <w:gridCol w:w="1978"/>
        <w:gridCol w:w="1808"/>
      </w:tblGrid>
      <w:tr>
        <w:trPr>
          <w:trHeight w:val="320" w:hRule="atLeast"/>
        </w:trPr>
        <w:tc>
          <w:tcPr>
            <w:tcW w:w="10501" w:type="dxa"/>
            <w:gridSpan w:val="5"/>
          </w:tcPr>
          <w:p>
            <w:pPr>
              <w:pStyle w:val="TableParagraph"/>
              <w:spacing w:line="295" w:lineRule="exact"/>
              <w:ind w:left="1182"/>
              <w:rPr>
                <w:rFonts w:ascii="Microsoft JhengHei" w:eastAsia="Microsoft JhengHei" w:hint="eastAsia"/>
                <w:b/>
                <w:sz w:val="21"/>
              </w:rPr>
            </w:pPr>
            <w:bookmarkStart w:name="_bookmark46" w:id="65"/>
            <w:bookmarkEnd w:id="65"/>
            <w:r>
              <w:rPr/>
            </w:r>
            <w:r>
              <w:rPr>
                <w:rFonts w:ascii="Microsoft JhengHei" w:eastAsia="Microsoft JhengHei" w:hint="eastAsia"/>
                <w:b/>
                <w:sz w:val="21"/>
              </w:rPr>
              <w:t>表 </w:t>
            </w:r>
            <w:r>
              <w:rPr>
                <w:rFonts w:ascii="Times New Roman" w:eastAsia="Times New Roman"/>
                <w:b/>
                <w:sz w:val="21"/>
              </w:rPr>
              <w:t>9</w:t>
            </w:r>
            <w:r>
              <w:rPr>
                <w:rFonts w:ascii="Microsoft JhengHei" w:eastAsia="Microsoft JhengHei" w:hint="eastAsia"/>
                <w:b/>
                <w:sz w:val="21"/>
              </w:rPr>
              <w:t>、国内处于临床阶段的 </w:t>
            </w:r>
            <w:r>
              <w:rPr>
                <w:rFonts w:ascii="Times New Roman" w:eastAsia="Times New Roman"/>
                <w:b/>
                <w:sz w:val="21"/>
              </w:rPr>
              <w:t>AD </w:t>
            </w:r>
            <w:r>
              <w:rPr>
                <w:rFonts w:ascii="Microsoft JhengHei" w:eastAsia="Microsoft JhengHei" w:hint="eastAsia"/>
                <w:b/>
                <w:sz w:val="21"/>
              </w:rPr>
              <w:t>治疗产品汇总</w:t>
            </w:r>
          </w:p>
        </w:tc>
      </w:tr>
      <w:tr>
        <w:trPr>
          <w:trHeight w:val="321" w:hRule="atLeast"/>
        </w:trPr>
        <w:tc>
          <w:tcPr>
            <w:tcW w:w="2559" w:type="dxa"/>
          </w:tcPr>
          <w:p>
            <w:pPr>
              <w:pStyle w:val="TableParagraph"/>
              <w:spacing w:line="288" w:lineRule="exact"/>
              <w:ind w:left="1407"/>
              <w:rPr>
                <w:rFonts w:ascii="Microsoft JhengHei" w:eastAsia="Microsoft JhengHei" w:hint="eastAsia"/>
                <w:b/>
                <w:sz w:val="18"/>
              </w:rPr>
            </w:pPr>
            <w:r>
              <w:rPr>
                <w:rFonts w:ascii="Microsoft JhengHei" w:eastAsia="Microsoft JhengHei" w:hint="eastAsia"/>
                <w:b/>
                <w:sz w:val="18"/>
              </w:rPr>
              <w:t>药品名称</w:t>
            </w:r>
          </w:p>
        </w:tc>
        <w:tc>
          <w:tcPr>
            <w:tcW w:w="878" w:type="dxa"/>
            <w:shd w:val="clear" w:color="auto" w:fill="DEEBF6"/>
          </w:tcPr>
          <w:p>
            <w:pPr>
              <w:pStyle w:val="TableParagraph"/>
              <w:spacing w:line="288" w:lineRule="exact"/>
              <w:ind w:left="229" w:right="244"/>
              <w:jc w:val="center"/>
              <w:rPr>
                <w:rFonts w:ascii="Microsoft JhengHei" w:eastAsia="Microsoft JhengHei" w:hint="eastAsia"/>
                <w:b/>
                <w:sz w:val="18"/>
              </w:rPr>
            </w:pPr>
            <w:r>
              <w:rPr>
                <w:rFonts w:ascii="Microsoft JhengHei" w:eastAsia="Microsoft JhengHei" w:hint="eastAsia"/>
                <w:b/>
                <w:sz w:val="18"/>
              </w:rPr>
              <w:t>类别</w:t>
            </w:r>
          </w:p>
        </w:tc>
        <w:tc>
          <w:tcPr>
            <w:tcW w:w="3278" w:type="dxa"/>
            <w:shd w:val="clear" w:color="auto" w:fill="DEEBF6"/>
          </w:tcPr>
          <w:p>
            <w:pPr>
              <w:pStyle w:val="TableParagraph"/>
              <w:spacing w:line="288" w:lineRule="exact"/>
              <w:ind w:left="242" w:right="141"/>
              <w:jc w:val="center"/>
              <w:rPr>
                <w:rFonts w:ascii="Microsoft JhengHei" w:eastAsia="Microsoft JhengHei" w:hint="eastAsia"/>
                <w:b/>
                <w:sz w:val="18"/>
              </w:rPr>
            </w:pPr>
            <w:r>
              <w:rPr>
                <w:rFonts w:ascii="Microsoft JhengHei" w:eastAsia="Microsoft JhengHei" w:hint="eastAsia"/>
                <w:b/>
                <w:sz w:val="18"/>
              </w:rPr>
              <w:t>研发机构</w:t>
            </w:r>
          </w:p>
        </w:tc>
        <w:tc>
          <w:tcPr>
            <w:tcW w:w="1978" w:type="dxa"/>
            <w:shd w:val="clear" w:color="auto" w:fill="DEEBF6"/>
          </w:tcPr>
          <w:p>
            <w:pPr>
              <w:pStyle w:val="TableParagraph"/>
              <w:spacing w:line="288" w:lineRule="exact"/>
              <w:ind w:left="146" w:right="232"/>
              <w:jc w:val="center"/>
              <w:rPr>
                <w:rFonts w:ascii="Times New Roman" w:eastAsia="Times New Roman"/>
                <w:b/>
                <w:sz w:val="18"/>
              </w:rPr>
            </w:pPr>
            <w:r>
              <w:rPr>
                <w:rFonts w:ascii="Microsoft JhengHei" w:eastAsia="Microsoft JhengHei" w:hint="eastAsia"/>
                <w:b/>
                <w:sz w:val="18"/>
              </w:rPr>
              <w:t>最高研发阶段</w:t>
            </w:r>
            <w:r>
              <w:rPr>
                <w:rFonts w:ascii="Times New Roman" w:eastAsia="Times New Roman"/>
                <w:b/>
                <w:sz w:val="18"/>
              </w:rPr>
              <w:t>(</w:t>
            </w:r>
            <w:r>
              <w:rPr>
                <w:rFonts w:ascii="Microsoft JhengHei" w:eastAsia="Microsoft JhengHei" w:hint="eastAsia"/>
                <w:b/>
                <w:sz w:val="18"/>
              </w:rPr>
              <w:t>中国</w:t>
            </w:r>
            <w:r>
              <w:rPr>
                <w:rFonts w:ascii="Times New Roman" w:eastAsia="Times New Roman"/>
                <w:b/>
                <w:sz w:val="18"/>
              </w:rPr>
              <w:t>)</w:t>
            </w:r>
          </w:p>
        </w:tc>
        <w:tc>
          <w:tcPr>
            <w:tcW w:w="1808" w:type="dxa"/>
            <w:shd w:val="clear" w:color="auto" w:fill="DEEBF6"/>
          </w:tcPr>
          <w:p>
            <w:pPr>
              <w:pStyle w:val="TableParagraph"/>
              <w:spacing w:line="288" w:lineRule="exact"/>
              <w:ind w:left="590" w:right="710"/>
              <w:jc w:val="center"/>
              <w:rPr>
                <w:rFonts w:ascii="Microsoft JhengHei" w:eastAsia="Microsoft JhengHei" w:hint="eastAsia"/>
                <w:b/>
                <w:sz w:val="18"/>
              </w:rPr>
            </w:pPr>
            <w:r>
              <w:rPr>
                <w:rFonts w:ascii="Microsoft JhengHei" w:eastAsia="Microsoft JhengHei" w:hint="eastAsia"/>
                <w:b/>
                <w:sz w:val="18"/>
              </w:rPr>
              <w:t>靶点</w:t>
            </w:r>
          </w:p>
        </w:tc>
      </w:tr>
      <w:tr>
        <w:trPr>
          <w:trHeight w:val="369" w:hRule="atLeast"/>
        </w:trPr>
        <w:tc>
          <w:tcPr>
            <w:tcW w:w="2559" w:type="dxa"/>
            <w:tcBorders>
              <w:bottom w:val="single" w:sz="4" w:space="0" w:color="000000"/>
            </w:tcBorders>
          </w:tcPr>
          <w:p>
            <w:pPr>
              <w:pStyle w:val="TableParagraph"/>
              <w:spacing w:before="57"/>
              <w:ind w:left="1352"/>
              <w:rPr>
                <w:rFonts w:ascii="Times New Roman"/>
                <w:sz w:val="18"/>
              </w:rPr>
            </w:pPr>
            <w:r>
              <w:rPr>
                <w:rFonts w:ascii="Times New Roman"/>
                <w:sz w:val="18"/>
              </w:rPr>
              <w:t>Lecanemab</w:t>
            </w:r>
          </w:p>
        </w:tc>
        <w:tc>
          <w:tcPr>
            <w:tcW w:w="878" w:type="dxa"/>
            <w:tcBorders>
              <w:bottom w:val="single" w:sz="4" w:space="0" w:color="000000"/>
            </w:tcBorders>
          </w:tcPr>
          <w:p>
            <w:pPr>
              <w:pStyle w:val="TableParagraph"/>
              <w:spacing w:before="43"/>
              <w:ind w:left="226" w:right="246"/>
              <w:jc w:val="center"/>
              <w:rPr>
                <w:sz w:val="18"/>
              </w:rPr>
            </w:pPr>
            <w:r>
              <w:rPr>
                <w:sz w:val="18"/>
              </w:rPr>
              <w:t>生物</w:t>
            </w:r>
          </w:p>
        </w:tc>
        <w:tc>
          <w:tcPr>
            <w:tcW w:w="3278" w:type="dxa"/>
            <w:tcBorders>
              <w:bottom w:val="single" w:sz="4" w:space="0" w:color="000000"/>
            </w:tcBorders>
          </w:tcPr>
          <w:p>
            <w:pPr>
              <w:pStyle w:val="TableParagraph"/>
              <w:spacing w:before="57"/>
              <w:ind w:left="245" w:right="140"/>
              <w:jc w:val="center"/>
              <w:rPr>
                <w:rFonts w:ascii="Times New Roman"/>
                <w:sz w:val="18"/>
              </w:rPr>
            </w:pPr>
            <w:r>
              <w:rPr>
                <w:rFonts w:ascii="Times New Roman"/>
                <w:sz w:val="18"/>
              </w:rPr>
              <w:t>Biogen;BioArctic;Eisai</w:t>
            </w:r>
          </w:p>
        </w:tc>
        <w:tc>
          <w:tcPr>
            <w:tcW w:w="1978" w:type="dxa"/>
            <w:tcBorders>
              <w:bottom w:val="single" w:sz="4" w:space="0" w:color="000000"/>
            </w:tcBorders>
          </w:tcPr>
          <w:p>
            <w:pPr>
              <w:pStyle w:val="TableParagraph"/>
              <w:spacing w:before="43"/>
              <w:ind w:left="143" w:right="232"/>
              <w:jc w:val="center"/>
              <w:rPr>
                <w:sz w:val="18"/>
              </w:rPr>
            </w:pPr>
            <w:r>
              <w:rPr>
                <w:sz w:val="18"/>
              </w:rPr>
              <w:t>申请上市</w:t>
            </w:r>
          </w:p>
        </w:tc>
        <w:tc>
          <w:tcPr>
            <w:tcW w:w="1808" w:type="dxa"/>
            <w:tcBorders>
              <w:bottom w:val="single" w:sz="4" w:space="0" w:color="000000"/>
            </w:tcBorders>
          </w:tcPr>
          <w:p>
            <w:pPr>
              <w:pStyle w:val="TableParagraph"/>
              <w:spacing w:line="315" w:lineRule="exact"/>
              <w:ind w:left="590" w:right="713"/>
              <w:jc w:val="center"/>
              <w:rPr>
                <w:rFonts w:ascii="Microsoft JhengHei" w:hAnsi="Microsoft JhengHei"/>
                <w:b/>
                <w:sz w:val="18"/>
              </w:rPr>
            </w:pPr>
            <w:r>
              <w:rPr>
                <w:rFonts w:ascii="Times New Roman" w:hAnsi="Times New Roman"/>
                <w:b/>
                <w:w w:val="130"/>
                <w:sz w:val="18"/>
              </w:rPr>
              <w:t>A</w:t>
            </w:r>
            <w:r>
              <w:rPr>
                <w:rFonts w:ascii="Microsoft JhengHei" w:hAnsi="Microsoft JhengHei"/>
                <w:b/>
                <w:w w:val="130"/>
                <w:sz w:val="18"/>
              </w:rPr>
              <w:t>β</w:t>
            </w:r>
          </w:p>
        </w:tc>
      </w:tr>
      <w:tr>
        <w:trPr>
          <w:trHeight w:val="362" w:hRule="atLeast"/>
        </w:trPr>
        <w:tc>
          <w:tcPr>
            <w:tcW w:w="2559" w:type="dxa"/>
            <w:tcBorders>
              <w:top w:val="single" w:sz="4" w:space="0" w:color="000000"/>
              <w:bottom w:val="single" w:sz="4" w:space="0" w:color="000000"/>
            </w:tcBorders>
          </w:tcPr>
          <w:p>
            <w:pPr>
              <w:pStyle w:val="TableParagraph"/>
              <w:spacing w:before="52"/>
              <w:ind w:right="308"/>
              <w:jc w:val="right"/>
              <w:rPr>
                <w:rFonts w:ascii="Times New Roman"/>
                <w:sz w:val="18"/>
              </w:rPr>
            </w:pPr>
            <w:r>
              <w:rPr>
                <w:rFonts w:ascii="Times New Roman"/>
                <w:sz w:val="18"/>
              </w:rPr>
              <w:t>Aducanumab</w:t>
            </w:r>
          </w:p>
        </w:tc>
        <w:tc>
          <w:tcPr>
            <w:tcW w:w="878" w:type="dxa"/>
            <w:tcBorders>
              <w:top w:val="single" w:sz="4" w:space="0" w:color="000000"/>
              <w:bottom w:val="single" w:sz="4" w:space="0" w:color="000000"/>
            </w:tcBorders>
          </w:tcPr>
          <w:p>
            <w:pPr>
              <w:pStyle w:val="TableParagraph"/>
              <w:spacing w:before="38"/>
              <w:ind w:left="226" w:right="246"/>
              <w:jc w:val="center"/>
              <w:rPr>
                <w:sz w:val="18"/>
              </w:rPr>
            </w:pPr>
            <w:r>
              <w:rPr>
                <w:sz w:val="18"/>
              </w:rPr>
              <w:t>生物</w:t>
            </w:r>
          </w:p>
        </w:tc>
        <w:tc>
          <w:tcPr>
            <w:tcW w:w="3278" w:type="dxa"/>
            <w:tcBorders>
              <w:top w:val="single" w:sz="4" w:space="0" w:color="000000"/>
              <w:bottom w:val="single" w:sz="4" w:space="0" w:color="000000"/>
            </w:tcBorders>
          </w:tcPr>
          <w:p>
            <w:pPr>
              <w:pStyle w:val="TableParagraph"/>
              <w:spacing w:before="52"/>
              <w:ind w:left="245" w:right="141"/>
              <w:jc w:val="center"/>
              <w:rPr>
                <w:rFonts w:ascii="Times New Roman"/>
                <w:sz w:val="18"/>
              </w:rPr>
            </w:pPr>
            <w:r>
              <w:rPr>
                <w:rFonts w:ascii="Times New Roman"/>
                <w:sz w:val="18"/>
              </w:rPr>
              <w:t>Biogen;Neurimmune</w:t>
            </w:r>
          </w:p>
        </w:tc>
        <w:tc>
          <w:tcPr>
            <w:tcW w:w="1978" w:type="dxa"/>
            <w:tcBorders>
              <w:top w:val="single" w:sz="4" w:space="0" w:color="000000"/>
              <w:bottom w:val="single" w:sz="4" w:space="0" w:color="000000"/>
            </w:tcBorders>
          </w:tcPr>
          <w:p>
            <w:pPr>
              <w:pStyle w:val="TableParagraph"/>
              <w:spacing w:before="38"/>
              <w:ind w:left="139" w:right="232"/>
              <w:jc w:val="center"/>
              <w:rPr>
                <w:sz w:val="18"/>
              </w:rPr>
            </w:pPr>
            <w:r>
              <w:rPr>
                <w:rFonts w:ascii="Times New Roman" w:eastAsia="Times New Roman"/>
                <w:sz w:val="18"/>
              </w:rPr>
              <w:t>III </w:t>
            </w:r>
            <w:r>
              <w:rPr>
                <w:sz w:val="18"/>
              </w:rPr>
              <w:t>期临床</w:t>
            </w:r>
          </w:p>
        </w:tc>
        <w:tc>
          <w:tcPr>
            <w:tcW w:w="1808" w:type="dxa"/>
            <w:tcBorders>
              <w:top w:val="single" w:sz="4" w:space="0" w:color="000000"/>
              <w:bottom w:val="single" w:sz="4" w:space="0" w:color="000000"/>
            </w:tcBorders>
          </w:tcPr>
          <w:p>
            <w:pPr>
              <w:pStyle w:val="TableParagraph"/>
              <w:spacing w:line="310" w:lineRule="exact"/>
              <w:ind w:left="590" w:right="713"/>
              <w:jc w:val="center"/>
              <w:rPr>
                <w:rFonts w:ascii="Microsoft JhengHei" w:hAnsi="Microsoft JhengHei"/>
                <w:b/>
                <w:sz w:val="18"/>
              </w:rPr>
            </w:pPr>
            <w:r>
              <w:rPr>
                <w:rFonts w:ascii="Times New Roman" w:hAnsi="Times New Roman"/>
                <w:b/>
                <w:w w:val="130"/>
                <w:sz w:val="18"/>
              </w:rPr>
              <w:t>A</w:t>
            </w:r>
            <w:r>
              <w:rPr>
                <w:rFonts w:ascii="Microsoft JhengHei" w:hAnsi="Microsoft JhengHei"/>
                <w:b/>
                <w:w w:val="130"/>
                <w:sz w:val="18"/>
              </w:rPr>
              <w:t>β</w:t>
            </w:r>
          </w:p>
        </w:tc>
      </w:tr>
      <w:tr>
        <w:trPr>
          <w:trHeight w:val="364" w:hRule="atLeast"/>
        </w:trPr>
        <w:tc>
          <w:tcPr>
            <w:tcW w:w="2559" w:type="dxa"/>
            <w:tcBorders>
              <w:top w:val="single" w:sz="4" w:space="0" w:color="000000"/>
              <w:bottom w:val="single" w:sz="4" w:space="0" w:color="000000"/>
            </w:tcBorders>
          </w:tcPr>
          <w:p>
            <w:pPr>
              <w:pStyle w:val="TableParagraph"/>
              <w:spacing w:before="52"/>
              <w:ind w:left="1441"/>
              <w:rPr>
                <w:rFonts w:ascii="Times New Roman"/>
                <w:sz w:val="18"/>
              </w:rPr>
            </w:pPr>
            <w:r>
              <w:rPr>
                <w:rFonts w:ascii="Times New Roman"/>
                <w:sz w:val="18"/>
              </w:rPr>
              <w:t>Rybelsus</w:t>
            </w:r>
          </w:p>
        </w:tc>
        <w:tc>
          <w:tcPr>
            <w:tcW w:w="878" w:type="dxa"/>
            <w:tcBorders>
              <w:top w:val="single" w:sz="4" w:space="0" w:color="000000"/>
              <w:bottom w:val="single" w:sz="4" w:space="0" w:color="000000"/>
            </w:tcBorders>
          </w:tcPr>
          <w:p>
            <w:pPr>
              <w:pStyle w:val="TableParagraph"/>
              <w:spacing w:before="38"/>
              <w:ind w:left="226" w:right="246"/>
              <w:jc w:val="center"/>
              <w:rPr>
                <w:sz w:val="18"/>
              </w:rPr>
            </w:pPr>
            <w:r>
              <w:rPr>
                <w:sz w:val="18"/>
              </w:rPr>
              <w:t>生物</w:t>
            </w:r>
          </w:p>
        </w:tc>
        <w:tc>
          <w:tcPr>
            <w:tcW w:w="3278" w:type="dxa"/>
            <w:tcBorders>
              <w:top w:val="single" w:sz="4" w:space="0" w:color="000000"/>
              <w:bottom w:val="single" w:sz="4" w:space="0" w:color="000000"/>
            </w:tcBorders>
          </w:tcPr>
          <w:p>
            <w:pPr>
              <w:pStyle w:val="TableParagraph"/>
              <w:spacing w:before="52"/>
              <w:ind w:left="245" w:right="141"/>
              <w:jc w:val="center"/>
              <w:rPr>
                <w:rFonts w:ascii="Times New Roman"/>
                <w:sz w:val="18"/>
              </w:rPr>
            </w:pPr>
            <w:r>
              <w:rPr>
                <w:rFonts w:ascii="Times New Roman"/>
                <w:sz w:val="18"/>
              </w:rPr>
              <w:t>Emisphere Technologies</w:t>
            </w:r>
          </w:p>
        </w:tc>
        <w:tc>
          <w:tcPr>
            <w:tcW w:w="1978" w:type="dxa"/>
            <w:tcBorders>
              <w:top w:val="single" w:sz="4" w:space="0" w:color="000000"/>
              <w:bottom w:val="single" w:sz="4" w:space="0" w:color="000000"/>
            </w:tcBorders>
          </w:tcPr>
          <w:p>
            <w:pPr>
              <w:pStyle w:val="TableParagraph"/>
              <w:spacing w:before="38"/>
              <w:ind w:left="139" w:right="232"/>
              <w:jc w:val="center"/>
              <w:rPr>
                <w:sz w:val="18"/>
              </w:rPr>
            </w:pPr>
            <w:r>
              <w:rPr>
                <w:rFonts w:ascii="Times New Roman" w:eastAsia="Times New Roman"/>
                <w:sz w:val="18"/>
              </w:rPr>
              <w:t>III </w:t>
            </w:r>
            <w:r>
              <w:rPr>
                <w:sz w:val="18"/>
              </w:rPr>
              <w:t>期临床</w:t>
            </w:r>
          </w:p>
        </w:tc>
        <w:tc>
          <w:tcPr>
            <w:tcW w:w="1808" w:type="dxa"/>
            <w:tcBorders>
              <w:top w:val="single" w:sz="4" w:space="0" w:color="000000"/>
              <w:bottom w:val="single" w:sz="4" w:space="0" w:color="000000"/>
            </w:tcBorders>
          </w:tcPr>
          <w:p>
            <w:pPr>
              <w:pStyle w:val="TableParagraph"/>
              <w:spacing w:before="52"/>
              <w:ind w:left="535"/>
              <w:rPr>
                <w:rFonts w:ascii="Times New Roman"/>
                <w:sz w:val="18"/>
              </w:rPr>
            </w:pPr>
            <w:r>
              <w:rPr>
                <w:rFonts w:ascii="Times New Roman"/>
                <w:sz w:val="18"/>
              </w:rPr>
              <w:t>GLP-1R</w:t>
            </w:r>
          </w:p>
        </w:tc>
      </w:tr>
      <w:tr>
        <w:trPr>
          <w:trHeight w:val="309" w:hRule="atLeast"/>
        </w:trPr>
        <w:tc>
          <w:tcPr>
            <w:tcW w:w="2559" w:type="dxa"/>
            <w:tcBorders>
              <w:top w:val="single" w:sz="4" w:space="0" w:color="000000"/>
              <w:bottom w:val="single" w:sz="4" w:space="0" w:color="000000"/>
            </w:tcBorders>
          </w:tcPr>
          <w:p>
            <w:pPr>
              <w:pStyle w:val="TableParagraph"/>
              <w:spacing w:before="23"/>
              <w:ind w:right="354"/>
              <w:jc w:val="right"/>
              <w:rPr>
                <w:rFonts w:ascii="Times New Roman"/>
                <w:sz w:val="18"/>
              </w:rPr>
            </w:pPr>
            <w:r>
              <w:rPr>
                <w:rFonts w:ascii="Times New Roman"/>
                <w:sz w:val="18"/>
              </w:rPr>
              <w:t>Donanemab</w:t>
            </w:r>
          </w:p>
        </w:tc>
        <w:tc>
          <w:tcPr>
            <w:tcW w:w="878" w:type="dxa"/>
            <w:tcBorders>
              <w:top w:val="single" w:sz="4" w:space="0" w:color="000000"/>
              <w:bottom w:val="single" w:sz="4" w:space="0" w:color="000000"/>
            </w:tcBorders>
          </w:tcPr>
          <w:p>
            <w:pPr>
              <w:pStyle w:val="TableParagraph"/>
              <w:spacing w:before="9"/>
              <w:ind w:left="226" w:right="246"/>
              <w:jc w:val="center"/>
              <w:rPr>
                <w:sz w:val="18"/>
              </w:rPr>
            </w:pPr>
            <w:r>
              <w:rPr>
                <w:sz w:val="18"/>
              </w:rPr>
              <w:t>生物</w:t>
            </w:r>
          </w:p>
        </w:tc>
        <w:tc>
          <w:tcPr>
            <w:tcW w:w="3278" w:type="dxa"/>
            <w:tcBorders>
              <w:top w:val="single" w:sz="4" w:space="0" w:color="000000"/>
              <w:bottom w:val="single" w:sz="4" w:space="0" w:color="000000"/>
            </w:tcBorders>
          </w:tcPr>
          <w:p>
            <w:pPr>
              <w:pStyle w:val="TableParagraph"/>
              <w:spacing w:before="23"/>
              <w:ind w:left="245" w:right="140"/>
              <w:jc w:val="center"/>
              <w:rPr>
                <w:rFonts w:ascii="Times New Roman"/>
                <w:sz w:val="18"/>
              </w:rPr>
            </w:pPr>
            <w:r>
              <w:rPr>
                <w:rFonts w:ascii="Times New Roman"/>
                <w:sz w:val="18"/>
              </w:rPr>
              <w:t>Eli Lilly</w:t>
            </w:r>
          </w:p>
        </w:tc>
        <w:tc>
          <w:tcPr>
            <w:tcW w:w="1978" w:type="dxa"/>
            <w:tcBorders>
              <w:top w:val="single" w:sz="4" w:space="0" w:color="000000"/>
              <w:bottom w:val="single" w:sz="4" w:space="0" w:color="000000"/>
            </w:tcBorders>
          </w:tcPr>
          <w:p>
            <w:pPr>
              <w:pStyle w:val="TableParagraph"/>
              <w:spacing w:before="9"/>
              <w:ind w:left="139" w:right="232"/>
              <w:jc w:val="center"/>
              <w:rPr>
                <w:sz w:val="18"/>
              </w:rPr>
            </w:pPr>
            <w:r>
              <w:rPr>
                <w:rFonts w:ascii="Times New Roman" w:eastAsia="Times New Roman"/>
                <w:sz w:val="18"/>
              </w:rPr>
              <w:t>III </w:t>
            </w:r>
            <w:r>
              <w:rPr>
                <w:sz w:val="18"/>
              </w:rPr>
              <w:t>期临床</w:t>
            </w:r>
          </w:p>
        </w:tc>
        <w:tc>
          <w:tcPr>
            <w:tcW w:w="1808" w:type="dxa"/>
            <w:tcBorders>
              <w:top w:val="single" w:sz="4" w:space="0" w:color="000000"/>
              <w:bottom w:val="single" w:sz="4" w:space="0" w:color="000000"/>
            </w:tcBorders>
          </w:tcPr>
          <w:p>
            <w:pPr>
              <w:pStyle w:val="TableParagraph"/>
              <w:spacing w:before="9"/>
              <w:ind w:left="429"/>
              <w:rPr>
                <w:sz w:val="18"/>
              </w:rPr>
            </w:pPr>
            <w:r>
              <w:rPr>
                <w:rFonts w:ascii="Times New Roman" w:hAnsi="Times New Roman"/>
                <w:sz w:val="18"/>
              </w:rPr>
              <w:t>pGlu3-A</w:t>
            </w:r>
            <w:r>
              <w:rPr>
                <w:sz w:val="18"/>
              </w:rPr>
              <w:t>β</w:t>
            </w:r>
          </w:p>
        </w:tc>
      </w:tr>
      <w:tr>
        <w:trPr>
          <w:trHeight w:val="294" w:hRule="atLeast"/>
        </w:trPr>
        <w:tc>
          <w:tcPr>
            <w:tcW w:w="2559" w:type="dxa"/>
            <w:tcBorders>
              <w:top w:val="single" w:sz="4" w:space="0" w:color="000000"/>
              <w:bottom w:val="single" w:sz="4" w:space="0" w:color="000000"/>
            </w:tcBorders>
          </w:tcPr>
          <w:p>
            <w:pPr>
              <w:pStyle w:val="TableParagraph"/>
              <w:spacing w:before="16"/>
              <w:ind w:right="322"/>
              <w:jc w:val="right"/>
              <w:rPr>
                <w:rFonts w:ascii="Times New Roman"/>
                <w:sz w:val="18"/>
              </w:rPr>
            </w:pPr>
            <w:r>
              <w:rPr>
                <w:rFonts w:ascii="Times New Roman"/>
                <w:sz w:val="18"/>
              </w:rPr>
              <w:t>Remternetug</w:t>
            </w:r>
          </w:p>
        </w:tc>
        <w:tc>
          <w:tcPr>
            <w:tcW w:w="878" w:type="dxa"/>
            <w:tcBorders>
              <w:top w:val="single" w:sz="4" w:space="0" w:color="000000"/>
              <w:bottom w:val="single" w:sz="4" w:space="0" w:color="000000"/>
            </w:tcBorders>
          </w:tcPr>
          <w:p>
            <w:pPr>
              <w:pStyle w:val="TableParagraph"/>
              <w:spacing w:before="2"/>
              <w:ind w:left="226" w:right="246"/>
              <w:jc w:val="center"/>
              <w:rPr>
                <w:sz w:val="18"/>
              </w:rPr>
            </w:pPr>
            <w:r>
              <w:rPr>
                <w:sz w:val="18"/>
              </w:rPr>
              <w:t>生物</w:t>
            </w:r>
          </w:p>
        </w:tc>
        <w:tc>
          <w:tcPr>
            <w:tcW w:w="3278" w:type="dxa"/>
            <w:tcBorders>
              <w:top w:val="single" w:sz="4" w:space="0" w:color="000000"/>
              <w:bottom w:val="single" w:sz="4" w:space="0" w:color="000000"/>
            </w:tcBorders>
          </w:tcPr>
          <w:p>
            <w:pPr>
              <w:pStyle w:val="TableParagraph"/>
              <w:spacing w:before="16"/>
              <w:ind w:left="245" w:right="140"/>
              <w:jc w:val="center"/>
              <w:rPr>
                <w:rFonts w:ascii="Times New Roman"/>
                <w:sz w:val="18"/>
              </w:rPr>
            </w:pPr>
            <w:r>
              <w:rPr>
                <w:rFonts w:ascii="Times New Roman"/>
                <w:sz w:val="18"/>
              </w:rPr>
              <w:t>Eli Lilly</w:t>
            </w:r>
          </w:p>
        </w:tc>
        <w:tc>
          <w:tcPr>
            <w:tcW w:w="1978" w:type="dxa"/>
            <w:tcBorders>
              <w:top w:val="single" w:sz="4" w:space="0" w:color="000000"/>
              <w:bottom w:val="single" w:sz="4" w:space="0" w:color="000000"/>
            </w:tcBorders>
          </w:tcPr>
          <w:p>
            <w:pPr>
              <w:pStyle w:val="TableParagraph"/>
              <w:spacing w:before="2"/>
              <w:ind w:left="139" w:right="232"/>
              <w:jc w:val="center"/>
              <w:rPr>
                <w:sz w:val="18"/>
              </w:rPr>
            </w:pPr>
            <w:r>
              <w:rPr>
                <w:rFonts w:ascii="Times New Roman" w:eastAsia="Times New Roman"/>
                <w:sz w:val="18"/>
              </w:rPr>
              <w:t>III </w:t>
            </w:r>
            <w:r>
              <w:rPr>
                <w:sz w:val="18"/>
              </w:rPr>
              <w:t>期临床</w:t>
            </w:r>
          </w:p>
        </w:tc>
        <w:tc>
          <w:tcPr>
            <w:tcW w:w="1808" w:type="dxa"/>
            <w:tcBorders>
              <w:top w:val="single" w:sz="4" w:space="0" w:color="000000"/>
              <w:bottom w:val="single" w:sz="4" w:space="0" w:color="000000"/>
            </w:tcBorders>
          </w:tcPr>
          <w:p>
            <w:pPr>
              <w:pStyle w:val="TableParagraph"/>
              <w:spacing w:before="2"/>
              <w:ind w:left="429"/>
              <w:rPr>
                <w:sz w:val="18"/>
              </w:rPr>
            </w:pPr>
            <w:r>
              <w:rPr>
                <w:rFonts w:ascii="Times New Roman" w:hAnsi="Times New Roman"/>
                <w:sz w:val="18"/>
              </w:rPr>
              <w:t>pGlu3-A</w:t>
            </w:r>
            <w:r>
              <w:rPr>
                <w:sz w:val="18"/>
              </w:rPr>
              <w:t>β</w:t>
            </w:r>
          </w:p>
        </w:tc>
      </w:tr>
      <w:tr>
        <w:trPr>
          <w:trHeight w:val="362" w:hRule="atLeast"/>
        </w:trPr>
        <w:tc>
          <w:tcPr>
            <w:tcW w:w="2559" w:type="dxa"/>
            <w:tcBorders>
              <w:top w:val="single" w:sz="4" w:space="0" w:color="000000"/>
              <w:bottom w:val="single" w:sz="4" w:space="0" w:color="000000"/>
            </w:tcBorders>
          </w:tcPr>
          <w:p>
            <w:pPr>
              <w:pStyle w:val="TableParagraph"/>
              <w:spacing w:before="38"/>
              <w:ind w:right="249"/>
              <w:jc w:val="right"/>
              <w:rPr>
                <w:sz w:val="18"/>
              </w:rPr>
            </w:pPr>
            <w:r>
              <w:rPr>
                <w:sz w:val="18"/>
              </w:rPr>
              <w:t>克雷内治单抗</w:t>
            </w:r>
          </w:p>
        </w:tc>
        <w:tc>
          <w:tcPr>
            <w:tcW w:w="878" w:type="dxa"/>
            <w:tcBorders>
              <w:top w:val="single" w:sz="4" w:space="0" w:color="000000"/>
              <w:bottom w:val="single" w:sz="4" w:space="0" w:color="000000"/>
            </w:tcBorders>
          </w:tcPr>
          <w:p>
            <w:pPr>
              <w:pStyle w:val="TableParagraph"/>
              <w:spacing w:before="38"/>
              <w:ind w:left="226" w:right="246"/>
              <w:jc w:val="center"/>
              <w:rPr>
                <w:sz w:val="18"/>
              </w:rPr>
            </w:pPr>
            <w:r>
              <w:rPr>
                <w:sz w:val="18"/>
              </w:rPr>
              <w:t>生物</w:t>
            </w:r>
          </w:p>
        </w:tc>
        <w:tc>
          <w:tcPr>
            <w:tcW w:w="3278" w:type="dxa"/>
            <w:tcBorders>
              <w:top w:val="single" w:sz="4" w:space="0" w:color="000000"/>
              <w:bottom w:val="single" w:sz="4" w:space="0" w:color="000000"/>
            </w:tcBorders>
          </w:tcPr>
          <w:p>
            <w:pPr>
              <w:pStyle w:val="TableParagraph"/>
              <w:spacing w:before="52"/>
              <w:ind w:left="245" w:right="139"/>
              <w:jc w:val="center"/>
              <w:rPr>
                <w:rFonts w:ascii="Times New Roman"/>
                <w:sz w:val="18"/>
              </w:rPr>
            </w:pPr>
            <w:r>
              <w:rPr>
                <w:rFonts w:ascii="Times New Roman"/>
                <w:sz w:val="18"/>
              </w:rPr>
              <w:t>Genentech;AC Immune</w:t>
            </w:r>
          </w:p>
        </w:tc>
        <w:tc>
          <w:tcPr>
            <w:tcW w:w="1978" w:type="dxa"/>
            <w:tcBorders>
              <w:top w:val="single" w:sz="4" w:space="0" w:color="000000"/>
              <w:bottom w:val="single" w:sz="4" w:space="0" w:color="000000"/>
            </w:tcBorders>
          </w:tcPr>
          <w:p>
            <w:pPr>
              <w:pStyle w:val="TableParagraph"/>
              <w:spacing w:before="38"/>
              <w:ind w:left="139" w:right="232"/>
              <w:jc w:val="center"/>
              <w:rPr>
                <w:sz w:val="18"/>
              </w:rPr>
            </w:pPr>
            <w:r>
              <w:rPr>
                <w:rFonts w:ascii="Times New Roman" w:eastAsia="Times New Roman"/>
                <w:sz w:val="18"/>
              </w:rPr>
              <w:t>III </w:t>
            </w:r>
            <w:r>
              <w:rPr>
                <w:sz w:val="18"/>
              </w:rPr>
              <w:t>期临床</w:t>
            </w:r>
          </w:p>
        </w:tc>
        <w:tc>
          <w:tcPr>
            <w:tcW w:w="1808" w:type="dxa"/>
            <w:tcBorders>
              <w:top w:val="single" w:sz="4" w:space="0" w:color="000000"/>
              <w:bottom w:val="single" w:sz="4" w:space="0" w:color="000000"/>
            </w:tcBorders>
          </w:tcPr>
          <w:p>
            <w:pPr>
              <w:pStyle w:val="TableParagraph"/>
              <w:spacing w:line="310" w:lineRule="exact"/>
              <w:ind w:left="590" w:right="713"/>
              <w:jc w:val="center"/>
              <w:rPr>
                <w:rFonts w:ascii="Microsoft JhengHei" w:hAnsi="Microsoft JhengHei"/>
                <w:b/>
                <w:sz w:val="18"/>
              </w:rPr>
            </w:pPr>
            <w:r>
              <w:rPr>
                <w:rFonts w:ascii="Times New Roman" w:hAnsi="Times New Roman"/>
                <w:b/>
                <w:w w:val="130"/>
                <w:sz w:val="18"/>
              </w:rPr>
              <w:t>A</w:t>
            </w:r>
            <w:r>
              <w:rPr>
                <w:rFonts w:ascii="Microsoft JhengHei" w:hAnsi="Microsoft JhengHei"/>
                <w:b/>
                <w:w w:val="130"/>
                <w:sz w:val="18"/>
              </w:rPr>
              <w:t>β</w:t>
            </w:r>
          </w:p>
        </w:tc>
      </w:tr>
      <w:tr>
        <w:trPr>
          <w:trHeight w:val="362" w:hRule="atLeast"/>
        </w:trPr>
        <w:tc>
          <w:tcPr>
            <w:tcW w:w="2559" w:type="dxa"/>
            <w:tcBorders>
              <w:top w:val="single" w:sz="4" w:space="0" w:color="000000"/>
              <w:bottom w:val="single" w:sz="4" w:space="0" w:color="000000"/>
            </w:tcBorders>
          </w:tcPr>
          <w:p>
            <w:pPr>
              <w:pStyle w:val="TableParagraph"/>
              <w:spacing w:before="38"/>
              <w:ind w:right="338"/>
              <w:jc w:val="right"/>
              <w:rPr>
                <w:sz w:val="18"/>
              </w:rPr>
            </w:pPr>
            <w:r>
              <w:rPr>
                <w:sz w:val="18"/>
              </w:rPr>
              <w:t>八氢氨吖啶</w:t>
            </w:r>
          </w:p>
        </w:tc>
        <w:tc>
          <w:tcPr>
            <w:tcW w:w="878" w:type="dxa"/>
            <w:tcBorders>
              <w:top w:val="single" w:sz="4" w:space="0" w:color="000000"/>
              <w:bottom w:val="single" w:sz="4" w:space="0" w:color="000000"/>
            </w:tcBorders>
          </w:tcPr>
          <w:p>
            <w:pPr>
              <w:pStyle w:val="TableParagraph"/>
              <w:spacing w:before="38"/>
              <w:ind w:left="226" w:right="246"/>
              <w:jc w:val="center"/>
              <w:rPr>
                <w:sz w:val="18"/>
              </w:rPr>
            </w:pPr>
            <w:r>
              <w:rPr>
                <w:sz w:val="18"/>
              </w:rPr>
              <w:t>化药</w:t>
            </w:r>
          </w:p>
        </w:tc>
        <w:tc>
          <w:tcPr>
            <w:tcW w:w="3278" w:type="dxa"/>
            <w:tcBorders>
              <w:top w:val="single" w:sz="4" w:space="0" w:color="000000"/>
              <w:bottom w:val="single" w:sz="4" w:space="0" w:color="000000"/>
            </w:tcBorders>
          </w:tcPr>
          <w:p>
            <w:pPr>
              <w:pStyle w:val="TableParagraph"/>
              <w:spacing w:before="38"/>
              <w:ind w:left="245" w:right="141"/>
              <w:jc w:val="center"/>
              <w:rPr>
                <w:sz w:val="18"/>
              </w:rPr>
            </w:pPr>
            <w:r>
              <w:rPr>
                <w:sz w:val="18"/>
              </w:rPr>
              <w:t>华洋高科</w:t>
            </w:r>
          </w:p>
        </w:tc>
        <w:tc>
          <w:tcPr>
            <w:tcW w:w="1978" w:type="dxa"/>
            <w:tcBorders>
              <w:top w:val="single" w:sz="4" w:space="0" w:color="000000"/>
              <w:bottom w:val="single" w:sz="4" w:space="0" w:color="000000"/>
            </w:tcBorders>
          </w:tcPr>
          <w:p>
            <w:pPr>
              <w:pStyle w:val="TableParagraph"/>
              <w:spacing w:before="38"/>
              <w:ind w:left="139" w:right="232"/>
              <w:jc w:val="center"/>
              <w:rPr>
                <w:sz w:val="18"/>
              </w:rPr>
            </w:pPr>
            <w:r>
              <w:rPr>
                <w:rFonts w:ascii="Times New Roman" w:eastAsia="Times New Roman"/>
                <w:sz w:val="18"/>
              </w:rPr>
              <w:t>III </w:t>
            </w:r>
            <w:r>
              <w:rPr>
                <w:sz w:val="18"/>
              </w:rPr>
              <w:t>期临床</w:t>
            </w:r>
          </w:p>
        </w:tc>
        <w:tc>
          <w:tcPr>
            <w:tcW w:w="1808" w:type="dxa"/>
            <w:tcBorders>
              <w:top w:val="single" w:sz="4" w:space="0" w:color="000000"/>
              <w:bottom w:val="single" w:sz="4" w:space="0" w:color="000000"/>
            </w:tcBorders>
          </w:tcPr>
          <w:p>
            <w:pPr>
              <w:pStyle w:val="TableParagraph"/>
              <w:spacing w:before="52"/>
              <w:ind w:left="326"/>
              <w:rPr>
                <w:rFonts w:ascii="Times New Roman"/>
                <w:sz w:val="18"/>
              </w:rPr>
            </w:pPr>
            <w:r>
              <w:rPr>
                <w:rFonts w:ascii="Times New Roman"/>
                <w:sz w:val="18"/>
              </w:rPr>
              <w:t>AChE;BuChE</w:t>
            </w:r>
          </w:p>
        </w:tc>
      </w:tr>
      <w:tr>
        <w:trPr>
          <w:trHeight w:val="364" w:hRule="atLeast"/>
        </w:trPr>
        <w:tc>
          <w:tcPr>
            <w:tcW w:w="2559" w:type="dxa"/>
            <w:tcBorders>
              <w:top w:val="single" w:sz="4" w:space="0" w:color="000000"/>
              <w:bottom w:val="single" w:sz="4" w:space="0" w:color="000000"/>
            </w:tcBorders>
          </w:tcPr>
          <w:p>
            <w:pPr>
              <w:pStyle w:val="TableParagraph"/>
              <w:spacing w:before="52"/>
              <w:ind w:left="1412"/>
              <w:rPr>
                <w:rFonts w:ascii="Times New Roman"/>
                <w:sz w:val="18"/>
              </w:rPr>
            </w:pPr>
            <w:r>
              <w:rPr>
                <w:rFonts w:ascii="Times New Roman"/>
                <w:sz w:val="18"/>
              </w:rPr>
              <w:t>JK-50561</w:t>
            </w:r>
          </w:p>
        </w:tc>
        <w:tc>
          <w:tcPr>
            <w:tcW w:w="878" w:type="dxa"/>
            <w:tcBorders>
              <w:top w:val="single" w:sz="4" w:space="0" w:color="000000"/>
              <w:bottom w:val="single" w:sz="4" w:space="0" w:color="000000"/>
            </w:tcBorders>
          </w:tcPr>
          <w:p>
            <w:pPr>
              <w:pStyle w:val="TableParagraph"/>
              <w:spacing w:before="38"/>
              <w:ind w:left="226" w:right="246"/>
              <w:jc w:val="center"/>
              <w:rPr>
                <w:sz w:val="18"/>
              </w:rPr>
            </w:pPr>
            <w:r>
              <w:rPr>
                <w:sz w:val="18"/>
              </w:rPr>
              <w:t>化药</w:t>
            </w:r>
          </w:p>
        </w:tc>
        <w:tc>
          <w:tcPr>
            <w:tcW w:w="3278" w:type="dxa"/>
            <w:tcBorders>
              <w:top w:val="single" w:sz="4" w:space="0" w:color="000000"/>
              <w:bottom w:val="single" w:sz="4" w:space="0" w:color="000000"/>
            </w:tcBorders>
          </w:tcPr>
          <w:p>
            <w:pPr>
              <w:pStyle w:val="TableParagraph"/>
              <w:spacing w:before="38"/>
              <w:ind w:left="245" w:right="141"/>
              <w:jc w:val="center"/>
              <w:rPr>
                <w:sz w:val="18"/>
              </w:rPr>
            </w:pPr>
            <w:r>
              <w:rPr>
                <w:sz w:val="18"/>
              </w:rPr>
              <w:t>卓凯生物</w:t>
            </w:r>
          </w:p>
        </w:tc>
        <w:tc>
          <w:tcPr>
            <w:tcW w:w="1978" w:type="dxa"/>
            <w:tcBorders>
              <w:top w:val="single" w:sz="4" w:space="0" w:color="000000"/>
              <w:bottom w:val="single" w:sz="4" w:space="0" w:color="000000"/>
            </w:tcBorders>
          </w:tcPr>
          <w:p>
            <w:pPr>
              <w:pStyle w:val="TableParagraph"/>
              <w:spacing w:before="38"/>
              <w:ind w:left="143" w:right="232"/>
              <w:jc w:val="center"/>
              <w:rPr>
                <w:sz w:val="18"/>
              </w:rPr>
            </w:pPr>
            <w:r>
              <w:rPr>
                <w:rFonts w:ascii="Times New Roman" w:eastAsia="Times New Roman"/>
                <w:sz w:val="18"/>
              </w:rPr>
              <w:t>II </w:t>
            </w:r>
            <w:r>
              <w:rPr>
                <w:sz w:val="18"/>
              </w:rPr>
              <w:t>期临床</w:t>
            </w:r>
          </w:p>
        </w:tc>
        <w:tc>
          <w:tcPr>
            <w:tcW w:w="1808" w:type="dxa"/>
            <w:tcBorders>
              <w:top w:val="single" w:sz="4" w:space="0" w:color="000000"/>
              <w:bottom w:val="single" w:sz="4" w:space="0" w:color="000000"/>
            </w:tcBorders>
          </w:tcPr>
          <w:p>
            <w:pPr>
              <w:pStyle w:val="TableParagraph"/>
              <w:spacing w:before="52"/>
              <w:ind w:left="590" w:right="716"/>
              <w:jc w:val="center"/>
              <w:rPr>
                <w:rFonts w:ascii="Times New Roman"/>
                <w:sz w:val="18"/>
              </w:rPr>
            </w:pPr>
            <w:r>
              <w:rPr>
                <w:rFonts w:ascii="Times New Roman"/>
                <w:sz w:val="18"/>
              </w:rPr>
              <w:t>RAC1</w:t>
            </w:r>
          </w:p>
        </w:tc>
      </w:tr>
      <w:tr>
        <w:trPr>
          <w:trHeight w:val="361" w:hRule="atLeast"/>
        </w:trPr>
        <w:tc>
          <w:tcPr>
            <w:tcW w:w="2559" w:type="dxa"/>
            <w:tcBorders>
              <w:top w:val="single" w:sz="4" w:space="0" w:color="000000"/>
              <w:bottom w:val="single" w:sz="4" w:space="0" w:color="000000"/>
            </w:tcBorders>
          </w:tcPr>
          <w:p>
            <w:pPr>
              <w:pStyle w:val="TableParagraph"/>
              <w:spacing w:before="38"/>
              <w:ind w:left="1407"/>
              <w:rPr>
                <w:sz w:val="18"/>
              </w:rPr>
            </w:pPr>
            <w:r>
              <w:rPr>
                <w:sz w:val="18"/>
              </w:rPr>
              <w:t>养血清脑</w:t>
            </w:r>
          </w:p>
        </w:tc>
        <w:tc>
          <w:tcPr>
            <w:tcW w:w="878" w:type="dxa"/>
            <w:tcBorders>
              <w:top w:val="single" w:sz="4" w:space="0" w:color="000000"/>
              <w:bottom w:val="single" w:sz="4" w:space="0" w:color="000000"/>
            </w:tcBorders>
          </w:tcPr>
          <w:p>
            <w:pPr>
              <w:pStyle w:val="TableParagraph"/>
              <w:spacing w:before="38"/>
              <w:ind w:left="226" w:right="246"/>
              <w:jc w:val="center"/>
              <w:rPr>
                <w:sz w:val="18"/>
              </w:rPr>
            </w:pPr>
            <w:r>
              <w:rPr>
                <w:sz w:val="18"/>
              </w:rPr>
              <w:t>中药</w:t>
            </w:r>
          </w:p>
        </w:tc>
        <w:tc>
          <w:tcPr>
            <w:tcW w:w="3278" w:type="dxa"/>
            <w:tcBorders>
              <w:top w:val="single" w:sz="4" w:space="0" w:color="000000"/>
              <w:bottom w:val="single" w:sz="4" w:space="0" w:color="000000"/>
            </w:tcBorders>
          </w:tcPr>
          <w:p>
            <w:pPr>
              <w:pStyle w:val="TableParagraph"/>
              <w:spacing w:before="38"/>
              <w:ind w:left="243" w:right="141"/>
              <w:jc w:val="center"/>
              <w:rPr>
                <w:sz w:val="18"/>
              </w:rPr>
            </w:pPr>
            <w:r>
              <w:rPr>
                <w:sz w:val="18"/>
              </w:rPr>
              <w:t>天士力</w:t>
            </w:r>
          </w:p>
        </w:tc>
        <w:tc>
          <w:tcPr>
            <w:tcW w:w="1978" w:type="dxa"/>
            <w:tcBorders>
              <w:top w:val="single" w:sz="4" w:space="0" w:color="000000"/>
              <w:bottom w:val="single" w:sz="4" w:space="0" w:color="000000"/>
            </w:tcBorders>
          </w:tcPr>
          <w:p>
            <w:pPr>
              <w:pStyle w:val="TableParagraph"/>
              <w:spacing w:before="38"/>
              <w:ind w:left="143" w:right="232"/>
              <w:jc w:val="center"/>
              <w:rPr>
                <w:sz w:val="18"/>
              </w:rPr>
            </w:pPr>
            <w:r>
              <w:rPr>
                <w:rFonts w:ascii="Times New Roman" w:eastAsia="Times New Roman"/>
                <w:sz w:val="18"/>
              </w:rPr>
              <w:t>II </w:t>
            </w:r>
            <w:r>
              <w:rPr>
                <w:sz w:val="18"/>
              </w:rPr>
              <w:t>期临床</w:t>
            </w:r>
          </w:p>
        </w:tc>
        <w:tc>
          <w:tcPr>
            <w:tcW w:w="1808" w:type="dxa"/>
            <w:tcBorders>
              <w:top w:val="single" w:sz="4" w:space="0" w:color="000000"/>
              <w:bottom w:val="single" w:sz="4" w:space="0" w:color="000000"/>
            </w:tcBorders>
          </w:tcPr>
          <w:p>
            <w:pPr>
              <w:pStyle w:val="TableParagraph"/>
              <w:spacing w:before="52"/>
              <w:ind w:left="379"/>
              <w:rPr>
                <w:rFonts w:ascii="Times New Roman"/>
                <w:sz w:val="18"/>
              </w:rPr>
            </w:pPr>
            <w:r>
              <w:rPr>
                <w:rFonts w:ascii="Times New Roman"/>
                <w:sz w:val="18"/>
              </w:rPr>
              <w:t>not available</w:t>
            </w:r>
          </w:p>
        </w:tc>
      </w:tr>
      <w:tr>
        <w:trPr>
          <w:trHeight w:val="364" w:hRule="atLeast"/>
        </w:trPr>
        <w:tc>
          <w:tcPr>
            <w:tcW w:w="2559" w:type="dxa"/>
            <w:tcBorders>
              <w:top w:val="single" w:sz="4" w:space="0" w:color="000000"/>
              <w:bottom w:val="single" w:sz="4" w:space="0" w:color="000000"/>
            </w:tcBorders>
          </w:tcPr>
          <w:p>
            <w:pPr>
              <w:pStyle w:val="TableParagraph"/>
              <w:spacing w:before="52"/>
              <w:ind w:right="245"/>
              <w:jc w:val="right"/>
              <w:rPr>
                <w:rFonts w:ascii="Times New Roman"/>
                <w:sz w:val="18"/>
              </w:rPr>
            </w:pPr>
            <w:r>
              <w:rPr>
                <w:rFonts w:ascii="Times New Roman"/>
                <w:sz w:val="18"/>
              </w:rPr>
              <w:t>Varoglutamstat</w:t>
            </w:r>
          </w:p>
        </w:tc>
        <w:tc>
          <w:tcPr>
            <w:tcW w:w="878" w:type="dxa"/>
            <w:tcBorders>
              <w:top w:val="single" w:sz="4" w:space="0" w:color="000000"/>
              <w:bottom w:val="single" w:sz="4" w:space="0" w:color="000000"/>
            </w:tcBorders>
          </w:tcPr>
          <w:p>
            <w:pPr>
              <w:pStyle w:val="TableParagraph"/>
              <w:spacing w:before="38"/>
              <w:ind w:left="226" w:right="246"/>
              <w:jc w:val="center"/>
              <w:rPr>
                <w:sz w:val="18"/>
              </w:rPr>
            </w:pPr>
            <w:r>
              <w:rPr>
                <w:sz w:val="18"/>
              </w:rPr>
              <w:t>化药</w:t>
            </w:r>
          </w:p>
        </w:tc>
        <w:tc>
          <w:tcPr>
            <w:tcW w:w="3278" w:type="dxa"/>
            <w:tcBorders>
              <w:top w:val="single" w:sz="4" w:space="0" w:color="000000"/>
              <w:bottom w:val="single" w:sz="4" w:space="0" w:color="000000"/>
            </w:tcBorders>
          </w:tcPr>
          <w:p>
            <w:pPr>
              <w:pStyle w:val="TableParagraph"/>
              <w:spacing w:before="38"/>
              <w:ind w:left="242" w:right="141"/>
              <w:jc w:val="center"/>
              <w:rPr>
                <w:rFonts w:ascii="Times New Roman" w:eastAsia="Times New Roman"/>
                <w:sz w:val="18"/>
              </w:rPr>
            </w:pPr>
            <w:r>
              <w:rPr>
                <w:sz w:val="18"/>
              </w:rPr>
              <w:t>先声药业</w:t>
            </w:r>
            <w:r>
              <w:rPr>
                <w:rFonts w:ascii="Times New Roman" w:eastAsia="Times New Roman"/>
                <w:sz w:val="18"/>
              </w:rPr>
              <w:t>;Vivoryon Therapeutics</w:t>
            </w:r>
          </w:p>
        </w:tc>
        <w:tc>
          <w:tcPr>
            <w:tcW w:w="1978" w:type="dxa"/>
            <w:tcBorders>
              <w:top w:val="single" w:sz="4" w:space="0" w:color="000000"/>
              <w:bottom w:val="single" w:sz="4" w:space="0" w:color="000000"/>
            </w:tcBorders>
          </w:tcPr>
          <w:p>
            <w:pPr>
              <w:pStyle w:val="TableParagraph"/>
              <w:spacing w:before="38"/>
              <w:ind w:left="143" w:right="232"/>
              <w:jc w:val="center"/>
              <w:rPr>
                <w:sz w:val="18"/>
              </w:rPr>
            </w:pPr>
            <w:r>
              <w:rPr>
                <w:rFonts w:ascii="Times New Roman" w:eastAsia="Times New Roman"/>
                <w:sz w:val="18"/>
              </w:rPr>
              <w:t>II </w:t>
            </w:r>
            <w:r>
              <w:rPr>
                <w:sz w:val="18"/>
              </w:rPr>
              <w:t>期临床</w:t>
            </w:r>
          </w:p>
        </w:tc>
        <w:tc>
          <w:tcPr>
            <w:tcW w:w="1808" w:type="dxa"/>
            <w:tcBorders>
              <w:top w:val="single" w:sz="4" w:space="0" w:color="000000"/>
              <w:bottom w:val="single" w:sz="4" w:space="0" w:color="000000"/>
            </w:tcBorders>
          </w:tcPr>
          <w:p>
            <w:pPr>
              <w:pStyle w:val="TableParagraph"/>
              <w:spacing w:before="52"/>
              <w:ind w:left="249"/>
              <w:rPr>
                <w:rFonts w:ascii="Times New Roman"/>
                <w:b/>
                <w:sz w:val="18"/>
              </w:rPr>
            </w:pPr>
            <w:r>
              <w:rPr>
                <w:rFonts w:ascii="Times New Roman"/>
                <w:b/>
                <w:sz w:val="18"/>
              </w:rPr>
              <w:t>QPCTL;QPCT</w:t>
            </w:r>
          </w:p>
        </w:tc>
      </w:tr>
      <w:tr>
        <w:trPr>
          <w:trHeight w:val="582" w:hRule="atLeast"/>
        </w:trPr>
        <w:tc>
          <w:tcPr>
            <w:tcW w:w="2559" w:type="dxa"/>
            <w:tcBorders>
              <w:top w:val="single" w:sz="4" w:space="0" w:color="000000"/>
              <w:bottom w:val="single" w:sz="4" w:space="0" w:color="000000"/>
            </w:tcBorders>
          </w:tcPr>
          <w:p>
            <w:pPr>
              <w:pStyle w:val="TableParagraph"/>
              <w:spacing w:before="2"/>
              <w:ind w:left="1162" w:right="181"/>
              <w:jc w:val="center"/>
              <w:rPr>
                <w:sz w:val="18"/>
              </w:rPr>
            </w:pPr>
            <w:r>
              <w:rPr>
                <w:rFonts w:ascii="Times New Roman" w:eastAsia="Times New Roman"/>
                <w:sz w:val="18"/>
              </w:rPr>
              <w:t>KH110 (</w:t>
            </w:r>
            <w:r>
              <w:rPr>
                <w:sz w:val="18"/>
              </w:rPr>
              <w:t>五加益</w:t>
            </w:r>
          </w:p>
          <w:p>
            <w:pPr>
              <w:pStyle w:val="TableParagraph"/>
              <w:spacing w:before="60"/>
              <w:ind w:left="1157" w:right="181"/>
              <w:jc w:val="center"/>
              <w:rPr>
                <w:rFonts w:ascii="Times New Roman" w:eastAsia="Times New Roman"/>
                <w:sz w:val="18"/>
              </w:rPr>
            </w:pPr>
            <w:r>
              <w:rPr>
                <w:sz w:val="18"/>
              </w:rPr>
              <w:t>智颗粒</w:t>
            </w:r>
            <w:r>
              <w:rPr>
                <w:rFonts w:ascii="Times New Roman" w:eastAsia="Times New Roman"/>
                <w:sz w:val="18"/>
              </w:rPr>
              <w:t>)</w:t>
            </w:r>
          </w:p>
        </w:tc>
        <w:tc>
          <w:tcPr>
            <w:tcW w:w="878" w:type="dxa"/>
            <w:tcBorders>
              <w:top w:val="single" w:sz="4" w:space="0" w:color="000000"/>
              <w:bottom w:val="single" w:sz="4" w:space="0" w:color="000000"/>
            </w:tcBorders>
          </w:tcPr>
          <w:p>
            <w:pPr>
              <w:pStyle w:val="TableParagraph"/>
              <w:spacing w:before="148"/>
              <w:ind w:left="226" w:right="246"/>
              <w:jc w:val="center"/>
              <w:rPr>
                <w:sz w:val="18"/>
              </w:rPr>
            </w:pPr>
            <w:r>
              <w:rPr>
                <w:sz w:val="18"/>
              </w:rPr>
              <w:t>中药</w:t>
            </w:r>
          </w:p>
        </w:tc>
        <w:tc>
          <w:tcPr>
            <w:tcW w:w="3278" w:type="dxa"/>
            <w:tcBorders>
              <w:top w:val="single" w:sz="4" w:space="0" w:color="000000"/>
              <w:bottom w:val="single" w:sz="4" w:space="0" w:color="000000"/>
            </w:tcBorders>
          </w:tcPr>
          <w:p>
            <w:pPr>
              <w:pStyle w:val="TableParagraph"/>
              <w:spacing w:before="148"/>
              <w:ind w:left="245" w:right="141"/>
              <w:jc w:val="center"/>
              <w:rPr>
                <w:sz w:val="18"/>
              </w:rPr>
            </w:pPr>
            <w:r>
              <w:rPr>
                <w:sz w:val="18"/>
              </w:rPr>
              <w:t>康弘药业</w:t>
            </w:r>
          </w:p>
        </w:tc>
        <w:tc>
          <w:tcPr>
            <w:tcW w:w="1978" w:type="dxa"/>
            <w:tcBorders>
              <w:top w:val="single" w:sz="4" w:space="0" w:color="000000"/>
              <w:bottom w:val="single" w:sz="4" w:space="0" w:color="000000"/>
            </w:tcBorders>
          </w:tcPr>
          <w:p>
            <w:pPr>
              <w:pStyle w:val="TableParagraph"/>
              <w:spacing w:before="148"/>
              <w:ind w:left="143" w:right="232"/>
              <w:jc w:val="center"/>
              <w:rPr>
                <w:sz w:val="18"/>
              </w:rPr>
            </w:pPr>
            <w:r>
              <w:rPr>
                <w:rFonts w:ascii="Times New Roman" w:eastAsia="Times New Roman"/>
                <w:sz w:val="18"/>
              </w:rPr>
              <w:t>II </w:t>
            </w:r>
            <w:r>
              <w:rPr>
                <w:sz w:val="18"/>
              </w:rPr>
              <w:t>期临床</w:t>
            </w:r>
          </w:p>
        </w:tc>
        <w:tc>
          <w:tcPr>
            <w:tcW w:w="1808" w:type="dxa"/>
            <w:tcBorders>
              <w:top w:val="single" w:sz="4" w:space="0" w:color="000000"/>
              <w:bottom w:val="single" w:sz="4" w:space="0" w:color="000000"/>
            </w:tcBorders>
          </w:tcPr>
          <w:p>
            <w:pPr>
              <w:pStyle w:val="TableParagraph"/>
              <w:spacing w:before="163"/>
              <w:ind w:left="379"/>
              <w:rPr>
                <w:rFonts w:ascii="Times New Roman"/>
                <w:sz w:val="18"/>
              </w:rPr>
            </w:pPr>
            <w:r>
              <w:rPr>
                <w:rFonts w:ascii="Times New Roman"/>
                <w:sz w:val="18"/>
              </w:rPr>
              <w:t>not available</w:t>
            </w:r>
          </w:p>
        </w:tc>
      </w:tr>
      <w:tr>
        <w:trPr>
          <w:trHeight w:val="582" w:hRule="atLeast"/>
        </w:trPr>
        <w:tc>
          <w:tcPr>
            <w:tcW w:w="2559" w:type="dxa"/>
            <w:tcBorders>
              <w:top w:val="single" w:sz="4" w:space="0" w:color="000000"/>
              <w:bottom w:val="single" w:sz="4" w:space="0" w:color="000000"/>
            </w:tcBorders>
          </w:tcPr>
          <w:p>
            <w:pPr>
              <w:pStyle w:val="TableParagraph"/>
              <w:spacing w:before="148"/>
              <w:ind w:right="338"/>
              <w:jc w:val="right"/>
              <w:rPr>
                <w:sz w:val="18"/>
              </w:rPr>
            </w:pPr>
            <w:r>
              <w:rPr>
                <w:sz w:val="18"/>
              </w:rPr>
              <w:t>左黄皮酰胺</w:t>
            </w:r>
          </w:p>
        </w:tc>
        <w:tc>
          <w:tcPr>
            <w:tcW w:w="878" w:type="dxa"/>
            <w:tcBorders>
              <w:top w:val="single" w:sz="4" w:space="0" w:color="000000"/>
              <w:bottom w:val="single" w:sz="4" w:space="0" w:color="000000"/>
            </w:tcBorders>
          </w:tcPr>
          <w:p>
            <w:pPr>
              <w:pStyle w:val="TableParagraph"/>
              <w:spacing w:before="148"/>
              <w:ind w:left="226" w:right="246"/>
              <w:jc w:val="center"/>
              <w:rPr>
                <w:sz w:val="18"/>
              </w:rPr>
            </w:pPr>
            <w:r>
              <w:rPr>
                <w:sz w:val="18"/>
              </w:rPr>
              <w:t>化药</w:t>
            </w:r>
          </w:p>
        </w:tc>
        <w:tc>
          <w:tcPr>
            <w:tcW w:w="3278" w:type="dxa"/>
            <w:tcBorders>
              <w:top w:val="single" w:sz="4" w:space="0" w:color="000000"/>
              <w:bottom w:val="single" w:sz="4" w:space="0" w:color="000000"/>
            </w:tcBorders>
          </w:tcPr>
          <w:p>
            <w:pPr>
              <w:pStyle w:val="TableParagraph"/>
              <w:spacing w:before="2"/>
              <w:ind w:left="245" w:right="141"/>
              <w:jc w:val="center"/>
              <w:rPr>
                <w:sz w:val="18"/>
              </w:rPr>
            </w:pPr>
            <w:r>
              <w:rPr>
                <w:sz w:val="18"/>
              </w:rPr>
              <w:t>天衡药业</w:t>
            </w:r>
            <w:r>
              <w:rPr>
                <w:rFonts w:ascii="Times New Roman" w:eastAsia="Times New Roman"/>
                <w:sz w:val="18"/>
              </w:rPr>
              <w:t>;</w:t>
            </w:r>
            <w:r>
              <w:rPr>
                <w:sz w:val="18"/>
              </w:rPr>
              <w:t>诺浩医药</w:t>
            </w:r>
            <w:r>
              <w:rPr>
                <w:rFonts w:ascii="Times New Roman" w:eastAsia="Times New Roman"/>
                <w:sz w:val="18"/>
              </w:rPr>
              <w:t>;</w:t>
            </w:r>
            <w:r>
              <w:rPr>
                <w:sz w:val="18"/>
              </w:rPr>
              <w:t>黄海制药</w:t>
            </w:r>
            <w:r>
              <w:rPr>
                <w:rFonts w:ascii="Times New Roman" w:eastAsia="Times New Roman"/>
                <w:sz w:val="18"/>
              </w:rPr>
              <w:t>;</w:t>
            </w:r>
            <w:r>
              <w:rPr>
                <w:sz w:val="18"/>
              </w:rPr>
              <w:t>中国医</w:t>
            </w:r>
          </w:p>
          <w:p>
            <w:pPr>
              <w:pStyle w:val="TableParagraph"/>
              <w:spacing w:before="62"/>
              <w:ind w:left="243" w:right="141"/>
              <w:jc w:val="center"/>
              <w:rPr>
                <w:sz w:val="18"/>
              </w:rPr>
            </w:pPr>
            <w:r>
              <w:rPr>
                <w:sz w:val="18"/>
              </w:rPr>
              <w:t>学科学院药物研究所</w:t>
            </w:r>
          </w:p>
        </w:tc>
        <w:tc>
          <w:tcPr>
            <w:tcW w:w="1978" w:type="dxa"/>
            <w:tcBorders>
              <w:top w:val="single" w:sz="4" w:space="0" w:color="000000"/>
              <w:bottom w:val="single" w:sz="4" w:space="0" w:color="000000"/>
            </w:tcBorders>
          </w:tcPr>
          <w:p>
            <w:pPr>
              <w:pStyle w:val="TableParagraph"/>
              <w:spacing w:before="148"/>
              <w:ind w:left="143" w:right="232"/>
              <w:jc w:val="center"/>
              <w:rPr>
                <w:sz w:val="18"/>
              </w:rPr>
            </w:pPr>
            <w:r>
              <w:rPr>
                <w:rFonts w:ascii="Times New Roman" w:eastAsia="Times New Roman"/>
                <w:sz w:val="18"/>
              </w:rPr>
              <w:t>II </w:t>
            </w:r>
            <w:r>
              <w:rPr>
                <w:sz w:val="18"/>
              </w:rPr>
              <w:t>期临床</w:t>
            </w:r>
          </w:p>
        </w:tc>
        <w:tc>
          <w:tcPr>
            <w:tcW w:w="1808" w:type="dxa"/>
            <w:tcBorders>
              <w:top w:val="single" w:sz="4" w:space="0" w:color="000000"/>
              <w:bottom w:val="single" w:sz="4" w:space="0" w:color="000000"/>
            </w:tcBorders>
          </w:tcPr>
          <w:p>
            <w:pPr>
              <w:pStyle w:val="TableParagraph"/>
              <w:spacing w:before="163"/>
              <w:ind w:left="379"/>
              <w:rPr>
                <w:rFonts w:ascii="Times New Roman"/>
                <w:sz w:val="18"/>
              </w:rPr>
            </w:pPr>
            <w:r>
              <w:rPr>
                <w:rFonts w:ascii="Times New Roman"/>
                <w:sz w:val="18"/>
              </w:rPr>
              <w:t>not available</w:t>
            </w:r>
          </w:p>
        </w:tc>
      </w:tr>
      <w:tr>
        <w:trPr>
          <w:trHeight w:val="364" w:hRule="atLeast"/>
        </w:trPr>
        <w:tc>
          <w:tcPr>
            <w:tcW w:w="2559" w:type="dxa"/>
            <w:tcBorders>
              <w:top w:val="single" w:sz="4" w:space="0" w:color="000000"/>
              <w:bottom w:val="single" w:sz="4" w:space="0" w:color="000000"/>
            </w:tcBorders>
          </w:tcPr>
          <w:p>
            <w:pPr>
              <w:pStyle w:val="TableParagraph"/>
              <w:spacing w:before="38"/>
              <w:ind w:right="249"/>
              <w:jc w:val="right"/>
              <w:rPr>
                <w:sz w:val="18"/>
              </w:rPr>
            </w:pPr>
            <w:r>
              <w:rPr>
                <w:sz w:val="18"/>
              </w:rPr>
              <w:t>棉花花总黄酮</w:t>
            </w:r>
          </w:p>
        </w:tc>
        <w:tc>
          <w:tcPr>
            <w:tcW w:w="878" w:type="dxa"/>
            <w:tcBorders>
              <w:top w:val="single" w:sz="4" w:space="0" w:color="000000"/>
              <w:bottom w:val="single" w:sz="4" w:space="0" w:color="000000"/>
            </w:tcBorders>
          </w:tcPr>
          <w:p>
            <w:pPr>
              <w:pStyle w:val="TableParagraph"/>
              <w:spacing w:before="38"/>
              <w:ind w:left="226" w:right="246"/>
              <w:jc w:val="center"/>
              <w:rPr>
                <w:sz w:val="18"/>
              </w:rPr>
            </w:pPr>
            <w:r>
              <w:rPr>
                <w:sz w:val="18"/>
              </w:rPr>
              <w:t>中药</w:t>
            </w:r>
          </w:p>
        </w:tc>
        <w:tc>
          <w:tcPr>
            <w:tcW w:w="3278" w:type="dxa"/>
            <w:tcBorders>
              <w:top w:val="single" w:sz="4" w:space="0" w:color="000000"/>
              <w:bottom w:val="single" w:sz="4" w:space="0" w:color="000000"/>
            </w:tcBorders>
          </w:tcPr>
          <w:p>
            <w:pPr>
              <w:pStyle w:val="TableParagraph"/>
              <w:spacing w:before="38"/>
              <w:ind w:left="243" w:right="141"/>
              <w:jc w:val="center"/>
              <w:rPr>
                <w:sz w:val="18"/>
              </w:rPr>
            </w:pPr>
            <w:r>
              <w:rPr>
                <w:sz w:val="18"/>
              </w:rPr>
              <w:t>新疆理化技术研究所</w:t>
            </w:r>
            <w:r>
              <w:rPr>
                <w:rFonts w:ascii="Times New Roman" w:eastAsia="Times New Roman"/>
                <w:sz w:val="18"/>
              </w:rPr>
              <w:t>;</w:t>
            </w:r>
            <w:r>
              <w:rPr>
                <w:sz w:val="18"/>
              </w:rPr>
              <w:t>维吾尔药业</w:t>
            </w:r>
          </w:p>
        </w:tc>
        <w:tc>
          <w:tcPr>
            <w:tcW w:w="1978" w:type="dxa"/>
            <w:tcBorders>
              <w:top w:val="single" w:sz="4" w:space="0" w:color="000000"/>
              <w:bottom w:val="single" w:sz="4" w:space="0" w:color="000000"/>
            </w:tcBorders>
          </w:tcPr>
          <w:p>
            <w:pPr>
              <w:pStyle w:val="TableParagraph"/>
              <w:spacing w:before="38"/>
              <w:ind w:left="143" w:right="232"/>
              <w:jc w:val="center"/>
              <w:rPr>
                <w:sz w:val="18"/>
              </w:rPr>
            </w:pPr>
            <w:r>
              <w:rPr>
                <w:rFonts w:ascii="Times New Roman" w:eastAsia="Times New Roman"/>
                <w:sz w:val="18"/>
              </w:rPr>
              <w:t>II </w:t>
            </w:r>
            <w:r>
              <w:rPr>
                <w:sz w:val="18"/>
              </w:rPr>
              <w:t>期临床</w:t>
            </w:r>
          </w:p>
        </w:tc>
        <w:tc>
          <w:tcPr>
            <w:tcW w:w="1808" w:type="dxa"/>
            <w:tcBorders>
              <w:top w:val="single" w:sz="4" w:space="0" w:color="000000"/>
              <w:bottom w:val="single" w:sz="4" w:space="0" w:color="000000"/>
            </w:tcBorders>
          </w:tcPr>
          <w:p>
            <w:pPr>
              <w:pStyle w:val="TableParagraph"/>
              <w:spacing w:before="52"/>
              <w:ind w:left="379"/>
              <w:rPr>
                <w:rFonts w:ascii="Times New Roman"/>
                <w:sz w:val="18"/>
              </w:rPr>
            </w:pPr>
            <w:r>
              <w:rPr>
                <w:rFonts w:ascii="Times New Roman"/>
                <w:sz w:val="18"/>
              </w:rPr>
              <w:t>not available</w:t>
            </w:r>
          </w:p>
        </w:tc>
      </w:tr>
      <w:tr>
        <w:trPr>
          <w:trHeight w:val="361" w:hRule="atLeast"/>
        </w:trPr>
        <w:tc>
          <w:tcPr>
            <w:tcW w:w="2559" w:type="dxa"/>
            <w:tcBorders>
              <w:top w:val="single" w:sz="4" w:space="0" w:color="000000"/>
              <w:bottom w:val="single" w:sz="4" w:space="0" w:color="000000"/>
            </w:tcBorders>
          </w:tcPr>
          <w:p>
            <w:pPr>
              <w:pStyle w:val="TableParagraph"/>
              <w:spacing w:before="38"/>
              <w:ind w:left="1407"/>
              <w:rPr>
                <w:sz w:val="18"/>
              </w:rPr>
            </w:pPr>
            <w:r>
              <w:rPr>
                <w:sz w:val="18"/>
              </w:rPr>
              <w:t>氟诺哌齐</w:t>
            </w:r>
          </w:p>
        </w:tc>
        <w:tc>
          <w:tcPr>
            <w:tcW w:w="878" w:type="dxa"/>
            <w:tcBorders>
              <w:top w:val="single" w:sz="4" w:space="0" w:color="000000"/>
              <w:bottom w:val="single" w:sz="4" w:space="0" w:color="000000"/>
            </w:tcBorders>
          </w:tcPr>
          <w:p>
            <w:pPr>
              <w:pStyle w:val="TableParagraph"/>
              <w:spacing w:before="38"/>
              <w:ind w:left="226" w:right="246"/>
              <w:jc w:val="center"/>
              <w:rPr>
                <w:sz w:val="18"/>
              </w:rPr>
            </w:pPr>
            <w:r>
              <w:rPr>
                <w:sz w:val="18"/>
              </w:rPr>
              <w:t>化药</w:t>
            </w:r>
          </w:p>
        </w:tc>
        <w:tc>
          <w:tcPr>
            <w:tcW w:w="3278" w:type="dxa"/>
            <w:tcBorders>
              <w:top w:val="single" w:sz="4" w:space="0" w:color="000000"/>
              <w:bottom w:val="single" w:sz="4" w:space="0" w:color="000000"/>
            </w:tcBorders>
          </w:tcPr>
          <w:p>
            <w:pPr>
              <w:pStyle w:val="TableParagraph"/>
              <w:spacing w:before="38"/>
              <w:ind w:left="245" w:right="141"/>
              <w:jc w:val="center"/>
              <w:rPr>
                <w:sz w:val="18"/>
              </w:rPr>
            </w:pPr>
            <w:r>
              <w:rPr>
                <w:sz w:val="18"/>
              </w:rPr>
              <w:t>上海药物研究所</w:t>
            </w:r>
            <w:r>
              <w:rPr>
                <w:rFonts w:ascii="Times New Roman" w:eastAsia="Times New Roman"/>
                <w:sz w:val="18"/>
              </w:rPr>
              <w:t>;</w:t>
            </w:r>
            <w:r>
              <w:rPr>
                <w:sz w:val="18"/>
              </w:rPr>
              <w:t>康缘药业</w:t>
            </w:r>
          </w:p>
        </w:tc>
        <w:tc>
          <w:tcPr>
            <w:tcW w:w="1978" w:type="dxa"/>
            <w:tcBorders>
              <w:top w:val="single" w:sz="4" w:space="0" w:color="000000"/>
              <w:bottom w:val="single" w:sz="4" w:space="0" w:color="000000"/>
            </w:tcBorders>
          </w:tcPr>
          <w:p>
            <w:pPr>
              <w:pStyle w:val="TableParagraph"/>
              <w:spacing w:before="38"/>
              <w:ind w:left="143" w:right="232"/>
              <w:jc w:val="center"/>
              <w:rPr>
                <w:sz w:val="18"/>
              </w:rPr>
            </w:pPr>
            <w:r>
              <w:rPr>
                <w:rFonts w:ascii="Times New Roman" w:eastAsia="Times New Roman"/>
                <w:sz w:val="18"/>
              </w:rPr>
              <w:t>II </w:t>
            </w:r>
            <w:r>
              <w:rPr>
                <w:sz w:val="18"/>
              </w:rPr>
              <w:t>期临床</w:t>
            </w:r>
          </w:p>
        </w:tc>
        <w:tc>
          <w:tcPr>
            <w:tcW w:w="1808" w:type="dxa"/>
            <w:tcBorders>
              <w:top w:val="single" w:sz="4" w:space="0" w:color="000000"/>
              <w:bottom w:val="single" w:sz="4" w:space="0" w:color="000000"/>
            </w:tcBorders>
          </w:tcPr>
          <w:p>
            <w:pPr>
              <w:pStyle w:val="TableParagraph"/>
              <w:spacing w:before="52"/>
              <w:ind w:left="590" w:right="716"/>
              <w:jc w:val="center"/>
              <w:rPr>
                <w:rFonts w:ascii="Times New Roman"/>
                <w:sz w:val="18"/>
              </w:rPr>
            </w:pPr>
            <w:r>
              <w:rPr>
                <w:rFonts w:ascii="Times New Roman"/>
                <w:sz w:val="18"/>
              </w:rPr>
              <w:t>AChE</w:t>
            </w:r>
          </w:p>
        </w:tc>
      </w:tr>
      <w:tr>
        <w:trPr>
          <w:trHeight w:val="540" w:hRule="atLeast"/>
        </w:trPr>
        <w:tc>
          <w:tcPr>
            <w:tcW w:w="2559" w:type="dxa"/>
            <w:tcBorders>
              <w:top w:val="single" w:sz="4" w:space="0" w:color="000000"/>
            </w:tcBorders>
          </w:tcPr>
          <w:p>
            <w:pPr>
              <w:pStyle w:val="TableParagraph"/>
              <w:spacing w:before="38"/>
              <w:ind w:right="249"/>
              <w:jc w:val="right"/>
              <w:rPr>
                <w:sz w:val="18"/>
              </w:rPr>
            </w:pPr>
            <w:r>
              <w:rPr>
                <w:sz w:val="18"/>
              </w:rPr>
              <w:t>美金刚硝酸酯</w:t>
            </w:r>
          </w:p>
        </w:tc>
        <w:tc>
          <w:tcPr>
            <w:tcW w:w="878" w:type="dxa"/>
            <w:tcBorders>
              <w:top w:val="single" w:sz="4" w:space="0" w:color="000000"/>
            </w:tcBorders>
          </w:tcPr>
          <w:p>
            <w:pPr>
              <w:pStyle w:val="TableParagraph"/>
              <w:spacing w:before="38"/>
              <w:ind w:left="226" w:right="246"/>
              <w:jc w:val="center"/>
              <w:rPr>
                <w:sz w:val="18"/>
              </w:rPr>
            </w:pPr>
            <w:r>
              <w:rPr>
                <w:sz w:val="18"/>
              </w:rPr>
              <w:t>化药</w:t>
            </w:r>
          </w:p>
        </w:tc>
        <w:tc>
          <w:tcPr>
            <w:tcW w:w="3278" w:type="dxa"/>
            <w:tcBorders>
              <w:top w:val="single" w:sz="4" w:space="0" w:color="000000"/>
            </w:tcBorders>
          </w:tcPr>
          <w:p>
            <w:pPr>
              <w:pStyle w:val="TableParagraph"/>
              <w:spacing w:before="38"/>
              <w:ind w:left="243" w:right="141"/>
              <w:jc w:val="center"/>
              <w:rPr>
                <w:sz w:val="18"/>
              </w:rPr>
            </w:pPr>
            <w:r>
              <w:rPr>
                <w:sz w:val="18"/>
              </w:rPr>
              <w:t>喜鹊医药</w:t>
            </w:r>
            <w:r>
              <w:rPr>
                <w:rFonts w:ascii="Times New Roman" w:eastAsia="Times New Roman"/>
                <w:sz w:val="18"/>
              </w:rPr>
              <w:t>;</w:t>
            </w:r>
            <w:r>
              <w:rPr>
                <w:sz w:val="18"/>
              </w:rPr>
              <w:t>暨南大学</w:t>
            </w:r>
          </w:p>
        </w:tc>
        <w:tc>
          <w:tcPr>
            <w:tcW w:w="1978" w:type="dxa"/>
            <w:tcBorders>
              <w:top w:val="single" w:sz="4" w:space="0" w:color="000000"/>
            </w:tcBorders>
          </w:tcPr>
          <w:p>
            <w:pPr>
              <w:pStyle w:val="TableParagraph"/>
              <w:spacing w:before="38"/>
              <w:ind w:left="143" w:right="232"/>
              <w:jc w:val="center"/>
              <w:rPr>
                <w:sz w:val="18"/>
              </w:rPr>
            </w:pPr>
            <w:r>
              <w:rPr>
                <w:rFonts w:ascii="Times New Roman" w:eastAsia="Times New Roman"/>
                <w:sz w:val="18"/>
              </w:rPr>
              <w:t>II </w:t>
            </w:r>
            <w:r>
              <w:rPr>
                <w:sz w:val="18"/>
              </w:rPr>
              <w:t>期临床</w:t>
            </w:r>
          </w:p>
        </w:tc>
        <w:tc>
          <w:tcPr>
            <w:tcW w:w="1808" w:type="dxa"/>
            <w:tcBorders>
              <w:top w:val="single" w:sz="4" w:space="0" w:color="000000"/>
            </w:tcBorders>
          </w:tcPr>
          <w:p>
            <w:pPr>
              <w:pStyle w:val="TableParagraph"/>
              <w:spacing w:before="53"/>
              <w:ind w:left="254"/>
              <w:rPr>
                <w:rFonts w:ascii="Times New Roman"/>
                <w:sz w:val="18"/>
              </w:rPr>
            </w:pPr>
            <w:r>
              <w:rPr>
                <w:rFonts w:ascii="Times New Roman"/>
                <w:sz w:val="18"/>
              </w:rPr>
              <w:t>NMDA receptor</w:t>
            </w:r>
          </w:p>
        </w:tc>
      </w:tr>
    </w:tbl>
    <w:p>
      <w:pPr>
        <w:spacing w:after="0"/>
        <w:rPr>
          <w:rFonts w:ascii="Times New Roman"/>
          <w:sz w:val="18"/>
        </w:rPr>
        <w:sectPr>
          <w:headerReference w:type="default" r:id="rId46"/>
          <w:footerReference w:type="default" r:id="rId47"/>
          <w:pgSz w:w="11910" w:h="16840"/>
          <w:pgMar w:header="868" w:footer="1172" w:top="1400" w:bottom="1360" w:left="240" w:right="400"/>
        </w:sectPr>
      </w:pPr>
    </w:p>
    <w:p>
      <w:pPr>
        <w:pStyle w:val="BodyText"/>
        <w:spacing w:before="4"/>
        <w:rPr>
          <w:sz w:val="13"/>
        </w:rPr>
      </w:pPr>
    </w:p>
    <w:tbl>
      <w:tblPr>
        <w:tblW w:w="0" w:type="auto"/>
        <w:jc w:val="left"/>
        <w:tblInd w:w="6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66"/>
        <w:gridCol w:w="869"/>
        <w:gridCol w:w="3495"/>
        <w:gridCol w:w="1135"/>
        <w:gridCol w:w="2435"/>
      </w:tblGrid>
      <w:tr>
        <w:trPr>
          <w:trHeight w:val="361" w:hRule="atLeast"/>
        </w:trPr>
        <w:tc>
          <w:tcPr>
            <w:tcW w:w="2366" w:type="dxa"/>
            <w:tcBorders>
              <w:top w:val="single" w:sz="12" w:space="0" w:color="333366"/>
              <w:bottom w:val="single" w:sz="4" w:space="0" w:color="000000"/>
            </w:tcBorders>
          </w:tcPr>
          <w:p>
            <w:pPr>
              <w:pStyle w:val="TableParagraph"/>
              <w:spacing w:before="35"/>
              <w:ind w:left="1022" w:right="253"/>
              <w:jc w:val="center"/>
              <w:rPr>
                <w:sz w:val="18"/>
              </w:rPr>
            </w:pPr>
            <w:r>
              <w:rPr>
                <w:sz w:val="18"/>
              </w:rPr>
              <w:t>芬克罗酮</w:t>
            </w:r>
          </w:p>
        </w:tc>
        <w:tc>
          <w:tcPr>
            <w:tcW w:w="869" w:type="dxa"/>
            <w:tcBorders>
              <w:top w:val="single" w:sz="12" w:space="0" w:color="333366"/>
              <w:bottom w:val="single" w:sz="4" w:space="0" w:color="000000"/>
            </w:tcBorders>
          </w:tcPr>
          <w:p>
            <w:pPr>
              <w:pStyle w:val="TableParagraph"/>
              <w:spacing w:before="35"/>
              <w:ind w:left="222" w:right="247"/>
              <w:jc w:val="center"/>
              <w:rPr>
                <w:sz w:val="18"/>
              </w:rPr>
            </w:pPr>
            <w:r>
              <w:rPr>
                <w:sz w:val="18"/>
              </w:rPr>
              <w:t>化药</w:t>
            </w:r>
          </w:p>
        </w:tc>
        <w:tc>
          <w:tcPr>
            <w:tcW w:w="3495" w:type="dxa"/>
            <w:tcBorders>
              <w:top w:val="single" w:sz="12" w:space="0" w:color="333366"/>
              <w:bottom w:val="single" w:sz="4" w:space="0" w:color="000000"/>
            </w:tcBorders>
          </w:tcPr>
          <w:p>
            <w:pPr>
              <w:pStyle w:val="TableParagraph"/>
              <w:spacing w:before="35"/>
              <w:ind w:left="245" w:right="355"/>
              <w:jc w:val="center"/>
              <w:rPr>
                <w:sz w:val="18"/>
              </w:rPr>
            </w:pPr>
            <w:r>
              <w:rPr>
                <w:sz w:val="18"/>
              </w:rPr>
              <w:t>施普瑞生物</w:t>
            </w:r>
            <w:r>
              <w:rPr>
                <w:rFonts w:ascii="Times New Roman" w:eastAsia="Times New Roman"/>
                <w:sz w:val="18"/>
              </w:rPr>
              <w:t>;</w:t>
            </w:r>
            <w:r>
              <w:rPr>
                <w:sz w:val="18"/>
              </w:rPr>
              <w:t>昆明植物研究所</w:t>
            </w:r>
          </w:p>
        </w:tc>
        <w:tc>
          <w:tcPr>
            <w:tcW w:w="1135" w:type="dxa"/>
            <w:tcBorders>
              <w:top w:val="single" w:sz="12" w:space="0" w:color="333366"/>
              <w:bottom w:val="single" w:sz="4" w:space="0" w:color="000000"/>
            </w:tcBorders>
          </w:tcPr>
          <w:p>
            <w:pPr>
              <w:pStyle w:val="TableParagraph"/>
              <w:spacing w:before="35"/>
              <w:ind w:right="53"/>
              <w:jc w:val="right"/>
              <w:rPr>
                <w:sz w:val="18"/>
              </w:rPr>
            </w:pPr>
            <w:r>
              <w:rPr>
                <w:rFonts w:ascii="Times New Roman" w:eastAsia="Times New Roman"/>
                <w:sz w:val="18"/>
              </w:rPr>
              <w:t>II </w:t>
            </w:r>
            <w:r>
              <w:rPr>
                <w:sz w:val="18"/>
              </w:rPr>
              <w:t>期临床</w:t>
            </w:r>
          </w:p>
        </w:tc>
        <w:tc>
          <w:tcPr>
            <w:tcW w:w="2435" w:type="dxa"/>
            <w:tcBorders>
              <w:top w:val="single" w:sz="12" w:space="0" w:color="333366"/>
              <w:bottom w:val="single" w:sz="4" w:space="0" w:color="000000"/>
            </w:tcBorders>
          </w:tcPr>
          <w:p>
            <w:pPr>
              <w:pStyle w:val="TableParagraph"/>
              <w:spacing w:before="49"/>
              <w:ind w:right="499"/>
              <w:jc w:val="right"/>
              <w:rPr>
                <w:rFonts w:ascii="Times New Roman"/>
                <w:sz w:val="18"/>
              </w:rPr>
            </w:pPr>
            <w:r>
              <w:rPr>
                <w:rFonts w:ascii="Times New Roman"/>
                <w:sz w:val="18"/>
              </w:rPr>
              <w:t>not available</w:t>
            </w:r>
          </w:p>
        </w:tc>
      </w:tr>
      <w:tr>
        <w:trPr>
          <w:trHeight w:val="362" w:hRule="atLeast"/>
        </w:trPr>
        <w:tc>
          <w:tcPr>
            <w:tcW w:w="2366" w:type="dxa"/>
            <w:tcBorders>
              <w:top w:val="single" w:sz="4" w:space="0" w:color="000000"/>
              <w:bottom w:val="single" w:sz="4" w:space="0" w:color="000000"/>
            </w:tcBorders>
          </w:tcPr>
          <w:p>
            <w:pPr>
              <w:pStyle w:val="TableParagraph"/>
              <w:spacing w:before="52"/>
              <w:ind w:left="993" w:right="221"/>
              <w:jc w:val="center"/>
              <w:rPr>
                <w:rFonts w:ascii="Times New Roman"/>
                <w:sz w:val="18"/>
              </w:rPr>
            </w:pPr>
            <w:r>
              <w:rPr>
                <w:rFonts w:ascii="Times New Roman"/>
                <w:sz w:val="18"/>
              </w:rPr>
              <w:t>BT-1</w:t>
            </w:r>
          </w:p>
        </w:tc>
        <w:tc>
          <w:tcPr>
            <w:tcW w:w="869" w:type="dxa"/>
            <w:tcBorders>
              <w:top w:val="single" w:sz="4" w:space="0" w:color="000000"/>
              <w:bottom w:val="single" w:sz="4" w:space="0" w:color="000000"/>
            </w:tcBorders>
          </w:tcPr>
          <w:p>
            <w:pPr>
              <w:pStyle w:val="TableParagraph"/>
              <w:spacing w:before="38"/>
              <w:ind w:left="222" w:right="247"/>
              <w:jc w:val="center"/>
              <w:rPr>
                <w:sz w:val="18"/>
              </w:rPr>
            </w:pPr>
            <w:r>
              <w:rPr>
                <w:sz w:val="18"/>
              </w:rPr>
              <w:t>化药</w:t>
            </w:r>
          </w:p>
        </w:tc>
        <w:tc>
          <w:tcPr>
            <w:tcW w:w="3495" w:type="dxa"/>
            <w:tcBorders>
              <w:top w:val="single" w:sz="4" w:space="0" w:color="000000"/>
              <w:bottom w:val="single" w:sz="4" w:space="0" w:color="000000"/>
            </w:tcBorders>
          </w:tcPr>
          <w:p>
            <w:pPr>
              <w:pStyle w:val="TableParagraph"/>
              <w:spacing w:before="38"/>
              <w:ind w:left="249" w:right="355"/>
              <w:jc w:val="center"/>
              <w:rPr>
                <w:sz w:val="18"/>
              </w:rPr>
            </w:pPr>
            <w:r>
              <w:rPr>
                <w:sz w:val="18"/>
              </w:rPr>
              <w:t>日馨生物</w:t>
            </w:r>
          </w:p>
        </w:tc>
        <w:tc>
          <w:tcPr>
            <w:tcW w:w="1135" w:type="dxa"/>
            <w:tcBorders>
              <w:top w:val="single" w:sz="4" w:space="0" w:color="000000"/>
              <w:bottom w:val="single" w:sz="4" w:space="0" w:color="000000"/>
            </w:tcBorders>
          </w:tcPr>
          <w:p>
            <w:pPr>
              <w:pStyle w:val="TableParagraph"/>
              <w:spacing w:before="38"/>
              <w:ind w:right="53"/>
              <w:jc w:val="right"/>
              <w:rPr>
                <w:sz w:val="18"/>
              </w:rPr>
            </w:pPr>
            <w:r>
              <w:rPr>
                <w:rFonts w:ascii="Times New Roman" w:eastAsia="Times New Roman"/>
                <w:sz w:val="18"/>
              </w:rPr>
              <w:t>II </w:t>
            </w:r>
            <w:r>
              <w:rPr>
                <w:sz w:val="18"/>
              </w:rPr>
              <w:t>期临床</w:t>
            </w:r>
          </w:p>
        </w:tc>
        <w:tc>
          <w:tcPr>
            <w:tcW w:w="2435" w:type="dxa"/>
            <w:tcBorders>
              <w:top w:val="single" w:sz="4" w:space="0" w:color="000000"/>
              <w:bottom w:val="single" w:sz="4" w:space="0" w:color="000000"/>
            </w:tcBorders>
          </w:tcPr>
          <w:p>
            <w:pPr>
              <w:pStyle w:val="TableParagraph"/>
              <w:spacing w:before="52"/>
              <w:ind w:left="1067"/>
              <w:rPr>
                <w:rFonts w:ascii="Times New Roman"/>
                <w:sz w:val="18"/>
              </w:rPr>
            </w:pPr>
            <w:r>
              <w:rPr>
                <w:rFonts w:ascii="Times New Roman"/>
                <w:sz w:val="18"/>
              </w:rPr>
              <w:t>vitamin B1</w:t>
            </w:r>
          </w:p>
        </w:tc>
      </w:tr>
      <w:tr>
        <w:trPr>
          <w:trHeight w:val="364" w:hRule="atLeast"/>
        </w:trPr>
        <w:tc>
          <w:tcPr>
            <w:tcW w:w="2366" w:type="dxa"/>
            <w:tcBorders>
              <w:top w:val="single" w:sz="4" w:space="0" w:color="000000"/>
              <w:bottom w:val="single" w:sz="4" w:space="0" w:color="000000"/>
            </w:tcBorders>
          </w:tcPr>
          <w:p>
            <w:pPr>
              <w:pStyle w:val="TableParagraph"/>
              <w:spacing w:before="52"/>
              <w:ind w:left="1022" w:right="253"/>
              <w:jc w:val="center"/>
              <w:rPr>
                <w:rFonts w:ascii="Times New Roman"/>
                <w:sz w:val="18"/>
              </w:rPr>
            </w:pPr>
            <w:r>
              <w:rPr>
                <w:rFonts w:ascii="Times New Roman"/>
                <w:sz w:val="18"/>
              </w:rPr>
              <w:t>HEC30654</w:t>
            </w:r>
          </w:p>
        </w:tc>
        <w:tc>
          <w:tcPr>
            <w:tcW w:w="869" w:type="dxa"/>
            <w:tcBorders>
              <w:top w:val="single" w:sz="4" w:space="0" w:color="000000"/>
              <w:bottom w:val="single" w:sz="4" w:space="0" w:color="000000"/>
            </w:tcBorders>
          </w:tcPr>
          <w:p>
            <w:pPr>
              <w:pStyle w:val="TableParagraph"/>
              <w:spacing w:before="38"/>
              <w:ind w:left="222" w:right="247"/>
              <w:jc w:val="center"/>
              <w:rPr>
                <w:sz w:val="18"/>
              </w:rPr>
            </w:pPr>
            <w:r>
              <w:rPr>
                <w:sz w:val="18"/>
              </w:rPr>
              <w:t>化药</w:t>
            </w:r>
          </w:p>
        </w:tc>
        <w:tc>
          <w:tcPr>
            <w:tcW w:w="3495" w:type="dxa"/>
            <w:tcBorders>
              <w:top w:val="single" w:sz="4" w:space="0" w:color="000000"/>
              <w:bottom w:val="single" w:sz="4" w:space="0" w:color="000000"/>
            </w:tcBorders>
          </w:tcPr>
          <w:p>
            <w:pPr>
              <w:pStyle w:val="TableParagraph"/>
              <w:spacing w:before="38"/>
              <w:ind w:left="249" w:right="355"/>
              <w:jc w:val="center"/>
              <w:rPr>
                <w:sz w:val="18"/>
              </w:rPr>
            </w:pPr>
            <w:r>
              <w:rPr>
                <w:sz w:val="18"/>
              </w:rPr>
              <w:t>东阳光药</w:t>
            </w:r>
          </w:p>
        </w:tc>
        <w:tc>
          <w:tcPr>
            <w:tcW w:w="1135" w:type="dxa"/>
            <w:tcBorders>
              <w:top w:val="single" w:sz="4" w:space="0" w:color="000000"/>
              <w:bottom w:val="single" w:sz="4" w:space="0" w:color="000000"/>
            </w:tcBorders>
          </w:tcPr>
          <w:p>
            <w:pPr>
              <w:pStyle w:val="TableParagraph"/>
              <w:spacing w:before="38"/>
              <w:ind w:right="83"/>
              <w:jc w:val="right"/>
              <w:rPr>
                <w:sz w:val="18"/>
              </w:rPr>
            </w:pPr>
            <w:r>
              <w:rPr>
                <w:rFonts w:ascii="Times New Roman" w:eastAsia="Times New Roman"/>
                <w:sz w:val="18"/>
              </w:rPr>
              <w:t>I </w:t>
            </w:r>
            <w:r>
              <w:rPr>
                <w:sz w:val="18"/>
              </w:rPr>
              <w:t>期临床</w:t>
            </w:r>
          </w:p>
        </w:tc>
        <w:tc>
          <w:tcPr>
            <w:tcW w:w="2435" w:type="dxa"/>
            <w:tcBorders>
              <w:top w:val="single" w:sz="4" w:space="0" w:color="000000"/>
              <w:bottom w:val="single" w:sz="4" w:space="0" w:color="000000"/>
            </w:tcBorders>
          </w:tcPr>
          <w:p>
            <w:pPr>
              <w:pStyle w:val="TableParagraph"/>
              <w:spacing w:before="52"/>
              <w:ind w:right="406"/>
              <w:jc w:val="right"/>
              <w:rPr>
                <w:rFonts w:ascii="Times New Roman"/>
                <w:sz w:val="18"/>
              </w:rPr>
            </w:pPr>
            <w:r>
              <w:rPr>
                <w:rFonts w:ascii="Times New Roman"/>
                <w:sz w:val="18"/>
              </w:rPr>
              <w:t>5-HT6 receptor</w:t>
            </w:r>
          </w:p>
        </w:tc>
      </w:tr>
      <w:tr>
        <w:trPr>
          <w:trHeight w:val="362" w:hRule="atLeast"/>
        </w:trPr>
        <w:tc>
          <w:tcPr>
            <w:tcW w:w="2366" w:type="dxa"/>
            <w:tcBorders>
              <w:top w:val="single" w:sz="4" w:space="0" w:color="000000"/>
              <w:bottom w:val="single" w:sz="4" w:space="0" w:color="000000"/>
            </w:tcBorders>
          </w:tcPr>
          <w:p>
            <w:pPr>
              <w:pStyle w:val="TableParagraph"/>
              <w:spacing w:before="52"/>
              <w:ind w:left="1022" w:right="251"/>
              <w:jc w:val="center"/>
              <w:rPr>
                <w:rFonts w:ascii="Times New Roman"/>
                <w:sz w:val="18"/>
              </w:rPr>
            </w:pPr>
            <w:r>
              <w:rPr>
                <w:rFonts w:ascii="Times New Roman"/>
                <w:sz w:val="18"/>
              </w:rPr>
              <w:t>OAB-14</w:t>
            </w:r>
          </w:p>
        </w:tc>
        <w:tc>
          <w:tcPr>
            <w:tcW w:w="869" w:type="dxa"/>
            <w:tcBorders>
              <w:top w:val="single" w:sz="4" w:space="0" w:color="000000"/>
              <w:bottom w:val="single" w:sz="4" w:space="0" w:color="000000"/>
            </w:tcBorders>
          </w:tcPr>
          <w:p>
            <w:pPr>
              <w:pStyle w:val="TableParagraph"/>
              <w:spacing w:before="38"/>
              <w:ind w:left="222" w:right="247"/>
              <w:jc w:val="center"/>
              <w:rPr>
                <w:sz w:val="18"/>
              </w:rPr>
            </w:pPr>
            <w:r>
              <w:rPr>
                <w:sz w:val="18"/>
              </w:rPr>
              <w:t>化药</w:t>
            </w:r>
          </w:p>
        </w:tc>
        <w:tc>
          <w:tcPr>
            <w:tcW w:w="3495" w:type="dxa"/>
            <w:tcBorders>
              <w:top w:val="single" w:sz="4" w:space="0" w:color="000000"/>
              <w:bottom w:val="single" w:sz="4" w:space="0" w:color="000000"/>
            </w:tcBorders>
          </w:tcPr>
          <w:p>
            <w:pPr>
              <w:pStyle w:val="TableParagraph"/>
              <w:spacing w:before="38"/>
              <w:ind w:left="247" w:right="355"/>
              <w:jc w:val="center"/>
              <w:rPr>
                <w:sz w:val="18"/>
              </w:rPr>
            </w:pPr>
            <w:r>
              <w:rPr>
                <w:sz w:val="18"/>
              </w:rPr>
              <w:t>沈阳药科大学</w:t>
            </w:r>
            <w:r>
              <w:rPr>
                <w:rFonts w:ascii="Times New Roman" w:eastAsia="Times New Roman"/>
                <w:sz w:val="18"/>
              </w:rPr>
              <w:t>;</w:t>
            </w:r>
            <w:r>
              <w:rPr>
                <w:sz w:val="18"/>
              </w:rPr>
              <w:t>新华制药</w:t>
            </w:r>
          </w:p>
        </w:tc>
        <w:tc>
          <w:tcPr>
            <w:tcW w:w="1135" w:type="dxa"/>
            <w:tcBorders>
              <w:top w:val="single" w:sz="4" w:space="0" w:color="000000"/>
              <w:bottom w:val="single" w:sz="4" w:space="0" w:color="000000"/>
            </w:tcBorders>
          </w:tcPr>
          <w:p>
            <w:pPr>
              <w:pStyle w:val="TableParagraph"/>
              <w:spacing w:before="38"/>
              <w:ind w:right="83"/>
              <w:jc w:val="right"/>
              <w:rPr>
                <w:sz w:val="18"/>
              </w:rPr>
            </w:pPr>
            <w:r>
              <w:rPr>
                <w:rFonts w:ascii="Times New Roman" w:eastAsia="Times New Roman"/>
                <w:sz w:val="18"/>
              </w:rPr>
              <w:t>I </w:t>
            </w:r>
            <w:r>
              <w:rPr>
                <w:sz w:val="18"/>
              </w:rPr>
              <w:t>期临床</w:t>
            </w:r>
          </w:p>
        </w:tc>
        <w:tc>
          <w:tcPr>
            <w:tcW w:w="2435" w:type="dxa"/>
            <w:tcBorders>
              <w:top w:val="single" w:sz="4" w:space="0" w:color="000000"/>
              <w:bottom w:val="single" w:sz="4" w:space="0" w:color="000000"/>
            </w:tcBorders>
          </w:tcPr>
          <w:p>
            <w:pPr>
              <w:pStyle w:val="TableParagraph"/>
              <w:spacing w:before="52"/>
              <w:ind w:right="499"/>
              <w:jc w:val="right"/>
              <w:rPr>
                <w:rFonts w:ascii="Times New Roman"/>
                <w:sz w:val="18"/>
              </w:rPr>
            </w:pPr>
            <w:r>
              <w:rPr>
                <w:rFonts w:ascii="Times New Roman"/>
                <w:sz w:val="18"/>
              </w:rPr>
              <w:t>not available</w:t>
            </w:r>
          </w:p>
        </w:tc>
      </w:tr>
      <w:tr>
        <w:trPr>
          <w:trHeight w:val="361" w:hRule="atLeast"/>
        </w:trPr>
        <w:tc>
          <w:tcPr>
            <w:tcW w:w="2366" w:type="dxa"/>
            <w:tcBorders>
              <w:top w:val="single" w:sz="4" w:space="0" w:color="000000"/>
              <w:bottom w:val="single" w:sz="4" w:space="0" w:color="000000"/>
            </w:tcBorders>
          </w:tcPr>
          <w:p>
            <w:pPr>
              <w:pStyle w:val="TableParagraph"/>
              <w:spacing w:before="52"/>
              <w:ind w:left="1022" w:right="252"/>
              <w:jc w:val="center"/>
              <w:rPr>
                <w:rFonts w:ascii="Times New Roman"/>
                <w:sz w:val="18"/>
              </w:rPr>
            </w:pPr>
            <w:r>
              <w:rPr>
                <w:rFonts w:ascii="Times New Roman"/>
                <w:sz w:val="18"/>
              </w:rPr>
              <w:t>RP902</w:t>
            </w:r>
          </w:p>
        </w:tc>
        <w:tc>
          <w:tcPr>
            <w:tcW w:w="869" w:type="dxa"/>
            <w:tcBorders>
              <w:top w:val="single" w:sz="4" w:space="0" w:color="000000"/>
              <w:bottom w:val="single" w:sz="4" w:space="0" w:color="000000"/>
            </w:tcBorders>
          </w:tcPr>
          <w:p>
            <w:pPr>
              <w:pStyle w:val="TableParagraph"/>
              <w:spacing w:before="38"/>
              <w:ind w:left="222" w:right="247"/>
              <w:jc w:val="center"/>
              <w:rPr>
                <w:sz w:val="18"/>
              </w:rPr>
            </w:pPr>
            <w:r>
              <w:rPr>
                <w:sz w:val="18"/>
              </w:rPr>
              <w:t>化药</w:t>
            </w:r>
          </w:p>
        </w:tc>
        <w:tc>
          <w:tcPr>
            <w:tcW w:w="3495" w:type="dxa"/>
            <w:tcBorders>
              <w:top w:val="single" w:sz="4" w:space="0" w:color="000000"/>
              <w:bottom w:val="single" w:sz="4" w:space="0" w:color="000000"/>
            </w:tcBorders>
          </w:tcPr>
          <w:p>
            <w:pPr>
              <w:pStyle w:val="TableParagraph"/>
              <w:spacing w:before="38"/>
              <w:ind w:left="249" w:right="355"/>
              <w:jc w:val="center"/>
              <w:rPr>
                <w:sz w:val="18"/>
              </w:rPr>
            </w:pPr>
            <w:r>
              <w:rPr>
                <w:sz w:val="18"/>
              </w:rPr>
              <w:t>润佳医药</w:t>
            </w:r>
          </w:p>
        </w:tc>
        <w:tc>
          <w:tcPr>
            <w:tcW w:w="1135" w:type="dxa"/>
            <w:tcBorders>
              <w:top w:val="single" w:sz="4" w:space="0" w:color="000000"/>
              <w:bottom w:val="single" w:sz="4" w:space="0" w:color="000000"/>
            </w:tcBorders>
          </w:tcPr>
          <w:p>
            <w:pPr>
              <w:pStyle w:val="TableParagraph"/>
              <w:spacing w:before="38"/>
              <w:ind w:right="83"/>
              <w:jc w:val="right"/>
              <w:rPr>
                <w:sz w:val="18"/>
              </w:rPr>
            </w:pPr>
            <w:r>
              <w:rPr>
                <w:rFonts w:ascii="Times New Roman" w:eastAsia="Times New Roman"/>
                <w:sz w:val="18"/>
              </w:rPr>
              <w:t>I </w:t>
            </w:r>
            <w:r>
              <w:rPr>
                <w:sz w:val="18"/>
              </w:rPr>
              <w:t>期临床</w:t>
            </w:r>
          </w:p>
        </w:tc>
        <w:tc>
          <w:tcPr>
            <w:tcW w:w="2435" w:type="dxa"/>
            <w:tcBorders>
              <w:top w:val="single" w:sz="4" w:space="0" w:color="000000"/>
              <w:bottom w:val="single" w:sz="4" w:space="0" w:color="000000"/>
            </w:tcBorders>
          </w:tcPr>
          <w:p>
            <w:pPr>
              <w:pStyle w:val="TableParagraph"/>
              <w:spacing w:line="310" w:lineRule="exact"/>
              <w:ind w:left="1314"/>
              <w:rPr>
                <w:rFonts w:ascii="Microsoft JhengHei" w:hAnsi="Microsoft JhengHei"/>
                <w:b/>
                <w:sz w:val="18"/>
              </w:rPr>
            </w:pPr>
            <w:r>
              <w:rPr>
                <w:rFonts w:ascii="Times New Roman" w:hAnsi="Times New Roman"/>
                <w:b/>
                <w:w w:val="130"/>
                <w:sz w:val="18"/>
              </w:rPr>
              <w:t>A</w:t>
            </w:r>
            <w:r>
              <w:rPr>
                <w:rFonts w:ascii="Microsoft JhengHei" w:hAnsi="Microsoft JhengHei"/>
                <w:b/>
                <w:w w:val="130"/>
                <w:sz w:val="18"/>
              </w:rPr>
              <w:t>β</w:t>
            </w:r>
          </w:p>
        </w:tc>
      </w:tr>
      <w:tr>
        <w:trPr>
          <w:trHeight w:val="364" w:hRule="atLeast"/>
        </w:trPr>
        <w:tc>
          <w:tcPr>
            <w:tcW w:w="2366" w:type="dxa"/>
            <w:tcBorders>
              <w:top w:val="single" w:sz="4" w:space="0" w:color="000000"/>
              <w:bottom w:val="single" w:sz="4" w:space="0" w:color="000000"/>
            </w:tcBorders>
          </w:tcPr>
          <w:p>
            <w:pPr>
              <w:pStyle w:val="TableParagraph"/>
              <w:spacing w:before="52"/>
              <w:ind w:left="993" w:right="221"/>
              <w:jc w:val="center"/>
              <w:rPr>
                <w:rFonts w:ascii="Times New Roman"/>
                <w:sz w:val="18"/>
              </w:rPr>
            </w:pPr>
            <w:r>
              <w:rPr>
                <w:rFonts w:ascii="Times New Roman"/>
                <w:sz w:val="18"/>
              </w:rPr>
              <w:t>SHR-1707</w:t>
            </w:r>
          </w:p>
        </w:tc>
        <w:tc>
          <w:tcPr>
            <w:tcW w:w="869" w:type="dxa"/>
            <w:tcBorders>
              <w:top w:val="single" w:sz="4" w:space="0" w:color="000000"/>
              <w:bottom w:val="single" w:sz="4" w:space="0" w:color="000000"/>
            </w:tcBorders>
          </w:tcPr>
          <w:p>
            <w:pPr>
              <w:pStyle w:val="TableParagraph"/>
              <w:spacing w:before="38"/>
              <w:ind w:left="222" w:right="247"/>
              <w:jc w:val="center"/>
              <w:rPr>
                <w:sz w:val="18"/>
              </w:rPr>
            </w:pPr>
            <w:r>
              <w:rPr>
                <w:sz w:val="18"/>
              </w:rPr>
              <w:t>生物</w:t>
            </w:r>
          </w:p>
        </w:tc>
        <w:tc>
          <w:tcPr>
            <w:tcW w:w="3495" w:type="dxa"/>
            <w:tcBorders>
              <w:top w:val="single" w:sz="4" w:space="0" w:color="000000"/>
              <w:bottom w:val="single" w:sz="4" w:space="0" w:color="000000"/>
            </w:tcBorders>
          </w:tcPr>
          <w:p>
            <w:pPr>
              <w:pStyle w:val="TableParagraph"/>
              <w:spacing w:before="38"/>
              <w:ind w:left="249" w:right="355"/>
              <w:jc w:val="center"/>
              <w:rPr>
                <w:sz w:val="18"/>
              </w:rPr>
            </w:pPr>
            <w:r>
              <w:rPr>
                <w:sz w:val="18"/>
              </w:rPr>
              <w:t>恒瑞医药</w:t>
            </w:r>
          </w:p>
        </w:tc>
        <w:tc>
          <w:tcPr>
            <w:tcW w:w="1135" w:type="dxa"/>
            <w:tcBorders>
              <w:top w:val="single" w:sz="4" w:space="0" w:color="000000"/>
              <w:bottom w:val="single" w:sz="4" w:space="0" w:color="000000"/>
            </w:tcBorders>
          </w:tcPr>
          <w:p>
            <w:pPr>
              <w:pStyle w:val="TableParagraph"/>
              <w:spacing w:before="38"/>
              <w:ind w:right="83"/>
              <w:jc w:val="right"/>
              <w:rPr>
                <w:sz w:val="18"/>
              </w:rPr>
            </w:pPr>
            <w:r>
              <w:rPr>
                <w:rFonts w:ascii="Times New Roman" w:eastAsia="Times New Roman"/>
                <w:sz w:val="18"/>
              </w:rPr>
              <w:t>I </w:t>
            </w:r>
            <w:r>
              <w:rPr>
                <w:sz w:val="18"/>
              </w:rPr>
              <w:t>期临床</w:t>
            </w:r>
          </w:p>
        </w:tc>
        <w:tc>
          <w:tcPr>
            <w:tcW w:w="2435" w:type="dxa"/>
            <w:tcBorders>
              <w:top w:val="single" w:sz="4" w:space="0" w:color="000000"/>
              <w:bottom w:val="single" w:sz="4" w:space="0" w:color="000000"/>
            </w:tcBorders>
          </w:tcPr>
          <w:p>
            <w:pPr>
              <w:pStyle w:val="TableParagraph"/>
              <w:spacing w:line="310" w:lineRule="exact"/>
              <w:ind w:left="1314"/>
              <w:rPr>
                <w:rFonts w:ascii="Microsoft JhengHei" w:hAnsi="Microsoft JhengHei"/>
                <w:b/>
                <w:sz w:val="18"/>
              </w:rPr>
            </w:pPr>
            <w:r>
              <w:rPr>
                <w:rFonts w:ascii="Times New Roman" w:hAnsi="Times New Roman"/>
                <w:b/>
                <w:w w:val="130"/>
                <w:sz w:val="18"/>
              </w:rPr>
              <w:t>A</w:t>
            </w:r>
            <w:r>
              <w:rPr>
                <w:rFonts w:ascii="Microsoft JhengHei" w:hAnsi="Microsoft JhengHei"/>
                <w:b/>
                <w:w w:val="130"/>
                <w:sz w:val="18"/>
              </w:rPr>
              <w:t>β</w:t>
            </w:r>
          </w:p>
        </w:tc>
      </w:tr>
      <w:tr>
        <w:trPr>
          <w:trHeight w:val="518" w:hRule="atLeast"/>
        </w:trPr>
        <w:tc>
          <w:tcPr>
            <w:tcW w:w="2366" w:type="dxa"/>
            <w:tcBorders>
              <w:top w:val="single" w:sz="4" w:space="0" w:color="000000"/>
              <w:bottom w:val="single" w:sz="4" w:space="0" w:color="000000"/>
            </w:tcBorders>
          </w:tcPr>
          <w:p>
            <w:pPr>
              <w:pStyle w:val="TableParagraph"/>
              <w:spacing w:before="115"/>
              <w:ind w:left="1022" w:right="253"/>
              <w:jc w:val="center"/>
              <w:rPr>
                <w:sz w:val="18"/>
              </w:rPr>
            </w:pPr>
            <w:r>
              <w:rPr>
                <w:sz w:val="18"/>
              </w:rPr>
              <w:t>美可比林</w:t>
            </w:r>
          </w:p>
        </w:tc>
        <w:tc>
          <w:tcPr>
            <w:tcW w:w="869" w:type="dxa"/>
            <w:tcBorders>
              <w:top w:val="single" w:sz="4" w:space="0" w:color="000000"/>
              <w:bottom w:val="single" w:sz="4" w:space="0" w:color="000000"/>
            </w:tcBorders>
          </w:tcPr>
          <w:p>
            <w:pPr>
              <w:pStyle w:val="TableParagraph"/>
              <w:spacing w:before="115"/>
              <w:ind w:left="222" w:right="247"/>
              <w:jc w:val="center"/>
              <w:rPr>
                <w:sz w:val="18"/>
              </w:rPr>
            </w:pPr>
            <w:r>
              <w:rPr>
                <w:sz w:val="18"/>
              </w:rPr>
              <w:t>化药</w:t>
            </w:r>
          </w:p>
        </w:tc>
        <w:tc>
          <w:tcPr>
            <w:tcW w:w="3495" w:type="dxa"/>
            <w:tcBorders>
              <w:top w:val="single" w:sz="4" w:space="0" w:color="000000"/>
              <w:bottom w:val="single" w:sz="4" w:space="0" w:color="000000"/>
            </w:tcBorders>
          </w:tcPr>
          <w:p>
            <w:pPr>
              <w:pStyle w:val="TableParagraph"/>
              <w:spacing w:before="115"/>
              <w:ind w:left="249" w:right="355"/>
              <w:jc w:val="center"/>
              <w:rPr>
                <w:sz w:val="18"/>
              </w:rPr>
            </w:pPr>
            <w:r>
              <w:rPr>
                <w:sz w:val="18"/>
              </w:rPr>
              <w:t>欧威医药</w:t>
            </w:r>
            <w:r>
              <w:rPr>
                <w:rFonts w:ascii="Times New Roman" w:eastAsia="Times New Roman"/>
                <w:sz w:val="18"/>
              </w:rPr>
              <w:t>;</w:t>
            </w:r>
            <w:r>
              <w:rPr>
                <w:sz w:val="18"/>
              </w:rPr>
              <w:t>先声药业</w:t>
            </w:r>
            <w:r>
              <w:rPr>
                <w:rFonts w:ascii="Times New Roman" w:eastAsia="Times New Roman"/>
                <w:sz w:val="18"/>
              </w:rPr>
              <w:t>;</w:t>
            </w:r>
            <w:r>
              <w:rPr>
                <w:sz w:val="18"/>
              </w:rPr>
              <w:t>宁丹新药</w:t>
            </w:r>
            <w:r>
              <w:rPr>
                <w:rFonts w:ascii="Times New Roman" w:eastAsia="Times New Roman"/>
                <w:sz w:val="18"/>
              </w:rPr>
              <w:t>;</w:t>
            </w:r>
            <w:r>
              <w:rPr>
                <w:sz w:val="18"/>
              </w:rPr>
              <w:t>益诺依</w:t>
            </w:r>
          </w:p>
        </w:tc>
        <w:tc>
          <w:tcPr>
            <w:tcW w:w="1135" w:type="dxa"/>
            <w:tcBorders>
              <w:top w:val="single" w:sz="4" w:space="0" w:color="000000"/>
              <w:bottom w:val="single" w:sz="4" w:space="0" w:color="000000"/>
            </w:tcBorders>
          </w:tcPr>
          <w:p>
            <w:pPr>
              <w:pStyle w:val="TableParagraph"/>
              <w:spacing w:before="115"/>
              <w:ind w:right="83"/>
              <w:jc w:val="right"/>
              <w:rPr>
                <w:sz w:val="18"/>
              </w:rPr>
            </w:pPr>
            <w:r>
              <w:rPr>
                <w:rFonts w:ascii="Times New Roman" w:eastAsia="Times New Roman"/>
                <w:sz w:val="18"/>
              </w:rPr>
              <w:t>I </w:t>
            </w:r>
            <w:r>
              <w:rPr>
                <w:sz w:val="18"/>
              </w:rPr>
              <w:t>期临床</w:t>
            </w:r>
          </w:p>
        </w:tc>
        <w:tc>
          <w:tcPr>
            <w:tcW w:w="2435" w:type="dxa"/>
            <w:tcBorders>
              <w:top w:val="single" w:sz="4" w:space="0" w:color="000000"/>
              <w:bottom w:val="single" w:sz="4" w:space="0" w:color="000000"/>
            </w:tcBorders>
          </w:tcPr>
          <w:p>
            <w:pPr>
              <w:pStyle w:val="TableParagraph"/>
              <w:spacing w:line="207" w:lineRule="exact"/>
              <w:ind w:left="613" w:right="112"/>
              <w:jc w:val="center"/>
              <w:rPr>
                <w:rFonts w:ascii="Times New Roman"/>
                <w:sz w:val="18"/>
              </w:rPr>
            </w:pPr>
            <w:r>
              <w:rPr>
                <w:rFonts w:ascii="Times New Roman"/>
                <w:b/>
                <w:sz w:val="18"/>
              </w:rPr>
              <w:t>Tau</w:t>
            </w:r>
            <w:r>
              <w:rPr>
                <w:rFonts w:ascii="Times New Roman"/>
                <w:sz w:val="18"/>
              </w:rPr>
              <w:t>;TRPML1;calcium</w:t>
            </w:r>
          </w:p>
          <w:p>
            <w:pPr>
              <w:pStyle w:val="TableParagraph"/>
              <w:spacing w:before="52"/>
              <w:ind w:left="613" w:right="111"/>
              <w:jc w:val="center"/>
              <w:rPr>
                <w:rFonts w:ascii="Times New Roman"/>
                <w:sz w:val="18"/>
              </w:rPr>
            </w:pPr>
            <w:r>
              <w:rPr>
                <w:rFonts w:ascii="Times New Roman"/>
                <w:sz w:val="18"/>
              </w:rPr>
              <w:t>channel;AChE</w:t>
            </w:r>
          </w:p>
        </w:tc>
      </w:tr>
      <w:tr>
        <w:trPr>
          <w:trHeight w:val="361" w:hRule="atLeast"/>
        </w:trPr>
        <w:tc>
          <w:tcPr>
            <w:tcW w:w="2366" w:type="dxa"/>
            <w:tcBorders>
              <w:top w:val="single" w:sz="4" w:space="0" w:color="000000"/>
              <w:bottom w:val="single" w:sz="4" w:space="0" w:color="000000"/>
            </w:tcBorders>
          </w:tcPr>
          <w:p>
            <w:pPr>
              <w:pStyle w:val="TableParagraph"/>
              <w:spacing w:before="52"/>
              <w:ind w:left="993" w:right="221"/>
              <w:jc w:val="center"/>
              <w:rPr>
                <w:rFonts w:ascii="Times New Roman"/>
                <w:sz w:val="18"/>
              </w:rPr>
            </w:pPr>
            <w:r>
              <w:rPr>
                <w:rFonts w:ascii="Times New Roman"/>
                <w:sz w:val="18"/>
              </w:rPr>
              <w:t>HECB1701301</w:t>
            </w:r>
          </w:p>
        </w:tc>
        <w:tc>
          <w:tcPr>
            <w:tcW w:w="869" w:type="dxa"/>
            <w:tcBorders>
              <w:top w:val="single" w:sz="4" w:space="0" w:color="000000"/>
              <w:bottom w:val="single" w:sz="4" w:space="0" w:color="000000"/>
            </w:tcBorders>
          </w:tcPr>
          <w:p>
            <w:pPr>
              <w:pStyle w:val="TableParagraph"/>
              <w:spacing w:before="38"/>
              <w:ind w:left="222" w:right="247"/>
              <w:jc w:val="center"/>
              <w:rPr>
                <w:sz w:val="18"/>
              </w:rPr>
            </w:pPr>
            <w:r>
              <w:rPr>
                <w:sz w:val="18"/>
              </w:rPr>
              <w:t>化药</w:t>
            </w:r>
          </w:p>
        </w:tc>
        <w:tc>
          <w:tcPr>
            <w:tcW w:w="3495" w:type="dxa"/>
            <w:tcBorders>
              <w:top w:val="single" w:sz="4" w:space="0" w:color="000000"/>
              <w:bottom w:val="single" w:sz="4" w:space="0" w:color="000000"/>
            </w:tcBorders>
          </w:tcPr>
          <w:p>
            <w:pPr>
              <w:pStyle w:val="TableParagraph"/>
              <w:spacing w:before="38"/>
              <w:ind w:left="249" w:right="355"/>
              <w:jc w:val="center"/>
              <w:rPr>
                <w:sz w:val="18"/>
              </w:rPr>
            </w:pPr>
            <w:r>
              <w:rPr>
                <w:sz w:val="18"/>
              </w:rPr>
              <w:t>东阳光药</w:t>
            </w:r>
          </w:p>
        </w:tc>
        <w:tc>
          <w:tcPr>
            <w:tcW w:w="1135" w:type="dxa"/>
            <w:tcBorders>
              <w:top w:val="single" w:sz="4" w:space="0" w:color="000000"/>
              <w:bottom w:val="single" w:sz="4" w:space="0" w:color="000000"/>
            </w:tcBorders>
          </w:tcPr>
          <w:p>
            <w:pPr>
              <w:pStyle w:val="TableParagraph"/>
              <w:spacing w:before="38"/>
              <w:ind w:right="83"/>
              <w:jc w:val="right"/>
              <w:rPr>
                <w:sz w:val="18"/>
              </w:rPr>
            </w:pPr>
            <w:r>
              <w:rPr>
                <w:rFonts w:ascii="Times New Roman" w:eastAsia="Times New Roman"/>
                <w:sz w:val="18"/>
              </w:rPr>
              <w:t>I </w:t>
            </w:r>
            <w:r>
              <w:rPr>
                <w:sz w:val="18"/>
              </w:rPr>
              <w:t>期临床</w:t>
            </w:r>
          </w:p>
        </w:tc>
        <w:tc>
          <w:tcPr>
            <w:tcW w:w="2435" w:type="dxa"/>
            <w:tcBorders>
              <w:top w:val="single" w:sz="4" w:space="0" w:color="000000"/>
              <w:bottom w:val="single" w:sz="4" w:space="0" w:color="000000"/>
            </w:tcBorders>
          </w:tcPr>
          <w:p>
            <w:pPr>
              <w:pStyle w:val="TableParagraph"/>
              <w:spacing w:before="52"/>
              <w:ind w:right="499"/>
              <w:jc w:val="right"/>
              <w:rPr>
                <w:rFonts w:ascii="Times New Roman"/>
                <w:sz w:val="18"/>
              </w:rPr>
            </w:pPr>
            <w:r>
              <w:rPr>
                <w:rFonts w:ascii="Times New Roman"/>
                <w:sz w:val="18"/>
              </w:rPr>
              <w:t>not available</w:t>
            </w:r>
          </w:p>
        </w:tc>
      </w:tr>
      <w:tr>
        <w:trPr>
          <w:trHeight w:val="552" w:hRule="atLeast"/>
        </w:trPr>
        <w:tc>
          <w:tcPr>
            <w:tcW w:w="2366" w:type="dxa"/>
            <w:tcBorders>
              <w:top w:val="single" w:sz="4" w:space="0" w:color="000000"/>
              <w:bottom w:val="single" w:sz="4" w:space="0" w:color="000000"/>
            </w:tcBorders>
          </w:tcPr>
          <w:p>
            <w:pPr>
              <w:pStyle w:val="TableParagraph"/>
              <w:spacing w:before="132"/>
              <w:ind w:left="1022" w:right="253"/>
              <w:jc w:val="center"/>
              <w:rPr>
                <w:sz w:val="18"/>
              </w:rPr>
            </w:pPr>
            <w:r>
              <w:rPr>
                <w:sz w:val="18"/>
              </w:rPr>
              <w:t>石杉碱甲</w:t>
            </w:r>
          </w:p>
        </w:tc>
        <w:tc>
          <w:tcPr>
            <w:tcW w:w="869" w:type="dxa"/>
            <w:tcBorders>
              <w:top w:val="single" w:sz="4" w:space="0" w:color="000000"/>
              <w:bottom w:val="single" w:sz="4" w:space="0" w:color="000000"/>
            </w:tcBorders>
          </w:tcPr>
          <w:p>
            <w:pPr>
              <w:pStyle w:val="TableParagraph"/>
              <w:spacing w:before="132"/>
              <w:ind w:left="222" w:right="247"/>
              <w:jc w:val="center"/>
              <w:rPr>
                <w:sz w:val="18"/>
              </w:rPr>
            </w:pPr>
            <w:r>
              <w:rPr>
                <w:sz w:val="18"/>
              </w:rPr>
              <w:t>化药</w:t>
            </w:r>
          </w:p>
        </w:tc>
        <w:tc>
          <w:tcPr>
            <w:tcW w:w="3495" w:type="dxa"/>
            <w:tcBorders>
              <w:top w:val="single" w:sz="4" w:space="0" w:color="000000"/>
              <w:bottom w:val="single" w:sz="4" w:space="0" w:color="000000"/>
            </w:tcBorders>
          </w:tcPr>
          <w:p>
            <w:pPr>
              <w:pStyle w:val="TableParagraph"/>
              <w:spacing w:before="2"/>
              <w:ind w:left="247" w:right="355"/>
              <w:jc w:val="center"/>
              <w:rPr>
                <w:rFonts w:ascii="Times New Roman" w:eastAsia="Times New Roman"/>
                <w:sz w:val="18"/>
              </w:rPr>
            </w:pPr>
            <w:r>
              <w:rPr>
                <w:sz w:val="18"/>
              </w:rPr>
              <w:t>上海药物研究所</w:t>
            </w:r>
            <w:r>
              <w:rPr>
                <w:rFonts w:ascii="Times New Roman" w:eastAsia="Times New Roman"/>
                <w:sz w:val="18"/>
              </w:rPr>
              <w:t>;Biscayne</w:t>
            </w:r>
          </w:p>
          <w:p>
            <w:pPr>
              <w:pStyle w:val="TableParagraph"/>
              <w:spacing w:before="60"/>
              <w:ind w:left="248" w:right="355"/>
              <w:jc w:val="center"/>
              <w:rPr>
                <w:rFonts w:ascii="Times New Roman"/>
                <w:sz w:val="18"/>
              </w:rPr>
            </w:pPr>
            <w:r>
              <w:rPr>
                <w:rFonts w:ascii="Times New Roman"/>
                <w:sz w:val="18"/>
              </w:rPr>
              <w:t>Neurotherapeutics</w:t>
            </w:r>
          </w:p>
        </w:tc>
        <w:tc>
          <w:tcPr>
            <w:tcW w:w="1135" w:type="dxa"/>
            <w:tcBorders>
              <w:top w:val="single" w:sz="4" w:space="0" w:color="000000"/>
              <w:bottom w:val="single" w:sz="4" w:space="0" w:color="000000"/>
            </w:tcBorders>
          </w:tcPr>
          <w:p>
            <w:pPr>
              <w:pStyle w:val="TableParagraph"/>
              <w:spacing w:before="132"/>
              <w:ind w:right="83"/>
              <w:jc w:val="right"/>
              <w:rPr>
                <w:sz w:val="18"/>
              </w:rPr>
            </w:pPr>
            <w:r>
              <w:rPr>
                <w:rFonts w:ascii="Times New Roman" w:eastAsia="Times New Roman"/>
                <w:sz w:val="18"/>
              </w:rPr>
              <w:t>I </w:t>
            </w:r>
            <w:r>
              <w:rPr>
                <w:sz w:val="18"/>
              </w:rPr>
              <w:t>期临床</w:t>
            </w:r>
          </w:p>
        </w:tc>
        <w:tc>
          <w:tcPr>
            <w:tcW w:w="2435" w:type="dxa"/>
            <w:tcBorders>
              <w:top w:val="single" w:sz="4" w:space="0" w:color="000000"/>
              <w:bottom w:val="single" w:sz="4" w:space="0" w:color="000000"/>
            </w:tcBorders>
          </w:tcPr>
          <w:p>
            <w:pPr>
              <w:pStyle w:val="TableParagraph"/>
              <w:spacing w:before="146"/>
              <w:ind w:left="1242"/>
              <w:rPr>
                <w:rFonts w:ascii="Times New Roman"/>
                <w:sz w:val="18"/>
              </w:rPr>
            </w:pPr>
            <w:r>
              <w:rPr>
                <w:rFonts w:ascii="Times New Roman"/>
                <w:sz w:val="18"/>
              </w:rPr>
              <w:t>AChE</w:t>
            </w:r>
          </w:p>
        </w:tc>
      </w:tr>
      <w:tr>
        <w:trPr>
          <w:trHeight w:val="361" w:hRule="atLeast"/>
        </w:trPr>
        <w:tc>
          <w:tcPr>
            <w:tcW w:w="2366" w:type="dxa"/>
            <w:tcBorders>
              <w:top w:val="single" w:sz="4" w:space="0" w:color="000000"/>
              <w:bottom w:val="single" w:sz="4" w:space="0" w:color="000000"/>
            </w:tcBorders>
          </w:tcPr>
          <w:p>
            <w:pPr>
              <w:pStyle w:val="TableParagraph"/>
              <w:spacing w:before="52"/>
              <w:ind w:left="1022" w:right="253"/>
              <w:jc w:val="center"/>
              <w:rPr>
                <w:rFonts w:ascii="Times New Roman"/>
                <w:sz w:val="18"/>
              </w:rPr>
            </w:pPr>
            <w:r>
              <w:rPr>
                <w:rFonts w:ascii="Times New Roman"/>
                <w:sz w:val="18"/>
              </w:rPr>
              <w:t>JNJ-63733657</w:t>
            </w:r>
          </w:p>
        </w:tc>
        <w:tc>
          <w:tcPr>
            <w:tcW w:w="869" w:type="dxa"/>
            <w:tcBorders>
              <w:top w:val="single" w:sz="4" w:space="0" w:color="000000"/>
              <w:bottom w:val="single" w:sz="4" w:space="0" w:color="000000"/>
            </w:tcBorders>
          </w:tcPr>
          <w:p>
            <w:pPr>
              <w:pStyle w:val="TableParagraph"/>
              <w:spacing w:before="38"/>
              <w:ind w:left="222" w:right="247"/>
              <w:jc w:val="center"/>
              <w:rPr>
                <w:sz w:val="18"/>
              </w:rPr>
            </w:pPr>
            <w:r>
              <w:rPr>
                <w:sz w:val="18"/>
              </w:rPr>
              <w:t>生物</w:t>
            </w:r>
          </w:p>
        </w:tc>
        <w:tc>
          <w:tcPr>
            <w:tcW w:w="3495" w:type="dxa"/>
            <w:tcBorders>
              <w:top w:val="single" w:sz="4" w:space="0" w:color="000000"/>
              <w:bottom w:val="single" w:sz="4" w:space="0" w:color="000000"/>
            </w:tcBorders>
          </w:tcPr>
          <w:p>
            <w:pPr>
              <w:pStyle w:val="TableParagraph"/>
              <w:spacing w:before="52"/>
              <w:ind w:left="248" w:right="355"/>
              <w:jc w:val="center"/>
              <w:rPr>
                <w:rFonts w:ascii="Times New Roman"/>
                <w:sz w:val="18"/>
              </w:rPr>
            </w:pPr>
            <w:r>
              <w:rPr>
                <w:rFonts w:ascii="Times New Roman"/>
                <w:sz w:val="18"/>
              </w:rPr>
              <w:t>Johnson &amp; Johnson</w:t>
            </w:r>
          </w:p>
        </w:tc>
        <w:tc>
          <w:tcPr>
            <w:tcW w:w="1135" w:type="dxa"/>
            <w:tcBorders>
              <w:top w:val="single" w:sz="4" w:space="0" w:color="000000"/>
              <w:bottom w:val="single" w:sz="4" w:space="0" w:color="000000"/>
            </w:tcBorders>
          </w:tcPr>
          <w:p>
            <w:pPr>
              <w:pStyle w:val="TableParagraph"/>
              <w:spacing w:before="38"/>
              <w:ind w:right="83"/>
              <w:jc w:val="right"/>
              <w:rPr>
                <w:sz w:val="18"/>
              </w:rPr>
            </w:pPr>
            <w:r>
              <w:rPr>
                <w:rFonts w:ascii="Times New Roman" w:eastAsia="Times New Roman"/>
                <w:sz w:val="18"/>
              </w:rPr>
              <w:t>I </w:t>
            </w:r>
            <w:r>
              <w:rPr>
                <w:sz w:val="18"/>
              </w:rPr>
              <w:t>期临床</w:t>
            </w:r>
          </w:p>
        </w:tc>
        <w:tc>
          <w:tcPr>
            <w:tcW w:w="2435" w:type="dxa"/>
            <w:tcBorders>
              <w:top w:val="single" w:sz="4" w:space="0" w:color="000000"/>
              <w:bottom w:val="single" w:sz="4" w:space="0" w:color="000000"/>
            </w:tcBorders>
          </w:tcPr>
          <w:p>
            <w:pPr>
              <w:pStyle w:val="TableParagraph"/>
              <w:spacing w:before="52"/>
              <w:ind w:left="613" w:right="108"/>
              <w:jc w:val="center"/>
              <w:rPr>
                <w:rFonts w:ascii="Times New Roman"/>
                <w:sz w:val="18"/>
              </w:rPr>
            </w:pPr>
            <w:r>
              <w:rPr>
                <w:rFonts w:ascii="Times New Roman"/>
                <w:sz w:val="18"/>
              </w:rPr>
              <w:t>Tau</w:t>
            </w:r>
          </w:p>
        </w:tc>
      </w:tr>
      <w:tr>
        <w:trPr>
          <w:trHeight w:val="267" w:hRule="atLeast"/>
        </w:trPr>
        <w:tc>
          <w:tcPr>
            <w:tcW w:w="6730" w:type="dxa"/>
            <w:gridSpan w:val="3"/>
          </w:tcPr>
          <w:p>
            <w:pPr>
              <w:pStyle w:val="TableParagraph"/>
              <w:spacing w:before="2"/>
              <w:ind w:left="938" w:right="573"/>
              <w:jc w:val="center"/>
              <w:rPr>
                <w:sz w:val="18"/>
              </w:rPr>
            </w:pPr>
            <w:r>
              <w:rPr>
                <w:sz w:val="18"/>
              </w:rPr>
              <w:t>资料来源：</w:t>
            </w:r>
            <w:r>
              <w:rPr>
                <w:rFonts w:ascii="Times New Roman" w:hAnsi="Times New Roman" w:eastAsia="Times New Roman"/>
                <w:sz w:val="18"/>
              </w:rPr>
              <w:t>NextPharma</w:t>
            </w:r>
            <w:r>
              <w:rPr>
                <w:rFonts w:ascii="Times New Roman" w:hAnsi="Times New Roman" w:eastAsia="Times New Roman"/>
                <w:sz w:val="18"/>
                <w:vertAlign w:val="superscript"/>
              </w:rPr>
              <w:t>®</w:t>
            </w:r>
            <w:r>
              <w:rPr>
                <w:sz w:val="18"/>
                <w:vertAlign w:val="baseline"/>
              </w:rPr>
              <w:t>数据库，兴业证券经济与金融研究院整理</w:t>
            </w:r>
          </w:p>
        </w:tc>
        <w:tc>
          <w:tcPr>
            <w:tcW w:w="1135" w:type="dxa"/>
            <w:tcBorders>
              <w:top w:val="single" w:sz="4" w:space="0" w:color="000000"/>
            </w:tcBorders>
          </w:tcPr>
          <w:p>
            <w:pPr>
              <w:pStyle w:val="TableParagraph"/>
              <w:rPr>
                <w:rFonts w:ascii="Times New Roman"/>
                <w:sz w:val="18"/>
              </w:rPr>
            </w:pPr>
          </w:p>
        </w:tc>
        <w:tc>
          <w:tcPr>
            <w:tcW w:w="2435" w:type="dxa"/>
            <w:tcBorders>
              <w:top w:val="single" w:sz="4" w:space="0" w:color="000000"/>
            </w:tcBorders>
          </w:tcPr>
          <w:p>
            <w:pPr>
              <w:pStyle w:val="TableParagraph"/>
              <w:rPr>
                <w:rFonts w:ascii="Times New Roman"/>
                <w:sz w:val="18"/>
              </w:rPr>
            </w:pPr>
          </w:p>
        </w:tc>
      </w:tr>
      <w:tr>
        <w:trPr>
          <w:trHeight w:val="246" w:hRule="atLeast"/>
        </w:trPr>
        <w:tc>
          <w:tcPr>
            <w:tcW w:w="6730" w:type="dxa"/>
            <w:gridSpan w:val="3"/>
          </w:tcPr>
          <w:p>
            <w:pPr>
              <w:pStyle w:val="TableParagraph"/>
              <w:spacing w:line="199" w:lineRule="exact" w:before="27"/>
              <w:ind w:left="409" w:right="597"/>
              <w:jc w:val="center"/>
              <w:rPr>
                <w:sz w:val="18"/>
              </w:rPr>
            </w:pPr>
            <w:r>
              <w:rPr>
                <w:sz w:val="18"/>
              </w:rPr>
              <w:t>注：康弘药业的 </w:t>
            </w:r>
            <w:r>
              <w:rPr>
                <w:rFonts w:ascii="Times New Roman" w:eastAsia="Times New Roman"/>
                <w:sz w:val="18"/>
              </w:rPr>
              <w:t>KH110 </w:t>
            </w:r>
            <w:r>
              <w:rPr>
                <w:sz w:val="18"/>
              </w:rPr>
              <w:t>为根据公司官网信息进行手动增补</w:t>
            </w:r>
          </w:p>
        </w:tc>
        <w:tc>
          <w:tcPr>
            <w:tcW w:w="1135" w:type="dxa"/>
          </w:tcPr>
          <w:p>
            <w:pPr>
              <w:pStyle w:val="TableParagraph"/>
              <w:rPr>
                <w:rFonts w:ascii="Times New Roman"/>
                <w:sz w:val="16"/>
              </w:rPr>
            </w:pPr>
          </w:p>
        </w:tc>
        <w:tc>
          <w:tcPr>
            <w:tcW w:w="2435" w:type="dxa"/>
          </w:tcPr>
          <w:p>
            <w:pPr>
              <w:pStyle w:val="TableParagraph"/>
              <w:rPr>
                <w:rFonts w:ascii="Times New Roman"/>
                <w:sz w:val="16"/>
              </w:rPr>
            </w:pPr>
          </w:p>
        </w:tc>
      </w:tr>
    </w:tbl>
    <w:p>
      <w:pPr>
        <w:pStyle w:val="BodyText"/>
        <w:rPr>
          <w:sz w:val="20"/>
        </w:rPr>
      </w:pPr>
    </w:p>
    <w:p>
      <w:pPr>
        <w:pStyle w:val="Heading2"/>
        <w:numPr>
          <w:ilvl w:val="2"/>
          <w:numId w:val="3"/>
        </w:numPr>
        <w:tabs>
          <w:tab w:pos="3772" w:val="left" w:leader="none"/>
        </w:tabs>
        <w:spacing w:line="437" w:lineRule="exact" w:before="0" w:after="0"/>
        <w:ind w:left="3771" w:right="0" w:hanging="609"/>
        <w:jc w:val="left"/>
        <w:rPr>
          <w:rFonts w:ascii="Times New Roman" w:eastAsia="Times New Roman"/>
          <w:color w:val="333366"/>
        </w:rPr>
      </w:pPr>
      <w:bookmarkStart w:name="_bookmark47" w:id="66"/>
      <w:bookmarkEnd w:id="66"/>
      <w:r>
        <w:rPr>
          <w:b w:val="0"/>
        </w:rPr>
      </w:r>
      <w:bookmarkStart w:name="_bookmark47" w:id="67"/>
      <w:bookmarkEnd w:id="67"/>
      <w:r>
        <w:rPr>
          <w:color w:val="333366"/>
        </w:rPr>
        <w:t>非药物干预</w:t>
      </w:r>
    </w:p>
    <w:p>
      <w:pPr>
        <w:pStyle w:val="Heading3"/>
        <w:spacing w:before="143"/>
        <w:ind w:left="3163"/>
      </w:pPr>
      <w:r>
        <w:rPr>
          <w:rFonts w:ascii="Times New Roman" w:eastAsia="Times New Roman"/>
        </w:rPr>
        <w:t>2.2.2.1. </w:t>
      </w:r>
      <w:r>
        <w:rPr/>
        <w:t>脑刺激装置</w:t>
      </w:r>
    </w:p>
    <w:p>
      <w:pPr>
        <w:pStyle w:val="BodyText"/>
        <w:spacing w:line="304" w:lineRule="auto" w:before="24"/>
        <w:ind w:left="3163" w:right="618"/>
      </w:pPr>
      <w:r>
        <w:rPr>
          <w:spacing w:val="-6"/>
        </w:rPr>
        <w:t>神经调控治疗应用于治疗 </w:t>
      </w:r>
      <w:r>
        <w:rPr>
          <w:rFonts w:ascii="Times New Roman" w:eastAsia="Times New Roman"/>
        </w:rPr>
        <w:t>AD </w:t>
      </w:r>
      <w:r>
        <w:rPr>
          <w:spacing w:val="-3"/>
        </w:rPr>
        <w:t>是国内外近年来发展较快的领域，其分为侵入性脑</w:t>
      </w:r>
      <w:r>
        <w:rPr>
          <w:spacing w:val="-8"/>
        </w:rPr>
        <w:t>刺激和非侵入性脑刺激。脑刺激装置包括 </w:t>
      </w:r>
      <w:r>
        <w:rPr>
          <w:rFonts w:ascii="Times New Roman" w:eastAsia="Times New Roman"/>
          <w:spacing w:val="-12"/>
        </w:rPr>
        <w:t>1</w:t>
      </w:r>
      <w:r>
        <w:rPr>
          <w:spacing w:val="-12"/>
        </w:rPr>
        <w:t>）</w:t>
      </w:r>
      <w:r>
        <w:rPr>
          <w:rFonts w:ascii="Times New Roman" w:eastAsia="Times New Roman"/>
          <w:spacing w:val="-12"/>
        </w:rPr>
        <w:t>DBS</w:t>
      </w:r>
      <w:r>
        <w:rPr>
          <w:spacing w:val="-7"/>
        </w:rPr>
        <w:t>：通过立体定位技术，在大脑内</w:t>
      </w:r>
      <w:r>
        <w:rPr>
          <w:spacing w:val="-10"/>
        </w:rPr>
        <w:t>特定的靶点植入刺激电极进行高频电刺激，从而调节核团兴奋性以达到治疗目的。</w:t>
      </w:r>
      <w:r>
        <w:rPr>
          <w:spacing w:val="10"/>
        </w:rPr>
        <w:t>前提是需要确定刺激的精确的大脑区域，才能进行安全有效的治疗。穹窿和</w:t>
      </w:r>
      <w:r>
        <w:rPr>
          <w:rFonts w:ascii="Times New Roman" w:eastAsia="Times New Roman"/>
          <w:spacing w:val="10"/>
        </w:rPr>
        <w:t>Meynert</w:t>
      </w:r>
      <w:r>
        <w:rPr>
          <w:rFonts w:ascii="Times New Roman" w:eastAsia="Times New Roman"/>
          <w:spacing w:val="19"/>
        </w:rPr>
        <w:t> </w:t>
      </w:r>
      <w:r>
        <w:rPr>
          <w:spacing w:val="-3"/>
        </w:rPr>
        <w:t>的基底核</w:t>
      </w:r>
      <w:r>
        <w:rPr/>
        <w:t>（</w:t>
      </w:r>
      <w:r>
        <w:rPr>
          <w:rFonts w:ascii="Times New Roman" w:eastAsia="Times New Roman"/>
        </w:rPr>
        <w:t>NBM</w:t>
      </w:r>
      <w:r>
        <w:rPr/>
        <w:t>）</w:t>
      </w:r>
      <w:r>
        <w:rPr>
          <w:spacing w:val="-10"/>
        </w:rPr>
        <w:t>被认为是 </w:t>
      </w:r>
      <w:r>
        <w:rPr>
          <w:rFonts w:ascii="Times New Roman" w:eastAsia="Times New Roman"/>
        </w:rPr>
        <w:t>DBS </w:t>
      </w:r>
      <w:r>
        <w:rPr>
          <w:spacing w:val="-3"/>
        </w:rPr>
        <w:t>的目标区域。</w:t>
      </w:r>
      <w:r>
        <w:rPr>
          <w:rFonts w:ascii="Times New Roman" w:eastAsia="Times New Roman"/>
        </w:rPr>
        <w:t>2</w:t>
      </w:r>
      <w:r>
        <w:rPr/>
        <w:t>）</w:t>
      </w:r>
      <w:r>
        <w:rPr>
          <w:rFonts w:ascii="Times New Roman" w:eastAsia="Times New Roman"/>
        </w:rPr>
        <w:t>VNS</w:t>
      </w:r>
      <w:r>
        <w:rPr>
          <w:spacing w:val="-3"/>
        </w:rPr>
        <w:t>：迷走神经刺激分为侵入性</w:t>
      </w:r>
      <w:r>
        <w:rPr/>
        <w:t>（</w:t>
      </w:r>
      <w:r>
        <w:rPr>
          <w:rFonts w:ascii="Times New Roman" w:eastAsia="Times New Roman"/>
        </w:rPr>
        <w:t>iVNS</w:t>
      </w:r>
      <w:r>
        <w:rPr/>
        <w:t>）</w:t>
      </w:r>
      <w:r>
        <w:rPr>
          <w:spacing w:val="-3"/>
        </w:rPr>
        <w:t>和非侵入性方法</w:t>
      </w:r>
      <w:r>
        <w:rPr/>
        <w:t>（</w:t>
      </w:r>
      <w:r>
        <w:rPr>
          <w:rFonts w:ascii="Times New Roman" w:eastAsia="Times New Roman"/>
        </w:rPr>
        <w:t>nVNS</w:t>
      </w:r>
      <w:r>
        <w:rPr/>
        <w:t>），</w:t>
      </w:r>
      <w:r>
        <w:rPr>
          <w:rFonts w:ascii="Times New Roman" w:eastAsia="Times New Roman"/>
        </w:rPr>
        <w:t>iVNS </w:t>
      </w:r>
      <w:r>
        <w:rPr>
          <w:spacing w:val="-12"/>
        </w:rPr>
        <w:t>治疗 </w:t>
      </w:r>
      <w:r>
        <w:rPr>
          <w:rFonts w:ascii="Times New Roman" w:eastAsia="Times New Roman"/>
        </w:rPr>
        <w:t>12 </w:t>
      </w:r>
      <w:r>
        <w:rPr>
          <w:spacing w:val="-3"/>
        </w:rPr>
        <w:t>个月后，估计有</w:t>
      </w:r>
      <w:r>
        <w:rPr>
          <w:rFonts w:ascii="Times New Roman" w:eastAsia="Times New Roman"/>
          <w:spacing w:val="-3"/>
        </w:rPr>
        <w:t>70%</w:t>
      </w:r>
      <w:r>
        <w:rPr>
          <w:spacing w:val="-4"/>
        </w:rPr>
        <w:t>的患者认知表现稳定或改善；</w:t>
      </w:r>
      <w:r>
        <w:rPr>
          <w:rFonts w:ascii="Times New Roman" w:eastAsia="Times New Roman"/>
          <w:spacing w:val="-11"/>
        </w:rPr>
        <w:t>nVNS </w:t>
      </w:r>
      <w:r>
        <w:rPr>
          <w:spacing w:val="-24"/>
        </w:rPr>
        <w:t>在 </w:t>
      </w:r>
      <w:r>
        <w:rPr>
          <w:rFonts w:ascii="Times New Roman" w:eastAsia="Times New Roman"/>
        </w:rPr>
        <w:t>AD </w:t>
      </w:r>
      <w:r>
        <w:rPr>
          <w:spacing w:val="-9"/>
        </w:rPr>
        <w:t>治疗中的潜力，但临床证据仍然缺乏。</w:t>
      </w:r>
      <w:r>
        <w:rPr>
          <w:rFonts w:ascii="Times New Roman" w:eastAsia="Times New Roman"/>
          <w:spacing w:val="-9"/>
        </w:rPr>
        <w:t>3</w:t>
      </w:r>
      <w:r>
        <w:rPr>
          <w:spacing w:val="-9"/>
        </w:rPr>
        <w:t>）</w:t>
      </w:r>
      <w:r>
        <w:rPr>
          <w:rFonts w:ascii="Times New Roman" w:eastAsia="Times New Roman"/>
          <w:spacing w:val="-9"/>
        </w:rPr>
        <w:t>rTMS</w:t>
      </w:r>
      <w:r>
        <w:rPr>
          <w:spacing w:val="-5"/>
        </w:rPr>
        <w:t>：左侧背外侧前额叶皮质</w:t>
      </w:r>
      <w:r>
        <w:rPr/>
        <w:t>（</w:t>
      </w:r>
      <w:r>
        <w:rPr>
          <w:rFonts w:ascii="Times New Roman" w:eastAsia="Times New Roman"/>
        </w:rPr>
        <w:t>DLPFC</w:t>
      </w:r>
      <w:r>
        <w:rPr/>
        <w:t>）</w:t>
      </w:r>
      <w:r>
        <w:rPr>
          <w:spacing w:val="-7"/>
        </w:rPr>
        <w:t>刺激似乎是 </w:t>
      </w:r>
      <w:r>
        <w:rPr>
          <w:rFonts w:ascii="Times New Roman" w:eastAsia="Times New Roman"/>
        </w:rPr>
        <w:t>AD </w:t>
      </w:r>
      <w:r>
        <w:rPr>
          <w:spacing w:val="-3"/>
        </w:rPr>
        <w:t>治疗中最流行最有希望的方案。</w:t>
      </w:r>
      <w:r>
        <w:rPr>
          <w:rFonts w:ascii="Times New Roman" w:eastAsia="Times New Roman"/>
        </w:rPr>
        <w:t>2 </w:t>
      </w:r>
      <w:r>
        <w:rPr>
          <w:spacing w:val="-21"/>
        </w:rPr>
        <w:t>周 </w:t>
      </w:r>
      <w:r>
        <w:rPr>
          <w:rFonts w:ascii="Times New Roman" w:eastAsia="Times New Roman"/>
        </w:rPr>
        <w:t>20Hz rTMS </w:t>
      </w:r>
      <w:r>
        <w:rPr>
          <w:spacing w:val="-3"/>
        </w:rPr>
        <w:t>治疗可改善语言表现，</w:t>
      </w:r>
      <w:r>
        <w:rPr>
          <w:rFonts w:ascii="Times New Roman" w:eastAsia="Times New Roman"/>
        </w:rPr>
        <w:t>4 </w:t>
      </w:r>
      <w:r>
        <w:rPr>
          <w:spacing w:val="-3"/>
        </w:rPr>
        <w:t>周干预带来更大的变</w:t>
      </w:r>
      <w:r>
        <w:rPr>
          <w:spacing w:val="-10"/>
        </w:rPr>
        <w:t>化和更持久的效果。</w:t>
      </w:r>
      <w:r>
        <w:rPr>
          <w:rFonts w:ascii="Times New Roman" w:eastAsia="Times New Roman"/>
        </w:rPr>
        <w:t>rTMS </w:t>
      </w:r>
      <w:r>
        <w:rPr>
          <w:spacing w:val="-9"/>
        </w:rPr>
        <w:t>已经获得《阿尔茨海默病源性轻度认知障碍诊疗中国专</w:t>
      </w:r>
      <w:r>
        <w:rPr>
          <w:spacing w:val="-15"/>
        </w:rPr>
        <w:t>家共识 </w:t>
      </w:r>
      <w:r>
        <w:rPr>
          <w:rFonts w:ascii="Times New Roman" w:eastAsia="Times New Roman"/>
        </w:rPr>
        <w:t>2021</w:t>
      </w:r>
      <w:r>
        <w:rPr>
          <w:spacing w:val="-11"/>
        </w:rPr>
        <w:t>》推荐。</w:t>
      </w:r>
      <w:r>
        <w:rPr>
          <w:rFonts w:ascii="Times New Roman" w:eastAsia="Times New Roman"/>
          <w:spacing w:val="-5"/>
        </w:rPr>
        <w:t>4</w:t>
      </w:r>
      <w:r>
        <w:rPr>
          <w:spacing w:val="-5"/>
        </w:rPr>
        <w:t>）</w:t>
      </w:r>
      <w:r>
        <w:rPr>
          <w:rFonts w:ascii="Times New Roman" w:eastAsia="Times New Roman"/>
          <w:spacing w:val="-5"/>
        </w:rPr>
        <w:t>tDCS/tACS</w:t>
      </w:r>
      <w:r>
        <w:rPr>
          <w:spacing w:val="-7"/>
        </w:rPr>
        <w:t>：经颅直流电刺激是治疗 </w:t>
      </w:r>
      <w:r>
        <w:rPr>
          <w:rFonts w:ascii="Times New Roman" w:eastAsia="Times New Roman"/>
        </w:rPr>
        <w:t>AD </w:t>
      </w:r>
      <w:r>
        <w:rPr>
          <w:spacing w:val="-3"/>
        </w:rPr>
        <w:t>最常用的经颅电</w:t>
      </w:r>
      <w:r>
        <w:rPr>
          <w:spacing w:val="-10"/>
        </w:rPr>
        <w:t>刺激选择。对 </w:t>
      </w:r>
      <w:r>
        <w:rPr>
          <w:rFonts w:ascii="Times New Roman" w:eastAsia="Times New Roman"/>
        </w:rPr>
        <w:t>AD </w:t>
      </w:r>
      <w:r>
        <w:rPr>
          <w:spacing w:val="-23"/>
        </w:rPr>
        <w:t>中 </w:t>
      </w:r>
      <w:r>
        <w:rPr>
          <w:rFonts w:ascii="Times New Roman" w:eastAsia="Times New Roman"/>
        </w:rPr>
        <w:t>tDCS </w:t>
      </w:r>
      <w:r>
        <w:rPr>
          <w:spacing w:val="-6"/>
        </w:rPr>
        <w:t>的研究集中在几个靶向区域：左 </w:t>
      </w:r>
      <w:r>
        <w:rPr>
          <w:rFonts w:ascii="Times New Roman" w:eastAsia="Times New Roman"/>
        </w:rPr>
        <w:t>DLPFC</w:t>
      </w:r>
      <w:r>
        <w:rPr>
          <w:spacing w:val="-3"/>
        </w:rPr>
        <w:t>、左颞叶和颞顶叶。</w:t>
      </w:r>
    </w:p>
    <w:p>
      <w:pPr>
        <w:spacing w:after="0" w:line="304" w:lineRule="auto"/>
        <w:sectPr>
          <w:headerReference w:type="default" r:id="rId48"/>
          <w:footerReference w:type="default" r:id="rId49"/>
          <w:pgSz w:w="11910" w:h="16840"/>
          <w:pgMar w:header="868" w:footer="1201" w:top="1400" w:bottom="1400" w:left="240" w:right="400"/>
        </w:sectPr>
      </w:pPr>
    </w:p>
    <w:p>
      <w:pPr>
        <w:pStyle w:val="BodyText"/>
        <w:spacing w:before="4"/>
        <w:rPr>
          <w:sz w:val="13"/>
        </w:rPr>
      </w:pPr>
    </w:p>
    <w:tbl>
      <w:tblPr>
        <w:tblW w:w="0" w:type="auto"/>
        <w:jc w:val="left"/>
        <w:tblInd w:w="6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05"/>
        <w:gridCol w:w="8960"/>
      </w:tblGrid>
      <w:tr>
        <w:trPr>
          <w:trHeight w:val="383" w:hRule="atLeast"/>
        </w:trPr>
        <w:tc>
          <w:tcPr>
            <w:tcW w:w="1205" w:type="dxa"/>
            <w:tcBorders>
              <w:top w:val="single" w:sz="6" w:space="0" w:color="333366"/>
            </w:tcBorders>
          </w:tcPr>
          <w:p>
            <w:pPr>
              <w:pStyle w:val="TableParagraph"/>
              <w:rPr>
                <w:rFonts w:ascii="Times New Roman"/>
                <w:sz w:val="20"/>
              </w:rPr>
            </w:pPr>
          </w:p>
        </w:tc>
        <w:tc>
          <w:tcPr>
            <w:tcW w:w="8960" w:type="dxa"/>
            <w:tcBorders>
              <w:top w:val="single" w:sz="6" w:space="0" w:color="333366"/>
              <w:bottom w:val="single" w:sz="4" w:space="0" w:color="000000"/>
            </w:tcBorders>
          </w:tcPr>
          <w:p>
            <w:pPr>
              <w:pStyle w:val="TableParagraph"/>
              <w:spacing w:line="318" w:lineRule="exact"/>
              <w:ind w:left="108"/>
              <w:rPr>
                <w:rFonts w:ascii="Microsoft JhengHei" w:eastAsia="Microsoft JhengHei" w:hint="eastAsia"/>
                <w:b/>
                <w:sz w:val="21"/>
              </w:rPr>
            </w:pPr>
            <w:bookmarkStart w:name="_bookmark48" w:id="68"/>
            <w:bookmarkEnd w:id="68"/>
            <w:r>
              <w:rPr/>
            </w:r>
            <w:r>
              <w:rPr>
                <w:rFonts w:ascii="Microsoft JhengHei" w:eastAsia="Microsoft JhengHei" w:hint="eastAsia"/>
                <w:b/>
                <w:sz w:val="21"/>
              </w:rPr>
              <w:t>图 </w:t>
            </w:r>
            <w:r>
              <w:rPr>
                <w:rFonts w:ascii="Times New Roman" w:eastAsia="Times New Roman"/>
                <w:b/>
                <w:sz w:val="21"/>
              </w:rPr>
              <w:t>21</w:t>
            </w:r>
            <w:r>
              <w:rPr>
                <w:rFonts w:ascii="Microsoft JhengHei" w:eastAsia="Microsoft JhengHei" w:hint="eastAsia"/>
                <w:b/>
                <w:sz w:val="21"/>
              </w:rPr>
              <w:t>、脑刺激装置示意图</w:t>
            </w:r>
          </w:p>
        </w:tc>
      </w:tr>
      <w:tr>
        <w:trPr>
          <w:trHeight w:val="4092" w:hRule="atLeast"/>
        </w:trPr>
        <w:tc>
          <w:tcPr>
            <w:tcW w:w="1205" w:type="dxa"/>
          </w:tcPr>
          <w:p>
            <w:pPr>
              <w:pStyle w:val="TableParagraph"/>
              <w:rPr>
                <w:rFonts w:ascii="Times New Roman"/>
                <w:sz w:val="20"/>
              </w:rPr>
            </w:pPr>
          </w:p>
        </w:tc>
        <w:tc>
          <w:tcPr>
            <w:tcW w:w="8960" w:type="dxa"/>
            <w:tcBorders>
              <w:top w:val="single" w:sz="4" w:space="0" w:color="000000"/>
              <w:bottom w:val="single" w:sz="4" w:space="0" w:color="000000"/>
            </w:tcBorders>
          </w:tcPr>
          <w:p>
            <w:pPr>
              <w:pStyle w:val="TableParagraph"/>
              <w:spacing w:before="2"/>
              <w:rPr>
                <w:sz w:val="15"/>
              </w:rPr>
            </w:pPr>
          </w:p>
          <w:p>
            <w:pPr>
              <w:pStyle w:val="TableParagraph"/>
              <w:ind w:left="398"/>
              <w:rPr>
                <w:sz w:val="20"/>
              </w:rPr>
            </w:pPr>
            <w:r>
              <w:rPr>
                <w:sz w:val="20"/>
              </w:rPr>
              <w:drawing>
                <wp:inline distT="0" distB="0" distL="0" distR="0">
                  <wp:extent cx="5153972" cy="2377439"/>
                  <wp:effectExtent l="0" t="0" r="0" b="0"/>
                  <wp:docPr id="55" name="image26.jpeg"/>
                  <wp:cNvGraphicFramePr>
                    <a:graphicFrameLocks noChangeAspect="1"/>
                  </wp:cNvGraphicFramePr>
                  <a:graphic>
                    <a:graphicData uri="http://schemas.openxmlformats.org/drawingml/2006/picture">
                      <pic:pic>
                        <pic:nvPicPr>
                          <pic:cNvPr id="56" name="image26.jpeg"/>
                          <pic:cNvPicPr/>
                        </pic:nvPicPr>
                        <pic:blipFill>
                          <a:blip r:embed="rId50" cstate="print"/>
                          <a:stretch>
                            <a:fillRect/>
                          </a:stretch>
                        </pic:blipFill>
                        <pic:spPr>
                          <a:xfrm>
                            <a:off x="0" y="0"/>
                            <a:ext cx="5153972" cy="2377439"/>
                          </a:xfrm>
                          <a:prstGeom prst="rect">
                            <a:avLst/>
                          </a:prstGeom>
                        </pic:spPr>
                      </pic:pic>
                    </a:graphicData>
                  </a:graphic>
                </wp:inline>
              </w:drawing>
            </w:r>
            <w:r>
              <w:rPr>
                <w:sz w:val="20"/>
              </w:rPr>
            </w:r>
          </w:p>
        </w:tc>
      </w:tr>
      <w:tr>
        <w:trPr>
          <w:trHeight w:val="240" w:hRule="atLeast"/>
        </w:trPr>
        <w:tc>
          <w:tcPr>
            <w:tcW w:w="1205" w:type="dxa"/>
          </w:tcPr>
          <w:p>
            <w:pPr>
              <w:pStyle w:val="TableParagraph"/>
              <w:rPr>
                <w:rFonts w:ascii="Times New Roman"/>
                <w:sz w:val="16"/>
              </w:rPr>
            </w:pPr>
          </w:p>
        </w:tc>
        <w:tc>
          <w:tcPr>
            <w:tcW w:w="8960" w:type="dxa"/>
            <w:tcBorders>
              <w:top w:val="single" w:sz="4" w:space="0" w:color="000000"/>
            </w:tcBorders>
          </w:tcPr>
          <w:p>
            <w:pPr>
              <w:pStyle w:val="TableParagraph"/>
              <w:spacing w:line="199" w:lineRule="exact" w:before="21"/>
              <w:ind w:left="108"/>
              <w:rPr>
                <w:sz w:val="18"/>
              </w:rPr>
            </w:pPr>
            <w:r>
              <w:rPr>
                <w:sz w:val="18"/>
              </w:rPr>
              <w:t>资料来源：</w:t>
            </w:r>
            <w:r>
              <w:rPr>
                <w:rFonts w:ascii="Times New Roman" w:eastAsia="Times New Roman"/>
                <w:sz w:val="18"/>
              </w:rPr>
              <w:t>Int J Mol Sci, 2021, 22(15): 8208</w:t>
            </w:r>
            <w:r>
              <w:rPr>
                <w:sz w:val="18"/>
              </w:rPr>
              <w:t>，兴业证券经济与金融研究院整理</w:t>
            </w:r>
          </w:p>
        </w:tc>
      </w:tr>
    </w:tbl>
    <w:p>
      <w:pPr>
        <w:pStyle w:val="BodyText"/>
        <w:spacing w:before="10"/>
        <w:rPr>
          <w:sz w:val="27"/>
        </w:rPr>
      </w:pPr>
    </w:p>
    <w:p>
      <w:pPr>
        <w:pStyle w:val="Heading3"/>
        <w:spacing w:before="10"/>
        <w:ind w:left="3163"/>
      </w:pPr>
      <w:r>
        <w:rPr>
          <w:rFonts w:ascii="Times New Roman" w:eastAsia="Times New Roman"/>
        </w:rPr>
        <w:t>2.2.2.2 </w:t>
      </w:r>
      <w:r>
        <w:rPr/>
        <w:t>声光刺激</w:t>
      </w:r>
    </w:p>
    <w:p>
      <w:pPr>
        <w:pStyle w:val="BodyText"/>
        <w:spacing w:line="302" w:lineRule="auto" w:before="23"/>
        <w:ind w:left="3163" w:right="724"/>
        <w:jc w:val="both"/>
      </w:pPr>
      <w:r>
        <w:rPr>
          <w:spacing w:val="-6"/>
        </w:rPr>
        <w:t>由麻省理工学院的蔡立慧教授和 </w:t>
      </w:r>
      <w:r>
        <w:rPr>
          <w:rFonts w:ascii="Times New Roman" w:hAnsi="Times New Roman" w:eastAsia="Times New Roman"/>
        </w:rPr>
        <w:t>Ed Boyden </w:t>
      </w:r>
      <w:r>
        <w:rPr>
          <w:spacing w:val="-3"/>
        </w:rPr>
        <w:t>教授开发的专利γ频率神经调节平台</w:t>
      </w:r>
      <w:r>
        <w:rPr>
          <w:spacing w:val="9"/>
        </w:rPr>
        <w:t>技术是一种利用视觉和听觉刺激治疗神经退行性疾病的非侵入性疗法。</w:t>
      </w:r>
      <w:r>
        <w:rPr>
          <w:rFonts w:ascii="Times New Roman" w:hAnsi="Times New Roman" w:eastAsia="Times New Roman"/>
        </w:rPr>
        <w:t>II </w:t>
      </w:r>
      <w:r>
        <w:rPr/>
        <w:t>期</w:t>
      </w:r>
      <w:r>
        <w:rPr>
          <w:rFonts w:ascii="Times New Roman" w:hAnsi="Times New Roman" w:eastAsia="Times New Roman"/>
          <w:spacing w:val="-3"/>
        </w:rPr>
        <w:t>OVERTURE </w:t>
      </w:r>
      <w:r>
        <w:rPr>
          <w:spacing w:val="-26"/>
        </w:rPr>
        <w:t>研究</w:t>
      </w:r>
      <w:r>
        <w:rPr>
          <w:spacing w:val="-6"/>
        </w:rPr>
        <w:t>（</w:t>
      </w:r>
      <w:r>
        <w:rPr>
          <w:rFonts w:ascii="Times New Roman" w:hAnsi="Times New Roman" w:eastAsia="Times New Roman"/>
          <w:spacing w:val="-6"/>
        </w:rPr>
        <w:t>NCT-03556280</w:t>
      </w:r>
      <w:r>
        <w:rPr>
          <w:spacing w:val="-6"/>
        </w:rPr>
        <w:t>）</w:t>
      </w:r>
      <w:r>
        <w:rPr>
          <w:spacing w:val="-7"/>
        </w:rPr>
        <w:t>采用多中心随机对照临床试验，用于评估</w:t>
      </w:r>
      <w:r>
        <w:rPr/>
        <w:t>γ频</w:t>
      </w:r>
      <w:r>
        <w:rPr>
          <w:spacing w:val="-7"/>
        </w:rPr>
        <w:t>率神经调节治疗轻度至中度 </w:t>
      </w:r>
      <w:r>
        <w:rPr>
          <w:rFonts w:ascii="Times New Roman" w:hAnsi="Times New Roman" w:eastAsia="Times New Roman"/>
        </w:rPr>
        <w:t>AD </w:t>
      </w:r>
      <w:r>
        <w:rPr>
          <w:spacing w:val="-16"/>
        </w:rPr>
        <w:t>患者 </w:t>
      </w:r>
      <w:r>
        <w:rPr>
          <w:rFonts w:ascii="Times New Roman" w:hAnsi="Times New Roman" w:eastAsia="Times New Roman"/>
        </w:rPr>
        <w:t>6 </w:t>
      </w:r>
      <w:r>
        <w:rPr>
          <w:spacing w:val="-8"/>
        </w:rPr>
        <w:t>个月的安全性和有效性。该研究纳入了 </w:t>
      </w:r>
      <w:r>
        <w:rPr>
          <w:rFonts w:ascii="Times New Roman" w:hAnsi="Times New Roman" w:eastAsia="Times New Roman"/>
        </w:rPr>
        <w:t>76 </w:t>
      </w:r>
      <w:r>
        <w:rPr>
          <w:spacing w:val="-10"/>
        </w:rPr>
        <w:t>例年龄为 </w:t>
      </w:r>
      <w:r>
        <w:rPr>
          <w:rFonts w:ascii="Times New Roman" w:hAnsi="Times New Roman" w:eastAsia="Times New Roman"/>
        </w:rPr>
        <w:t>50 </w:t>
      </w:r>
      <w:r>
        <w:rPr>
          <w:spacing w:val="-7"/>
        </w:rPr>
        <w:t>岁或以上患者，在治疗期间，他们随机在家接受 </w:t>
      </w:r>
      <w:r>
        <w:rPr>
          <w:rFonts w:ascii="Times New Roman" w:hAnsi="Times New Roman" w:eastAsia="Times New Roman"/>
        </w:rPr>
        <w:t>40Hz </w:t>
      </w:r>
      <w:r>
        <w:rPr>
          <w:spacing w:val="-3"/>
        </w:rPr>
        <w:t>无创视听刺激或假刺激，每天一小时。实验结果表明</w:t>
      </w:r>
      <w:r>
        <w:rPr/>
        <w:t>，γ</w:t>
      </w:r>
      <w:r>
        <w:rPr>
          <w:spacing w:val="-3"/>
        </w:rPr>
        <w:t>频率神经调节安全且耐受性良好。与</w:t>
      </w:r>
      <w:r>
        <w:rPr>
          <w:spacing w:val="-15"/>
        </w:rPr>
        <w:t>安慰剂组</w:t>
      </w:r>
      <w:r>
        <w:rPr>
          <w:spacing w:val="-9"/>
        </w:rPr>
        <w:t>（</w:t>
      </w:r>
      <w:r>
        <w:rPr>
          <w:rFonts w:ascii="Times New Roman" w:hAnsi="Times New Roman" w:eastAsia="Times New Roman"/>
          <w:spacing w:val="-9"/>
        </w:rPr>
        <w:t>n=20</w:t>
      </w:r>
      <w:r>
        <w:rPr>
          <w:spacing w:val="-9"/>
        </w:rPr>
        <w:t>）</w:t>
      </w:r>
      <w:r>
        <w:rPr>
          <w:spacing w:val="-20"/>
        </w:rPr>
        <w:t>相比，在 </w:t>
      </w:r>
      <w:r>
        <w:rPr>
          <w:rFonts w:ascii="Times New Roman" w:hAnsi="Times New Roman" w:eastAsia="Times New Roman"/>
        </w:rPr>
        <w:t>6 </w:t>
      </w:r>
      <w:r>
        <w:rPr>
          <w:spacing w:val="-13"/>
        </w:rPr>
        <w:t>个月的时间内，治疗组</w:t>
      </w:r>
      <w:r>
        <w:rPr>
          <w:spacing w:val="-9"/>
        </w:rPr>
        <w:t>（</w:t>
      </w:r>
      <w:r>
        <w:rPr>
          <w:rFonts w:ascii="Times New Roman" w:hAnsi="Times New Roman" w:eastAsia="Times New Roman"/>
          <w:spacing w:val="-9"/>
        </w:rPr>
        <w:t>n=33</w:t>
      </w:r>
      <w:r>
        <w:rPr>
          <w:spacing w:val="-9"/>
        </w:rPr>
        <w:t>）</w:t>
      </w:r>
      <w:r>
        <w:rPr>
          <w:spacing w:val="-11"/>
        </w:rPr>
        <w:t>患者基于 </w:t>
      </w:r>
      <w:r>
        <w:rPr>
          <w:rFonts w:ascii="Times New Roman" w:hAnsi="Times New Roman" w:eastAsia="Times New Roman"/>
        </w:rPr>
        <w:t>ADCS-ADL </w:t>
      </w:r>
      <w:r>
        <w:rPr>
          <w:spacing w:val="-4"/>
        </w:rPr>
        <w:t>评分的日常生活能力下降显著减缓 </w:t>
      </w:r>
      <w:r>
        <w:rPr>
          <w:rFonts w:ascii="Times New Roman" w:hAnsi="Times New Roman" w:eastAsia="Times New Roman"/>
        </w:rPr>
        <w:t>84%</w:t>
      </w:r>
      <w:r>
        <w:rPr>
          <w:spacing w:val="-2"/>
        </w:rPr>
        <w:t>；基于 </w:t>
      </w:r>
      <w:r>
        <w:rPr>
          <w:rFonts w:ascii="Times New Roman" w:hAnsi="Times New Roman" w:eastAsia="Times New Roman"/>
        </w:rPr>
        <w:t>MMSE </w:t>
      </w:r>
      <w:r>
        <w:rPr>
          <w:spacing w:val="-3"/>
        </w:rPr>
        <w:t>评分的记忆和认知下降显</w:t>
      </w:r>
      <w:r>
        <w:rPr>
          <w:spacing w:val="-14"/>
        </w:rPr>
        <w:t>著减缓 </w:t>
      </w:r>
      <w:r>
        <w:rPr>
          <w:rFonts w:ascii="Times New Roman" w:hAnsi="Times New Roman" w:eastAsia="Times New Roman"/>
        </w:rPr>
        <w:t>83%</w:t>
      </w:r>
      <w:r>
        <w:rPr>
          <w:spacing w:val="-5"/>
        </w:rPr>
        <w:t>。此外，与安慰剂组</w:t>
      </w:r>
      <w:r>
        <w:rPr/>
        <w:t>（</w:t>
      </w:r>
      <w:r>
        <w:rPr>
          <w:rFonts w:ascii="Times New Roman" w:hAnsi="Times New Roman" w:eastAsia="Times New Roman"/>
        </w:rPr>
        <w:t>n=19</w:t>
      </w:r>
      <w:r>
        <w:rPr/>
        <w:t>）</w:t>
      </w:r>
      <w:r>
        <w:rPr>
          <w:spacing w:val="-4"/>
        </w:rPr>
        <w:t>患者相比，治疗组</w:t>
      </w:r>
      <w:r>
        <w:rPr/>
        <w:t>（</w:t>
      </w:r>
      <w:r>
        <w:rPr>
          <w:rFonts w:ascii="Times New Roman" w:hAnsi="Times New Roman" w:eastAsia="Times New Roman"/>
        </w:rPr>
        <w:t>n=30</w:t>
      </w:r>
      <w:r>
        <w:rPr/>
        <w:t>）</w:t>
      </w:r>
      <w:r>
        <w:rPr>
          <w:spacing w:val="-14"/>
        </w:rPr>
        <w:t>患者在 </w:t>
      </w:r>
      <w:r>
        <w:rPr>
          <w:rFonts w:ascii="Times New Roman" w:hAnsi="Times New Roman" w:eastAsia="Times New Roman"/>
        </w:rPr>
        <w:t>6 </w:t>
      </w:r>
      <w:r>
        <w:rPr/>
        <w:t>个</w:t>
      </w:r>
      <w:r>
        <w:rPr>
          <w:spacing w:val="-15"/>
        </w:rPr>
        <w:t>月时与 </w:t>
      </w:r>
      <w:r>
        <w:rPr>
          <w:rFonts w:ascii="Times New Roman" w:hAnsi="Times New Roman" w:eastAsia="Times New Roman"/>
        </w:rPr>
        <w:t>AD </w:t>
      </w:r>
      <w:r>
        <w:rPr>
          <w:spacing w:val="-6"/>
        </w:rPr>
        <w:t>相关的大脑萎缩和脑容量损失的速度也显著减少了 </w:t>
      </w:r>
      <w:r>
        <w:rPr>
          <w:rFonts w:ascii="Times New Roman" w:hAnsi="Times New Roman" w:eastAsia="Times New Roman"/>
        </w:rPr>
        <w:t>61%</w:t>
      </w:r>
      <w:r>
        <w:rPr/>
        <w:t>。</w:t>
      </w:r>
    </w:p>
    <w:p>
      <w:pPr>
        <w:pStyle w:val="BodyText"/>
        <w:spacing w:before="3"/>
        <w:rPr>
          <w:sz w:val="20"/>
        </w:rPr>
      </w:pPr>
    </w:p>
    <w:p>
      <w:pPr>
        <w:pStyle w:val="Heading1"/>
        <w:numPr>
          <w:ilvl w:val="0"/>
          <w:numId w:val="3"/>
        </w:numPr>
        <w:tabs>
          <w:tab w:pos="3453" w:val="left" w:leader="none"/>
        </w:tabs>
        <w:spacing w:line="240" w:lineRule="auto" w:before="0" w:after="0"/>
        <w:ind w:left="3452" w:right="0" w:hanging="290"/>
        <w:jc w:val="left"/>
      </w:pPr>
      <w:bookmarkStart w:name="_bookmark49" w:id="69"/>
      <w:bookmarkEnd w:id="69"/>
      <w:r>
        <w:rPr>
          <w:b w:val="0"/>
        </w:rPr>
      </w:r>
      <w:bookmarkStart w:name="_bookmark49" w:id="70"/>
      <w:bookmarkEnd w:id="70"/>
      <w:r>
        <w:rPr>
          <w:color w:val="333366"/>
        </w:rPr>
        <w:t>中国诊疗现状</w:t>
      </w:r>
    </w:p>
    <w:p>
      <w:pPr>
        <w:pStyle w:val="BodyText"/>
        <w:spacing w:before="17"/>
        <w:rPr>
          <w:rFonts w:ascii="Microsoft JhengHei"/>
          <w:b/>
          <w:sz w:val="14"/>
        </w:rPr>
      </w:pPr>
    </w:p>
    <w:p>
      <w:pPr>
        <w:pStyle w:val="BodyText"/>
        <w:spacing w:line="302" w:lineRule="auto"/>
        <w:ind w:left="3163" w:right="723"/>
        <w:jc w:val="both"/>
      </w:pPr>
      <w:r>
        <w:rPr>
          <w:spacing w:val="-5"/>
        </w:rPr>
        <w:t>首份 </w:t>
      </w:r>
      <w:r>
        <w:rPr>
          <w:rFonts w:ascii="Times New Roman" w:hAnsi="Times New Roman" w:eastAsia="Times New Roman"/>
        </w:rPr>
        <w:t>AD </w:t>
      </w:r>
      <w:r>
        <w:rPr>
          <w:spacing w:val="-4"/>
        </w:rPr>
        <w:t>患者诊疗现状调研报告表明受访者有近半数为中重度 </w:t>
      </w:r>
      <w:r>
        <w:rPr>
          <w:rFonts w:ascii="Times New Roman" w:hAnsi="Times New Roman" w:eastAsia="Times New Roman"/>
        </w:rPr>
        <w:t>AD</w:t>
      </w:r>
      <w:r>
        <w:rPr>
          <w:spacing w:val="-2"/>
        </w:rPr>
        <w:t>，且出现症状</w:t>
      </w:r>
      <w:r>
        <w:rPr>
          <w:spacing w:val="-6"/>
        </w:rPr>
        <w:t>是主要的就诊原因，</w:t>
      </w:r>
      <w:r>
        <w:rPr>
          <w:rFonts w:ascii="Times New Roman" w:hAnsi="Times New Roman" w:eastAsia="Times New Roman"/>
          <w:spacing w:val="-22"/>
        </w:rPr>
        <w:t>AD </w:t>
      </w:r>
      <w:r>
        <w:rPr>
          <w:spacing w:val="-8"/>
        </w:rPr>
        <w:t>早筛项目仍需加大普及力度，但目前国内医疗水平有限也</w:t>
      </w:r>
      <w:r>
        <w:rPr>
          <w:spacing w:val="-7"/>
        </w:rPr>
        <w:t>导致确诊率低。对患者进行分析，仅有 </w:t>
      </w:r>
      <w:r>
        <w:rPr>
          <w:rFonts w:ascii="Times New Roman" w:hAnsi="Times New Roman" w:eastAsia="Times New Roman"/>
        </w:rPr>
        <w:t>48.53%</w:t>
      </w:r>
      <w:r>
        <w:rPr>
          <w:spacing w:val="-7"/>
        </w:rPr>
        <w:t>的受访患者为轻度 </w:t>
      </w:r>
      <w:r>
        <w:rPr>
          <w:rFonts w:ascii="Times New Roman" w:hAnsi="Times New Roman" w:eastAsia="Times New Roman"/>
        </w:rPr>
        <w:t>AD</w:t>
      </w:r>
      <w:r>
        <w:rPr>
          <w:spacing w:val="-1"/>
        </w:rPr>
        <w:t>，病情严重</w:t>
      </w:r>
      <w:r>
        <w:rPr>
          <w:spacing w:val="-15"/>
        </w:rPr>
        <w:t>程度不容乐观。绝大部分患者是因为出现各种症状而就诊，其中“出现记忆减退、</w:t>
      </w:r>
      <w:r>
        <w:rPr>
          <w:spacing w:val="-10"/>
        </w:rPr>
        <w:t>爱忘事、糊涂、不认识熟悉的人等现象”成为首要就诊原因，参加体检或筛查项</w:t>
      </w:r>
      <w:r>
        <w:rPr>
          <w:spacing w:val="-9"/>
        </w:rPr>
        <w:t>目从而进一步就诊的比例仅为 </w:t>
      </w:r>
      <w:r>
        <w:rPr>
          <w:rFonts w:ascii="Times New Roman" w:hAnsi="Times New Roman" w:eastAsia="Times New Roman"/>
        </w:rPr>
        <w:t>10.06%</w:t>
      </w:r>
      <w:r>
        <w:rPr/>
        <w:t>。</w:t>
      </w:r>
    </w:p>
    <w:p>
      <w:pPr>
        <w:pStyle w:val="BodyText"/>
        <w:spacing w:before="1"/>
        <w:rPr>
          <w:sz w:val="24"/>
        </w:rPr>
      </w:pPr>
    </w:p>
    <w:p>
      <w:pPr>
        <w:pStyle w:val="BodyText"/>
        <w:ind w:left="3163"/>
      </w:pPr>
      <w:r>
        <w:rPr>
          <w:spacing w:val="-9"/>
        </w:rPr>
        <w:t>对确诊情况进行分析，仅 </w:t>
      </w:r>
      <w:r>
        <w:rPr>
          <w:rFonts w:ascii="Times New Roman" w:eastAsia="Times New Roman"/>
        </w:rPr>
        <w:t>36.79%</w:t>
      </w:r>
      <w:r>
        <w:rPr>
          <w:spacing w:val="-9"/>
        </w:rPr>
        <w:t>的受访患者在 </w:t>
      </w:r>
      <w:r>
        <w:rPr>
          <w:rFonts w:ascii="Times New Roman" w:eastAsia="Times New Roman"/>
        </w:rPr>
        <w:t>1</w:t>
      </w:r>
      <w:r>
        <w:rPr>
          <w:rFonts w:ascii="Times New Roman" w:eastAsia="Times New Roman"/>
          <w:spacing w:val="9"/>
        </w:rPr>
        <w:t> </w:t>
      </w:r>
      <w:r>
        <w:rPr>
          <w:spacing w:val="-5"/>
        </w:rPr>
        <w:t>次就医后就能被成功确诊。城市</w:t>
      </w:r>
    </w:p>
    <w:p>
      <w:pPr>
        <w:pStyle w:val="BodyText"/>
        <w:spacing w:before="72"/>
        <w:ind w:left="3163"/>
      </w:pPr>
      <w:r>
        <w:rPr>
          <w:rFonts w:ascii="Times New Roman" w:eastAsia="Times New Roman"/>
        </w:rPr>
        <w:t>42.67%</w:t>
      </w:r>
      <w:r>
        <w:rPr>
          <w:spacing w:val="10"/>
        </w:rPr>
        <w:t>的受访患者在 </w:t>
      </w:r>
      <w:r>
        <w:rPr>
          <w:rFonts w:ascii="Times New Roman" w:eastAsia="Times New Roman"/>
        </w:rPr>
        <w:t>1</w:t>
      </w:r>
      <w:r>
        <w:rPr>
          <w:rFonts w:ascii="Times New Roman" w:eastAsia="Times New Roman"/>
          <w:spacing w:val="14"/>
        </w:rPr>
        <w:t>  </w:t>
      </w:r>
      <w:r>
        <w:rPr>
          <w:spacing w:val="9"/>
        </w:rPr>
        <w:t>次就医后就能被成功确诊，而乡村受访患者的比例为</w:t>
      </w:r>
    </w:p>
    <w:p>
      <w:pPr>
        <w:pStyle w:val="BodyText"/>
        <w:spacing w:before="72"/>
        <w:ind w:left="3163"/>
        <w:rPr>
          <w:rFonts w:ascii="Times New Roman" w:eastAsia="Times New Roman"/>
        </w:rPr>
      </w:pPr>
      <w:r>
        <w:rPr>
          <w:rFonts w:ascii="Times New Roman" w:eastAsia="Times New Roman"/>
        </w:rPr>
        <w:t>22.81%</w:t>
      </w:r>
      <w:r>
        <w:rPr>
          <w:spacing w:val="-10"/>
        </w:rPr>
        <w:t>。对复诊情况分析，</w:t>
      </w:r>
      <w:r>
        <w:rPr>
          <w:rFonts w:ascii="Times New Roman" w:eastAsia="Times New Roman"/>
          <w:spacing w:val="-9"/>
        </w:rPr>
        <w:t>24.39%</w:t>
      </w:r>
      <w:r>
        <w:rPr>
          <w:spacing w:val="-7"/>
        </w:rPr>
        <w:t>的受访者表示从未去过医院参加复诊。认同 </w:t>
      </w:r>
      <w:r>
        <w:rPr>
          <w:rFonts w:ascii="Times New Roman" w:eastAsia="Times New Roman"/>
        </w:rPr>
        <w:t>AD</w:t>
      </w:r>
    </w:p>
    <w:p>
      <w:pPr>
        <w:pStyle w:val="BodyText"/>
        <w:spacing w:before="72"/>
        <w:ind w:left="3163"/>
      </w:pPr>
      <w:r>
        <w:rPr>
          <w:spacing w:val="-6"/>
        </w:rPr>
        <w:t>需终身服药的患者比例高达 </w:t>
      </w:r>
      <w:r>
        <w:rPr>
          <w:rFonts w:ascii="Times New Roman" w:eastAsia="Times New Roman"/>
          <w:spacing w:val="-3"/>
        </w:rPr>
        <w:t>77%</w:t>
      </w:r>
      <w:r>
        <w:rPr>
          <w:spacing w:val="-9"/>
        </w:rPr>
        <w:t>，但仅有 </w:t>
      </w:r>
      <w:r>
        <w:rPr>
          <w:rFonts w:ascii="Times New Roman" w:eastAsia="Times New Roman"/>
        </w:rPr>
        <w:t>60%</w:t>
      </w:r>
      <w:r>
        <w:rPr>
          <w:spacing w:val="-4"/>
        </w:rPr>
        <w:t>仍在服药，以多奈哌齐和美金刚为</w:t>
      </w:r>
    </w:p>
    <w:p>
      <w:pPr>
        <w:spacing w:after="0"/>
        <w:sectPr>
          <w:pgSz w:w="11910" w:h="16840"/>
          <w:pgMar w:header="868" w:footer="1201" w:top="1400" w:bottom="1400" w:left="240" w:right="400"/>
        </w:sectPr>
      </w:pPr>
    </w:p>
    <w:p>
      <w:pPr>
        <w:pStyle w:val="BodyText"/>
        <w:spacing w:before="4"/>
        <w:rPr>
          <w:sz w:val="13"/>
        </w:rPr>
      </w:pPr>
    </w:p>
    <w:p>
      <w:pPr>
        <w:pStyle w:val="BodyText"/>
        <w:spacing w:line="20" w:lineRule="exact"/>
        <w:ind w:left="614"/>
        <w:rPr>
          <w:sz w:val="2"/>
        </w:rPr>
      </w:pPr>
      <w:r>
        <w:rPr>
          <w:sz w:val="2"/>
        </w:rPr>
        <w:pict>
          <v:group style="width:508.1pt;height:.75pt;mso-position-horizontal-relative:char;mso-position-vertical-relative:line" coordorigin="0,0" coordsize="10162,15">
            <v:rect style="position:absolute;left:0;top:0;width:10162;height:15" filled="true" fillcolor="#333366" stroked="false">
              <v:fill type="solid"/>
            </v:rect>
          </v:group>
        </w:pict>
      </w:r>
      <w:r>
        <w:rPr>
          <w:sz w:val="2"/>
        </w:rPr>
      </w:r>
    </w:p>
    <w:p>
      <w:pPr>
        <w:pStyle w:val="BodyText"/>
        <w:spacing w:line="304" w:lineRule="auto"/>
        <w:ind w:left="3163" w:right="725"/>
        <w:jc w:val="both"/>
      </w:pPr>
      <w:r>
        <w:rPr>
          <w:spacing w:val="6"/>
        </w:rPr>
        <w:t>主，服药后仅 </w:t>
      </w:r>
      <w:r>
        <w:rPr>
          <w:rFonts w:ascii="Times New Roman" w:eastAsia="Times New Roman"/>
        </w:rPr>
        <w:t>5%</w:t>
      </w:r>
      <w:r>
        <w:rPr/>
        <w:t>患者明显好转，患者目前也正处于药品定价高但疗效不佳的困</w:t>
      </w:r>
      <w:r>
        <w:rPr>
          <w:spacing w:val="-5"/>
        </w:rPr>
        <w:t>境。现有治疗情况痛点包括 </w:t>
      </w:r>
      <w:r>
        <w:rPr>
          <w:rFonts w:ascii="Times New Roman" w:eastAsia="Times New Roman"/>
          <w:spacing w:val="-5"/>
        </w:rPr>
        <w:t>1</w:t>
      </w:r>
      <w:r>
        <w:rPr>
          <w:spacing w:val="-5"/>
        </w:rPr>
        <w:t>）</w:t>
      </w:r>
      <w:r>
        <w:rPr>
          <w:spacing w:val="-4"/>
        </w:rPr>
        <w:t>定价过高且疗效不佳，</w:t>
      </w:r>
      <w:r>
        <w:rPr>
          <w:rFonts w:ascii="Times New Roman" w:eastAsia="Times New Roman"/>
          <w:spacing w:val="-6"/>
        </w:rPr>
        <w:t>2</w:t>
      </w:r>
      <w:r>
        <w:rPr>
          <w:spacing w:val="-6"/>
        </w:rPr>
        <w:t>）</w:t>
      </w:r>
      <w:r>
        <w:rPr>
          <w:spacing w:val="-4"/>
        </w:rPr>
        <w:t>乡村患者依从性差</w:t>
      </w:r>
      <w:r>
        <w:rPr/>
        <w:t>（未</w:t>
      </w:r>
      <w:r>
        <w:rPr>
          <w:spacing w:val="-1"/>
        </w:rPr>
        <w:t>服药率</w:t>
      </w:r>
      <w:r>
        <w:rPr/>
        <w:t>（</w:t>
      </w:r>
      <w:r>
        <w:rPr>
          <w:rFonts w:ascii="Times New Roman" w:eastAsia="Times New Roman"/>
        </w:rPr>
        <w:t>40.86%</w:t>
      </w:r>
      <w:r>
        <w:rPr/>
        <w:t>）</w:t>
      </w:r>
      <w:r>
        <w:rPr>
          <w:spacing w:val="-3"/>
        </w:rPr>
        <w:t>和停药率</w:t>
      </w:r>
      <w:r>
        <w:rPr/>
        <w:t>（</w:t>
      </w:r>
      <w:r>
        <w:rPr>
          <w:rFonts w:ascii="Times New Roman" w:eastAsia="Times New Roman"/>
        </w:rPr>
        <w:t>30.23%</w:t>
      </w:r>
      <w:r>
        <w:rPr/>
        <w:t>）</w:t>
      </w:r>
      <w:r>
        <w:rPr>
          <w:spacing w:val="-3"/>
        </w:rPr>
        <w:t>均显著高于城市）</w:t>
      </w:r>
      <w:r>
        <w:rPr/>
        <w:t>。</w:t>
      </w:r>
    </w:p>
    <w:p>
      <w:pPr>
        <w:pStyle w:val="BodyText"/>
        <w:spacing w:before="2"/>
        <w:rPr>
          <w:sz w:val="23"/>
        </w:rPr>
      </w:pPr>
    </w:p>
    <w:p>
      <w:pPr>
        <w:pStyle w:val="BodyText"/>
        <w:spacing w:line="302" w:lineRule="auto" w:before="1"/>
        <w:ind w:left="3163" w:right="726"/>
        <w:jc w:val="both"/>
      </w:pPr>
      <w:r>
        <w:rPr>
          <w:rFonts w:ascii="Times New Roman" w:eastAsia="Times New Roman"/>
        </w:rPr>
        <w:t>2019 </w:t>
      </w:r>
      <w:r>
        <w:rPr>
          <w:spacing w:val="-5"/>
        </w:rPr>
        <w:t>年国内公立医院抗痴呆药物市场规模为 </w:t>
      </w:r>
      <w:r>
        <w:rPr>
          <w:rFonts w:ascii="Times New Roman" w:eastAsia="Times New Roman"/>
        </w:rPr>
        <w:t>86.58 </w:t>
      </w:r>
      <w:r>
        <w:rPr>
          <w:spacing w:val="-3"/>
        </w:rPr>
        <w:t>亿元，市场规模呈逐年下降趋</w:t>
      </w:r>
      <w:r>
        <w:rPr>
          <w:spacing w:val="-16"/>
        </w:rPr>
        <w:t>势。占比最高</w:t>
      </w:r>
      <w:r>
        <w:rPr>
          <w:spacing w:val="-9"/>
        </w:rPr>
        <w:t>（</w:t>
      </w:r>
      <w:r>
        <w:rPr>
          <w:rFonts w:ascii="Times New Roman" w:eastAsia="Times New Roman"/>
          <w:spacing w:val="-9"/>
        </w:rPr>
        <w:t>82%</w:t>
      </w:r>
      <w:r>
        <w:rPr>
          <w:spacing w:val="-9"/>
        </w:rPr>
        <w:t>）</w:t>
      </w:r>
      <w:r>
        <w:rPr>
          <w:spacing w:val="-5"/>
        </w:rPr>
        <w:t>的促智类药物近年被纳入辅助用药重点监控名单，因此整体抗痴呆市场规模出现下滑。国内公立医院剔除促智类和甘露特钠的抗痴呆药物市</w:t>
      </w:r>
      <w:r>
        <w:rPr>
          <w:spacing w:val="-4"/>
        </w:rPr>
        <w:t>场因为需求增加，</w:t>
      </w:r>
      <w:r>
        <w:rPr>
          <w:rFonts w:ascii="Times New Roman" w:eastAsia="Times New Roman"/>
        </w:rPr>
        <w:t>2019 </w:t>
      </w:r>
      <w:r>
        <w:rPr>
          <w:spacing w:val="-16"/>
        </w:rPr>
        <w:t>年为 </w:t>
      </w:r>
      <w:r>
        <w:rPr>
          <w:rFonts w:ascii="Times New Roman" w:eastAsia="Times New Roman"/>
        </w:rPr>
        <w:t>15.39 </w:t>
      </w:r>
      <w:r>
        <w:rPr>
          <w:spacing w:val="-2"/>
        </w:rPr>
        <w:t>亿元，</w:t>
      </w:r>
      <w:r>
        <w:rPr>
          <w:rFonts w:ascii="Times New Roman" w:eastAsia="Times New Roman"/>
        </w:rPr>
        <w:t>2014-2019 </w:t>
      </w:r>
      <w:r>
        <w:rPr>
          <w:spacing w:val="-23"/>
        </w:rPr>
        <w:t>年 </w:t>
      </w:r>
      <w:r>
        <w:rPr>
          <w:rFonts w:ascii="Times New Roman" w:eastAsia="Times New Roman"/>
        </w:rPr>
        <w:t>CAGR </w:t>
      </w:r>
      <w:r>
        <w:rPr>
          <w:spacing w:val="-23"/>
        </w:rPr>
        <w:t>为 </w:t>
      </w:r>
      <w:r>
        <w:rPr>
          <w:rFonts w:ascii="Times New Roman" w:eastAsia="Times New Roman"/>
        </w:rPr>
        <w:t>16%</w:t>
      </w:r>
      <w:r>
        <w:rPr>
          <w:spacing w:val="-3"/>
        </w:rPr>
        <w:t>。市场规模持续升高也显示出我国抗痴呆药物需求的增长。</w:t>
      </w:r>
    </w:p>
    <w:p>
      <w:pPr>
        <w:pStyle w:val="BodyText"/>
        <w:rPr>
          <w:sz w:val="18"/>
        </w:rPr>
      </w:pPr>
    </w:p>
    <w:p>
      <w:pPr>
        <w:spacing w:after="0"/>
        <w:rPr>
          <w:sz w:val="18"/>
        </w:rPr>
        <w:sectPr>
          <w:pgSz w:w="11910" w:h="16840"/>
          <w:pgMar w:header="868" w:footer="1201" w:top="1400" w:bottom="1400" w:left="240" w:right="400"/>
        </w:sectPr>
      </w:pPr>
    </w:p>
    <w:p>
      <w:pPr>
        <w:pStyle w:val="Heading3"/>
        <w:spacing w:line="211" w:lineRule="auto" w:before="43"/>
        <w:ind w:left="1070"/>
      </w:pPr>
      <w:r>
        <w:rPr/>
        <w:pict>
          <v:group style="position:absolute;margin-left:66.370003pt;margin-top:60.349934pt;width:230.6pt;height:48.45pt;mso-position-horizontal-relative:page;mso-position-vertical-relative:paragraph;z-index:-17858048" coordorigin="1327,1207" coordsize="4612,969">
            <v:shape style="position:absolute;left:1437;top:1207;width:4392;height:964" coordorigin="1438,1207" coordsize="4392,964" path="m1987,1353l1438,1353,1438,2171,1987,2171,1987,1353xm2755,1248l2206,1248,2206,2171,2755,2171,2755,1248xm3523,1207l2974,1207,2974,2171,3523,2171,3523,1207xm4292,1309l3743,1309,3743,2171,4292,2171,4292,1309xm5059,1389l4512,1389,4512,2171,5059,2171,5059,1389xm5830,1430l5280,1430,5280,2171,5830,2171,5830,1430xe" filled="true" fillcolor="#99a8bc" stroked="false">
              <v:path arrowok="t"/>
              <v:fill type="solid"/>
            </v:shape>
            <v:line style="position:absolute" from="1327,2171" to="5939,2171" stroked="true" strokeweight=".5pt" strokecolor="#7e7e7e">
              <v:stroke dashstyle="solid"/>
            </v:line>
            <v:shape style="position:absolute;left:1549;top:1680;width:341;height:162" type="#_x0000_t202" filled="false" stroked="false">
              <v:textbox inset="0,0,0,0">
                <w:txbxContent>
                  <w:p>
                    <w:pPr>
                      <w:spacing w:line="161" w:lineRule="exact" w:before="0"/>
                      <w:ind w:left="0" w:right="0" w:firstLine="0"/>
                      <w:jc w:val="left"/>
                      <w:rPr>
                        <w:rFonts w:ascii="楷体"/>
                        <w:sz w:val="16"/>
                      </w:rPr>
                    </w:pPr>
                    <w:r>
                      <w:rPr>
                        <w:rFonts w:ascii="楷体"/>
                        <w:sz w:val="16"/>
                      </w:rPr>
                      <w:t>95.7</w:t>
                    </w:r>
                  </w:p>
                </w:txbxContent>
              </v:textbox>
              <w10:wrap type="none"/>
            </v:shape>
            <v:shape style="position:absolute;left:2280;top:1608;width:1191;height:181" type="#_x0000_t202" filled="false" stroked="false">
              <v:textbox inset="0,0,0,0">
                <w:txbxContent>
                  <w:p>
                    <w:pPr>
                      <w:tabs>
                        <w:tab w:pos="768" w:val="left" w:leader="none"/>
                      </w:tabs>
                      <w:spacing w:line="181" w:lineRule="exact" w:before="0"/>
                      <w:ind w:left="0" w:right="0" w:firstLine="0"/>
                      <w:jc w:val="left"/>
                      <w:rPr>
                        <w:rFonts w:ascii="楷体"/>
                        <w:sz w:val="16"/>
                      </w:rPr>
                    </w:pPr>
                    <w:r>
                      <w:rPr>
                        <w:rFonts w:ascii="楷体"/>
                        <w:position w:val="-1"/>
                        <w:sz w:val="16"/>
                      </w:rPr>
                      <w:t>108.0</w:t>
                      <w:tab/>
                    </w:r>
                    <w:r>
                      <w:rPr>
                        <w:rFonts w:ascii="楷体"/>
                        <w:sz w:val="16"/>
                      </w:rPr>
                      <w:t>112.8</w:t>
                    </w:r>
                  </w:p>
                </w:txbxContent>
              </v:textbox>
              <w10:wrap type="none"/>
            </v:shape>
            <v:shape style="position:absolute;left:3817;top:1659;width:424;height:161" type="#_x0000_t202" filled="false" stroked="false">
              <v:textbox inset="0,0,0,0">
                <w:txbxContent>
                  <w:p>
                    <w:pPr>
                      <w:spacing w:line="161" w:lineRule="exact" w:before="0"/>
                      <w:ind w:left="0" w:right="0" w:firstLine="0"/>
                      <w:jc w:val="left"/>
                      <w:rPr>
                        <w:rFonts w:ascii="楷体"/>
                        <w:sz w:val="16"/>
                      </w:rPr>
                    </w:pPr>
                    <w:r>
                      <w:rPr>
                        <w:rFonts w:ascii="楷体"/>
                        <w:sz w:val="16"/>
                      </w:rPr>
                      <w:t>100.8</w:t>
                    </w:r>
                  </w:p>
                </w:txbxContent>
              </v:textbox>
              <w10:wrap type="none"/>
            </v:shape>
            <v:shape style="position:absolute;left:4624;top:1699;width:341;height:161" type="#_x0000_t202" filled="false" stroked="false">
              <v:textbox inset="0,0,0,0">
                <w:txbxContent>
                  <w:p>
                    <w:pPr>
                      <w:spacing w:line="161" w:lineRule="exact" w:before="0"/>
                      <w:ind w:left="0" w:right="0" w:firstLine="0"/>
                      <w:jc w:val="left"/>
                      <w:rPr>
                        <w:rFonts w:ascii="楷体"/>
                        <w:sz w:val="16"/>
                      </w:rPr>
                    </w:pPr>
                    <w:r>
                      <w:rPr>
                        <w:rFonts w:ascii="楷体"/>
                        <w:sz w:val="16"/>
                      </w:rPr>
                      <w:t>91.5</w:t>
                    </w:r>
                  </w:p>
                </w:txbxContent>
              </v:textbox>
              <w10:wrap type="none"/>
            </v:shape>
            <v:shape style="position:absolute;left:5393;top:1720;width:341;height:161" type="#_x0000_t202" filled="false" stroked="false">
              <v:textbox inset="0,0,0,0">
                <w:txbxContent>
                  <w:p>
                    <w:pPr>
                      <w:spacing w:line="161" w:lineRule="exact" w:before="0"/>
                      <w:ind w:left="0" w:right="0" w:firstLine="0"/>
                      <w:jc w:val="left"/>
                      <w:rPr>
                        <w:rFonts w:ascii="楷体"/>
                        <w:sz w:val="16"/>
                      </w:rPr>
                    </w:pPr>
                    <w:r>
                      <w:rPr>
                        <w:rFonts w:ascii="楷体"/>
                        <w:sz w:val="16"/>
                      </w:rPr>
                      <w:t>86.6</w:t>
                    </w:r>
                  </w:p>
                </w:txbxContent>
              </v:textbox>
              <w10:wrap type="none"/>
            </v:shape>
            <w10:wrap type="none"/>
          </v:group>
        </w:pict>
      </w:r>
      <w:r>
        <w:rPr/>
        <w:pict>
          <v:group style="position:absolute;margin-left:307.600006pt;margin-top:83.269936pt;width:239.3pt;height:24.45pt;mso-position-horizontal-relative:page;mso-position-vertical-relative:paragraph;z-index:-17857536" coordorigin="6152,1665" coordsize="4786,489">
            <v:shape style="position:absolute;left:8659;top:1665;width:2165;height:484" coordorigin="8659,1665" coordsize="2165,484" path="m9229,1782l8659,1782,8659,2149,9229,2149,9229,1782xm10027,1737l9456,1737,9456,2149,10027,2149,10027,1737xm10824,1665l10255,1665,10255,2149,10824,2149,10824,1665xe" filled="true" fillcolor="#99a8bc" stroked="false">
              <v:path arrowok="t"/>
              <v:fill type="solid"/>
            </v:shape>
            <v:line style="position:absolute" from="6152,2149" to="10938,2149" stroked="true" strokeweight=".5pt" strokecolor="#7e7e7e">
              <v:stroke dashstyle="solid"/>
            </v:line>
            <w10:wrap type="none"/>
          </v:group>
        </w:pict>
      </w:r>
      <w:bookmarkStart w:name="_bookmark50" w:id="71"/>
      <w:bookmarkEnd w:id="71"/>
      <w:r>
        <w:rPr>
          <w:b w:val="0"/>
        </w:rPr>
      </w:r>
      <w:r>
        <w:rPr/>
        <w:t>图 </w:t>
      </w:r>
      <w:r>
        <w:rPr>
          <w:rFonts w:ascii="Times New Roman" w:eastAsia="Times New Roman"/>
        </w:rPr>
        <w:t>22</w:t>
      </w:r>
      <w:r>
        <w:rPr/>
        <w:t>、国内公立医院抗痴呆药物市场情况（单位： 亿元）</w:t>
      </w:r>
    </w:p>
    <w:p>
      <w:pPr>
        <w:spacing w:line="211" w:lineRule="auto" w:before="43"/>
        <w:ind w:left="92" w:right="614" w:firstLine="0"/>
        <w:jc w:val="left"/>
        <w:rPr>
          <w:rFonts w:ascii="Microsoft JhengHei" w:eastAsia="Microsoft JhengHei" w:hint="eastAsia"/>
          <w:b/>
          <w:sz w:val="21"/>
        </w:rPr>
      </w:pPr>
      <w:r>
        <w:rPr/>
        <w:br w:type="column"/>
      </w:r>
      <w:bookmarkStart w:name="_bookmark51" w:id="72"/>
      <w:bookmarkEnd w:id="72"/>
      <w:r>
        <w:rPr/>
      </w:r>
      <w:r>
        <w:rPr>
          <w:rFonts w:ascii="Microsoft JhengHei" w:eastAsia="Microsoft JhengHei" w:hint="eastAsia"/>
          <w:b/>
          <w:sz w:val="21"/>
        </w:rPr>
        <w:t>图 </w:t>
      </w:r>
      <w:r>
        <w:rPr>
          <w:rFonts w:ascii="Times New Roman" w:eastAsia="Times New Roman"/>
          <w:b/>
          <w:sz w:val="21"/>
        </w:rPr>
        <w:t>23</w:t>
      </w:r>
      <w:r>
        <w:rPr>
          <w:rFonts w:ascii="Microsoft JhengHei" w:eastAsia="Microsoft JhengHei" w:hint="eastAsia"/>
          <w:b/>
          <w:sz w:val="21"/>
        </w:rPr>
        <w:t>、国内公立医院抗痴呆药物市场情况（剔除促智类，无甘露特钠）（单位：亿元）</w:t>
      </w:r>
    </w:p>
    <w:p>
      <w:pPr>
        <w:spacing w:after="0" w:line="211" w:lineRule="auto"/>
        <w:jc w:val="left"/>
        <w:rPr>
          <w:rFonts w:ascii="Microsoft JhengHei" w:eastAsia="Microsoft JhengHei" w:hint="eastAsia"/>
          <w:sz w:val="21"/>
        </w:rPr>
        <w:sectPr>
          <w:type w:val="continuous"/>
          <w:pgSz w:w="11910" w:h="16840"/>
          <w:pgMar w:top="220" w:bottom="1400" w:left="240" w:right="400"/>
          <w:cols w:num="2" w:equalWidth="0">
            <w:col w:w="5764" w:space="40"/>
            <w:col w:w="5466"/>
          </w:cols>
        </w:sectPr>
      </w:pPr>
    </w:p>
    <w:p>
      <w:pPr>
        <w:pStyle w:val="BodyText"/>
        <w:spacing w:before="16"/>
        <w:rPr>
          <w:rFonts w:ascii="Microsoft JhengHei"/>
          <w:b/>
          <w:sz w:val="2"/>
        </w:rPr>
      </w:pPr>
    </w:p>
    <w:p>
      <w:pPr>
        <w:pStyle w:val="BodyText"/>
        <w:spacing w:line="20" w:lineRule="exact"/>
        <w:ind w:left="965"/>
        <w:rPr>
          <w:rFonts w:ascii="Microsoft JhengHei"/>
          <w:sz w:val="2"/>
        </w:rPr>
      </w:pPr>
      <w:r>
        <w:rPr>
          <w:rFonts w:ascii="Microsoft JhengHei"/>
          <w:sz w:val="2"/>
        </w:rPr>
        <w:pict>
          <v:group style="width:489.85pt;height:.5pt;mso-position-horizontal-relative:char;mso-position-vertical-relative:line" coordorigin="0,0" coordsize="9797,10">
            <v:shape style="position:absolute;left:0;top:0;width:9797;height:10" coordorigin="0,0" coordsize="9797,10" path="m9796,0l4835,0,4825,0,0,0,0,10,4825,10,4835,10,9796,10,9796,0xe" filled="true" fillcolor="#000000" stroked="false">
              <v:path arrowok="t"/>
              <v:fill type="solid"/>
            </v:shape>
          </v:group>
        </w:pict>
      </w:r>
      <w:r>
        <w:rPr>
          <w:rFonts w:ascii="Microsoft JhengHei"/>
          <w:sz w:val="2"/>
        </w:rPr>
      </w:r>
    </w:p>
    <w:p>
      <w:pPr>
        <w:pStyle w:val="BodyText"/>
        <w:rPr>
          <w:rFonts w:ascii="Microsoft JhengHei"/>
          <w:b/>
          <w:sz w:val="20"/>
        </w:rPr>
      </w:pPr>
    </w:p>
    <w:p>
      <w:pPr>
        <w:pStyle w:val="BodyText"/>
        <w:rPr>
          <w:rFonts w:ascii="Microsoft JhengHei"/>
          <w:b/>
          <w:sz w:val="20"/>
        </w:rPr>
      </w:pPr>
    </w:p>
    <w:p>
      <w:pPr>
        <w:pStyle w:val="BodyText"/>
        <w:spacing w:before="16"/>
        <w:rPr>
          <w:rFonts w:ascii="Microsoft JhengHei"/>
          <w:b/>
          <w:sz w:val="18"/>
        </w:rPr>
      </w:pPr>
    </w:p>
    <w:tbl>
      <w:tblPr>
        <w:tblW w:w="0" w:type="auto"/>
        <w:jc w:val="left"/>
        <w:tblInd w:w="1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42"/>
        <w:gridCol w:w="218"/>
        <w:gridCol w:w="549"/>
        <w:gridCol w:w="218"/>
        <w:gridCol w:w="549"/>
        <w:gridCol w:w="219"/>
        <w:gridCol w:w="548"/>
        <w:gridCol w:w="219"/>
        <w:gridCol w:w="546"/>
        <w:gridCol w:w="220"/>
        <w:gridCol w:w="549"/>
        <w:gridCol w:w="436"/>
        <w:gridCol w:w="568"/>
        <w:gridCol w:w="227"/>
        <w:gridCol w:w="570"/>
        <w:gridCol w:w="227"/>
        <w:gridCol w:w="568"/>
        <w:gridCol w:w="227"/>
        <w:gridCol w:w="569"/>
        <w:gridCol w:w="226"/>
        <w:gridCol w:w="570"/>
        <w:gridCol w:w="227"/>
        <w:gridCol w:w="557"/>
      </w:tblGrid>
      <w:tr>
        <w:trPr>
          <w:trHeight w:val="265" w:hRule="atLeast"/>
        </w:trPr>
        <w:tc>
          <w:tcPr>
            <w:tcW w:w="542" w:type="dxa"/>
            <w:tcBorders>
              <w:bottom w:val="single" w:sz="4" w:space="0" w:color="7E7E7E"/>
            </w:tcBorders>
            <w:shd w:val="clear" w:color="auto" w:fill="99A8BC"/>
          </w:tcPr>
          <w:p>
            <w:pPr>
              <w:pStyle w:val="TableParagraph"/>
              <w:rPr>
                <w:rFonts w:ascii="Times New Roman"/>
                <w:sz w:val="18"/>
              </w:rPr>
            </w:pPr>
          </w:p>
        </w:tc>
        <w:tc>
          <w:tcPr>
            <w:tcW w:w="218" w:type="dxa"/>
            <w:tcBorders>
              <w:bottom w:val="single" w:sz="4" w:space="0" w:color="7E7E7E"/>
            </w:tcBorders>
          </w:tcPr>
          <w:p>
            <w:pPr>
              <w:pStyle w:val="TableParagraph"/>
              <w:rPr>
                <w:rFonts w:ascii="Times New Roman"/>
                <w:sz w:val="18"/>
              </w:rPr>
            </w:pPr>
          </w:p>
        </w:tc>
        <w:tc>
          <w:tcPr>
            <w:tcW w:w="549" w:type="dxa"/>
            <w:tcBorders>
              <w:bottom w:val="single" w:sz="4" w:space="0" w:color="7E7E7E"/>
            </w:tcBorders>
            <w:shd w:val="clear" w:color="auto" w:fill="99A8BC"/>
          </w:tcPr>
          <w:p>
            <w:pPr>
              <w:pStyle w:val="TableParagraph"/>
              <w:rPr>
                <w:rFonts w:ascii="Times New Roman"/>
                <w:sz w:val="18"/>
              </w:rPr>
            </w:pPr>
          </w:p>
        </w:tc>
        <w:tc>
          <w:tcPr>
            <w:tcW w:w="218" w:type="dxa"/>
            <w:tcBorders>
              <w:bottom w:val="single" w:sz="4" w:space="0" w:color="7E7E7E"/>
            </w:tcBorders>
          </w:tcPr>
          <w:p>
            <w:pPr>
              <w:pStyle w:val="TableParagraph"/>
              <w:rPr>
                <w:rFonts w:ascii="Times New Roman"/>
                <w:sz w:val="18"/>
              </w:rPr>
            </w:pPr>
          </w:p>
        </w:tc>
        <w:tc>
          <w:tcPr>
            <w:tcW w:w="549" w:type="dxa"/>
            <w:tcBorders>
              <w:bottom w:val="single" w:sz="4" w:space="0" w:color="7E7E7E"/>
            </w:tcBorders>
            <w:shd w:val="clear" w:color="auto" w:fill="99A8BC"/>
          </w:tcPr>
          <w:p>
            <w:pPr>
              <w:pStyle w:val="TableParagraph"/>
              <w:rPr>
                <w:rFonts w:ascii="Times New Roman"/>
                <w:sz w:val="18"/>
              </w:rPr>
            </w:pPr>
          </w:p>
        </w:tc>
        <w:tc>
          <w:tcPr>
            <w:tcW w:w="219" w:type="dxa"/>
            <w:tcBorders>
              <w:bottom w:val="single" w:sz="4" w:space="0" w:color="7E7E7E"/>
            </w:tcBorders>
          </w:tcPr>
          <w:p>
            <w:pPr>
              <w:pStyle w:val="TableParagraph"/>
              <w:rPr>
                <w:rFonts w:ascii="Times New Roman"/>
                <w:sz w:val="18"/>
              </w:rPr>
            </w:pPr>
          </w:p>
        </w:tc>
        <w:tc>
          <w:tcPr>
            <w:tcW w:w="548" w:type="dxa"/>
            <w:tcBorders>
              <w:bottom w:val="single" w:sz="4" w:space="0" w:color="7E7E7E"/>
            </w:tcBorders>
            <w:shd w:val="clear" w:color="auto" w:fill="99A8BC"/>
          </w:tcPr>
          <w:p>
            <w:pPr>
              <w:pStyle w:val="TableParagraph"/>
              <w:rPr>
                <w:rFonts w:ascii="Times New Roman"/>
                <w:sz w:val="18"/>
              </w:rPr>
            </w:pPr>
          </w:p>
        </w:tc>
        <w:tc>
          <w:tcPr>
            <w:tcW w:w="219" w:type="dxa"/>
            <w:tcBorders>
              <w:bottom w:val="single" w:sz="4" w:space="0" w:color="7E7E7E"/>
            </w:tcBorders>
          </w:tcPr>
          <w:p>
            <w:pPr>
              <w:pStyle w:val="TableParagraph"/>
              <w:rPr>
                <w:rFonts w:ascii="Times New Roman"/>
                <w:sz w:val="18"/>
              </w:rPr>
            </w:pPr>
          </w:p>
        </w:tc>
        <w:tc>
          <w:tcPr>
            <w:tcW w:w="546" w:type="dxa"/>
            <w:tcBorders>
              <w:bottom w:val="single" w:sz="4" w:space="0" w:color="7E7E7E"/>
            </w:tcBorders>
            <w:shd w:val="clear" w:color="auto" w:fill="99A8BC"/>
          </w:tcPr>
          <w:p>
            <w:pPr>
              <w:pStyle w:val="TableParagraph"/>
              <w:rPr>
                <w:rFonts w:ascii="Times New Roman"/>
                <w:sz w:val="18"/>
              </w:rPr>
            </w:pPr>
          </w:p>
        </w:tc>
        <w:tc>
          <w:tcPr>
            <w:tcW w:w="220" w:type="dxa"/>
            <w:tcBorders>
              <w:bottom w:val="single" w:sz="4" w:space="0" w:color="7E7E7E"/>
            </w:tcBorders>
          </w:tcPr>
          <w:p>
            <w:pPr>
              <w:pStyle w:val="TableParagraph"/>
              <w:rPr>
                <w:rFonts w:ascii="Times New Roman"/>
                <w:sz w:val="18"/>
              </w:rPr>
            </w:pPr>
          </w:p>
        </w:tc>
        <w:tc>
          <w:tcPr>
            <w:tcW w:w="549" w:type="dxa"/>
            <w:tcBorders>
              <w:bottom w:val="single" w:sz="4" w:space="0" w:color="7E7E7E"/>
            </w:tcBorders>
            <w:shd w:val="clear" w:color="auto" w:fill="99A8BC"/>
          </w:tcPr>
          <w:p>
            <w:pPr>
              <w:pStyle w:val="TableParagraph"/>
              <w:rPr>
                <w:rFonts w:ascii="Times New Roman"/>
                <w:sz w:val="18"/>
              </w:rPr>
            </w:pPr>
          </w:p>
        </w:tc>
        <w:tc>
          <w:tcPr>
            <w:tcW w:w="436" w:type="dxa"/>
          </w:tcPr>
          <w:p>
            <w:pPr>
              <w:pStyle w:val="TableParagraph"/>
              <w:rPr>
                <w:rFonts w:ascii="Times New Roman"/>
                <w:sz w:val="18"/>
              </w:rPr>
            </w:pPr>
          </w:p>
        </w:tc>
        <w:tc>
          <w:tcPr>
            <w:tcW w:w="568" w:type="dxa"/>
            <w:tcBorders>
              <w:bottom w:val="single" w:sz="4" w:space="0" w:color="7E7E7E"/>
            </w:tcBorders>
            <w:shd w:val="clear" w:color="auto" w:fill="99A8BC"/>
          </w:tcPr>
          <w:p>
            <w:pPr>
              <w:pStyle w:val="TableParagraph"/>
              <w:spacing w:line="192" w:lineRule="exact" w:before="52"/>
              <w:ind w:left="114" w:right="92"/>
              <w:jc w:val="center"/>
              <w:rPr>
                <w:rFonts w:ascii="楷体"/>
                <w:sz w:val="16"/>
              </w:rPr>
            </w:pPr>
            <w:r>
              <w:rPr>
                <w:rFonts w:ascii="楷体"/>
                <w:color w:val="404040"/>
                <w:sz w:val="16"/>
              </w:rPr>
              <w:t>7.3</w:t>
            </w:r>
          </w:p>
        </w:tc>
        <w:tc>
          <w:tcPr>
            <w:tcW w:w="227" w:type="dxa"/>
            <w:tcBorders>
              <w:bottom w:val="single" w:sz="4" w:space="0" w:color="7E7E7E"/>
            </w:tcBorders>
          </w:tcPr>
          <w:p>
            <w:pPr>
              <w:pStyle w:val="TableParagraph"/>
              <w:rPr>
                <w:rFonts w:ascii="Times New Roman"/>
                <w:sz w:val="18"/>
              </w:rPr>
            </w:pPr>
          </w:p>
        </w:tc>
        <w:tc>
          <w:tcPr>
            <w:tcW w:w="570" w:type="dxa"/>
            <w:tcBorders>
              <w:bottom w:val="single" w:sz="4" w:space="0" w:color="7E7E7E"/>
            </w:tcBorders>
            <w:shd w:val="clear" w:color="auto" w:fill="99A8BC"/>
          </w:tcPr>
          <w:p>
            <w:pPr>
              <w:pStyle w:val="TableParagraph"/>
              <w:spacing w:before="31"/>
              <w:ind w:left="117" w:right="92"/>
              <w:jc w:val="center"/>
              <w:rPr>
                <w:rFonts w:ascii="楷体"/>
                <w:sz w:val="16"/>
              </w:rPr>
            </w:pPr>
            <w:r>
              <w:rPr>
                <w:rFonts w:ascii="楷体"/>
                <w:color w:val="404040"/>
                <w:sz w:val="16"/>
              </w:rPr>
              <w:t>8.7</w:t>
            </w:r>
          </w:p>
        </w:tc>
        <w:tc>
          <w:tcPr>
            <w:tcW w:w="227" w:type="dxa"/>
            <w:tcBorders>
              <w:bottom w:val="single" w:sz="4" w:space="0" w:color="7E7E7E"/>
            </w:tcBorders>
          </w:tcPr>
          <w:p>
            <w:pPr>
              <w:pStyle w:val="TableParagraph"/>
              <w:rPr>
                <w:rFonts w:ascii="Times New Roman"/>
                <w:sz w:val="18"/>
              </w:rPr>
            </w:pPr>
          </w:p>
        </w:tc>
        <w:tc>
          <w:tcPr>
            <w:tcW w:w="568" w:type="dxa"/>
            <w:tcBorders>
              <w:bottom w:val="single" w:sz="4" w:space="0" w:color="7E7E7E"/>
            </w:tcBorders>
            <w:shd w:val="clear" w:color="auto" w:fill="99A8BC"/>
          </w:tcPr>
          <w:p>
            <w:pPr>
              <w:pStyle w:val="TableParagraph"/>
              <w:spacing w:before="8"/>
              <w:ind w:right="108"/>
              <w:jc w:val="right"/>
              <w:rPr>
                <w:rFonts w:ascii="楷体"/>
                <w:sz w:val="16"/>
              </w:rPr>
            </w:pPr>
            <w:r>
              <w:rPr>
                <w:rFonts w:ascii="楷体"/>
                <w:color w:val="404040"/>
                <w:sz w:val="16"/>
              </w:rPr>
              <w:t>10.2</w:t>
            </w:r>
          </w:p>
        </w:tc>
        <w:tc>
          <w:tcPr>
            <w:tcW w:w="227" w:type="dxa"/>
            <w:tcBorders>
              <w:bottom w:val="single" w:sz="4" w:space="0" w:color="7E7E7E"/>
            </w:tcBorders>
          </w:tcPr>
          <w:p>
            <w:pPr>
              <w:pStyle w:val="TableParagraph"/>
              <w:rPr>
                <w:rFonts w:ascii="Times New Roman"/>
                <w:sz w:val="18"/>
              </w:rPr>
            </w:pPr>
          </w:p>
        </w:tc>
        <w:tc>
          <w:tcPr>
            <w:tcW w:w="569" w:type="dxa"/>
            <w:tcBorders>
              <w:bottom w:val="single" w:sz="4" w:space="0" w:color="7E7E7E"/>
            </w:tcBorders>
            <w:shd w:val="clear" w:color="auto" w:fill="99A8BC"/>
          </w:tcPr>
          <w:p>
            <w:pPr>
              <w:pStyle w:val="TableParagraph"/>
              <w:spacing w:line="189" w:lineRule="exact"/>
              <w:ind w:right="106"/>
              <w:jc w:val="right"/>
              <w:rPr>
                <w:rFonts w:ascii="楷体"/>
                <w:sz w:val="16"/>
              </w:rPr>
            </w:pPr>
            <w:r>
              <w:rPr>
                <w:rFonts w:ascii="楷体"/>
                <w:color w:val="404040"/>
                <w:sz w:val="16"/>
              </w:rPr>
              <w:t>11.7</w:t>
            </w:r>
          </w:p>
        </w:tc>
        <w:tc>
          <w:tcPr>
            <w:tcW w:w="226" w:type="dxa"/>
            <w:tcBorders>
              <w:bottom w:val="single" w:sz="4" w:space="0" w:color="7E7E7E"/>
            </w:tcBorders>
          </w:tcPr>
          <w:p>
            <w:pPr>
              <w:pStyle w:val="TableParagraph"/>
              <w:rPr>
                <w:rFonts w:ascii="Times New Roman"/>
                <w:sz w:val="18"/>
              </w:rPr>
            </w:pPr>
          </w:p>
        </w:tc>
        <w:tc>
          <w:tcPr>
            <w:tcW w:w="570" w:type="dxa"/>
            <w:tcBorders>
              <w:bottom w:val="single" w:sz="4" w:space="0" w:color="7E7E7E"/>
            </w:tcBorders>
            <w:shd w:val="clear" w:color="auto" w:fill="99A8BC"/>
          </w:tcPr>
          <w:p>
            <w:pPr>
              <w:pStyle w:val="TableParagraph"/>
              <w:spacing w:line="167" w:lineRule="exact"/>
              <w:ind w:right="104"/>
              <w:jc w:val="right"/>
              <w:rPr>
                <w:rFonts w:ascii="楷体"/>
                <w:sz w:val="16"/>
              </w:rPr>
            </w:pPr>
            <w:r>
              <w:rPr>
                <w:rFonts w:ascii="楷体"/>
                <w:color w:val="404040"/>
                <w:sz w:val="16"/>
              </w:rPr>
              <w:t>13.1</w:t>
            </w:r>
          </w:p>
        </w:tc>
        <w:tc>
          <w:tcPr>
            <w:tcW w:w="227" w:type="dxa"/>
            <w:tcBorders>
              <w:bottom w:val="single" w:sz="4" w:space="0" w:color="7E7E7E"/>
            </w:tcBorders>
          </w:tcPr>
          <w:p>
            <w:pPr>
              <w:pStyle w:val="TableParagraph"/>
              <w:rPr>
                <w:rFonts w:ascii="Times New Roman"/>
                <w:sz w:val="18"/>
              </w:rPr>
            </w:pPr>
          </w:p>
        </w:tc>
        <w:tc>
          <w:tcPr>
            <w:tcW w:w="557" w:type="dxa"/>
            <w:tcBorders>
              <w:bottom w:val="single" w:sz="4" w:space="0" w:color="7E7E7E"/>
            </w:tcBorders>
            <w:shd w:val="clear" w:color="auto" w:fill="99A8BC"/>
          </w:tcPr>
          <w:p>
            <w:pPr>
              <w:pStyle w:val="TableParagraph"/>
              <w:spacing w:line="131" w:lineRule="exact"/>
              <w:ind w:right="90"/>
              <w:jc w:val="right"/>
              <w:rPr>
                <w:rFonts w:ascii="楷体"/>
                <w:sz w:val="16"/>
              </w:rPr>
            </w:pPr>
            <w:r>
              <w:rPr>
                <w:rFonts w:ascii="楷体"/>
                <w:color w:val="404040"/>
                <w:sz w:val="16"/>
              </w:rPr>
              <w:t>15.4</w:t>
            </w:r>
          </w:p>
        </w:tc>
      </w:tr>
      <w:tr>
        <w:trPr>
          <w:trHeight w:val="269" w:hRule="atLeast"/>
        </w:trPr>
        <w:tc>
          <w:tcPr>
            <w:tcW w:w="542" w:type="dxa"/>
            <w:tcBorders>
              <w:top w:val="single" w:sz="4" w:space="0" w:color="7E7E7E"/>
            </w:tcBorders>
          </w:tcPr>
          <w:p>
            <w:pPr>
              <w:pStyle w:val="TableParagraph"/>
              <w:spacing w:line="163" w:lineRule="exact" w:before="64"/>
              <w:ind w:left="107"/>
              <w:rPr>
                <w:rFonts w:ascii="楷体"/>
                <w:sz w:val="16"/>
              </w:rPr>
            </w:pPr>
            <w:r>
              <w:rPr>
                <w:rFonts w:ascii="楷体"/>
                <w:color w:val="585858"/>
                <w:sz w:val="16"/>
              </w:rPr>
              <w:t>2014</w:t>
            </w:r>
          </w:p>
        </w:tc>
        <w:tc>
          <w:tcPr>
            <w:tcW w:w="218" w:type="dxa"/>
            <w:tcBorders>
              <w:top w:val="single" w:sz="4" w:space="0" w:color="7E7E7E"/>
            </w:tcBorders>
          </w:tcPr>
          <w:p>
            <w:pPr>
              <w:pStyle w:val="TableParagraph"/>
              <w:rPr>
                <w:rFonts w:ascii="Times New Roman"/>
                <w:sz w:val="18"/>
              </w:rPr>
            </w:pPr>
          </w:p>
        </w:tc>
        <w:tc>
          <w:tcPr>
            <w:tcW w:w="549" w:type="dxa"/>
            <w:tcBorders>
              <w:top w:val="single" w:sz="4" w:space="0" w:color="7E7E7E"/>
            </w:tcBorders>
          </w:tcPr>
          <w:p>
            <w:pPr>
              <w:pStyle w:val="TableParagraph"/>
              <w:spacing w:line="163" w:lineRule="exact" w:before="64"/>
              <w:ind w:left="116"/>
              <w:rPr>
                <w:rFonts w:ascii="楷体"/>
                <w:sz w:val="16"/>
              </w:rPr>
            </w:pPr>
            <w:r>
              <w:rPr>
                <w:rFonts w:ascii="楷体"/>
                <w:color w:val="585858"/>
                <w:sz w:val="16"/>
              </w:rPr>
              <w:t>2015</w:t>
            </w:r>
          </w:p>
        </w:tc>
        <w:tc>
          <w:tcPr>
            <w:tcW w:w="218" w:type="dxa"/>
            <w:tcBorders>
              <w:top w:val="single" w:sz="4" w:space="0" w:color="7E7E7E"/>
            </w:tcBorders>
          </w:tcPr>
          <w:p>
            <w:pPr>
              <w:pStyle w:val="TableParagraph"/>
              <w:rPr>
                <w:rFonts w:ascii="Times New Roman"/>
                <w:sz w:val="18"/>
              </w:rPr>
            </w:pPr>
          </w:p>
        </w:tc>
        <w:tc>
          <w:tcPr>
            <w:tcW w:w="549" w:type="dxa"/>
            <w:tcBorders>
              <w:top w:val="single" w:sz="4" w:space="0" w:color="7E7E7E"/>
            </w:tcBorders>
          </w:tcPr>
          <w:p>
            <w:pPr>
              <w:pStyle w:val="TableParagraph"/>
              <w:spacing w:line="163" w:lineRule="exact" w:before="64"/>
              <w:ind w:left="117"/>
              <w:rPr>
                <w:rFonts w:ascii="楷体"/>
                <w:sz w:val="16"/>
              </w:rPr>
            </w:pPr>
            <w:r>
              <w:rPr>
                <w:rFonts w:ascii="楷体"/>
                <w:color w:val="585858"/>
                <w:sz w:val="16"/>
              </w:rPr>
              <w:t>2016</w:t>
            </w:r>
          </w:p>
        </w:tc>
        <w:tc>
          <w:tcPr>
            <w:tcW w:w="219" w:type="dxa"/>
            <w:tcBorders>
              <w:top w:val="single" w:sz="4" w:space="0" w:color="7E7E7E"/>
            </w:tcBorders>
          </w:tcPr>
          <w:p>
            <w:pPr>
              <w:pStyle w:val="TableParagraph"/>
              <w:rPr>
                <w:rFonts w:ascii="Times New Roman"/>
                <w:sz w:val="18"/>
              </w:rPr>
            </w:pPr>
          </w:p>
        </w:tc>
        <w:tc>
          <w:tcPr>
            <w:tcW w:w="548" w:type="dxa"/>
            <w:tcBorders>
              <w:top w:val="single" w:sz="4" w:space="0" w:color="7E7E7E"/>
            </w:tcBorders>
          </w:tcPr>
          <w:p>
            <w:pPr>
              <w:pStyle w:val="TableParagraph"/>
              <w:spacing w:line="163" w:lineRule="exact" w:before="64"/>
              <w:ind w:left="118"/>
              <w:rPr>
                <w:rFonts w:ascii="楷体"/>
                <w:sz w:val="16"/>
              </w:rPr>
            </w:pPr>
            <w:r>
              <w:rPr>
                <w:rFonts w:ascii="楷体"/>
                <w:color w:val="585858"/>
                <w:sz w:val="16"/>
              </w:rPr>
              <w:t>2017</w:t>
            </w:r>
          </w:p>
        </w:tc>
        <w:tc>
          <w:tcPr>
            <w:tcW w:w="219" w:type="dxa"/>
            <w:tcBorders>
              <w:top w:val="single" w:sz="4" w:space="0" w:color="7E7E7E"/>
            </w:tcBorders>
          </w:tcPr>
          <w:p>
            <w:pPr>
              <w:pStyle w:val="TableParagraph"/>
              <w:rPr>
                <w:rFonts w:ascii="Times New Roman"/>
                <w:sz w:val="18"/>
              </w:rPr>
            </w:pPr>
          </w:p>
        </w:tc>
        <w:tc>
          <w:tcPr>
            <w:tcW w:w="546" w:type="dxa"/>
            <w:tcBorders>
              <w:top w:val="single" w:sz="4" w:space="0" w:color="7E7E7E"/>
            </w:tcBorders>
          </w:tcPr>
          <w:p>
            <w:pPr>
              <w:pStyle w:val="TableParagraph"/>
              <w:spacing w:line="163" w:lineRule="exact" w:before="64"/>
              <w:ind w:left="120"/>
              <w:rPr>
                <w:rFonts w:ascii="楷体"/>
                <w:sz w:val="16"/>
              </w:rPr>
            </w:pPr>
            <w:r>
              <w:rPr>
                <w:rFonts w:ascii="楷体"/>
                <w:color w:val="585858"/>
                <w:sz w:val="16"/>
              </w:rPr>
              <w:t>2018</w:t>
            </w:r>
          </w:p>
        </w:tc>
        <w:tc>
          <w:tcPr>
            <w:tcW w:w="220" w:type="dxa"/>
            <w:tcBorders>
              <w:top w:val="single" w:sz="4" w:space="0" w:color="7E7E7E"/>
            </w:tcBorders>
          </w:tcPr>
          <w:p>
            <w:pPr>
              <w:pStyle w:val="TableParagraph"/>
              <w:rPr>
                <w:rFonts w:ascii="Times New Roman"/>
                <w:sz w:val="18"/>
              </w:rPr>
            </w:pPr>
          </w:p>
        </w:tc>
        <w:tc>
          <w:tcPr>
            <w:tcW w:w="549" w:type="dxa"/>
            <w:tcBorders>
              <w:top w:val="single" w:sz="4" w:space="0" w:color="7E7E7E"/>
            </w:tcBorders>
          </w:tcPr>
          <w:p>
            <w:pPr>
              <w:pStyle w:val="TableParagraph"/>
              <w:spacing w:line="163" w:lineRule="exact" w:before="64"/>
              <w:ind w:left="122"/>
              <w:rPr>
                <w:rFonts w:ascii="楷体"/>
                <w:sz w:val="16"/>
              </w:rPr>
            </w:pPr>
            <w:r>
              <w:rPr>
                <w:rFonts w:ascii="楷体"/>
                <w:color w:val="585858"/>
                <w:sz w:val="16"/>
              </w:rPr>
              <w:t>2019</w:t>
            </w:r>
          </w:p>
        </w:tc>
        <w:tc>
          <w:tcPr>
            <w:tcW w:w="436" w:type="dxa"/>
          </w:tcPr>
          <w:p>
            <w:pPr>
              <w:pStyle w:val="TableParagraph"/>
              <w:rPr>
                <w:rFonts w:ascii="Times New Roman"/>
                <w:sz w:val="18"/>
              </w:rPr>
            </w:pPr>
          </w:p>
        </w:tc>
        <w:tc>
          <w:tcPr>
            <w:tcW w:w="568" w:type="dxa"/>
            <w:tcBorders>
              <w:top w:val="single" w:sz="4" w:space="0" w:color="7E7E7E"/>
            </w:tcBorders>
          </w:tcPr>
          <w:p>
            <w:pPr>
              <w:pStyle w:val="TableParagraph"/>
              <w:spacing w:line="185" w:lineRule="exact" w:before="64"/>
              <w:ind w:left="114" w:right="93"/>
              <w:jc w:val="center"/>
              <w:rPr>
                <w:rFonts w:ascii="楷体"/>
                <w:sz w:val="16"/>
              </w:rPr>
            </w:pPr>
            <w:r>
              <w:rPr>
                <w:rFonts w:ascii="楷体"/>
                <w:color w:val="585858"/>
                <w:sz w:val="16"/>
              </w:rPr>
              <w:t>2014</w:t>
            </w:r>
          </w:p>
        </w:tc>
        <w:tc>
          <w:tcPr>
            <w:tcW w:w="227" w:type="dxa"/>
            <w:tcBorders>
              <w:top w:val="single" w:sz="4" w:space="0" w:color="7E7E7E"/>
            </w:tcBorders>
          </w:tcPr>
          <w:p>
            <w:pPr>
              <w:pStyle w:val="TableParagraph"/>
              <w:rPr>
                <w:rFonts w:ascii="Times New Roman"/>
                <w:sz w:val="18"/>
              </w:rPr>
            </w:pPr>
          </w:p>
        </w:tc>
        <w:tc>
          <w:tcPr>
            <w:tcW w:w="570" w:type="dxa"/>
            <w:tcBorders>
              <w:top w:val="single" w:sz="4" w:space="0" w:color="7E7E7E"/>
            </w:tcBorders>
          </w:tcPr>
          <w:p>
            <w:pPr>
              <w:pStyle w:val="TableParagraph"/>
              <w:spacing w:line="185" w:lineRule="exact" w:before="64"/>
              <w:ind w:left="117" w:right="93"/>
              <w:jc w:val="center"/>
              <w:rPr>
                <w:rFonts w:ascii="楷体"/>
                <w:sz w:val="16"/>
              </w:rPr>
            </w:pPr>
            <w:r>
              <w:rPr>
                <w:rFonts w:ascii="楷体"/>
                <w:color w:val="585858"/>
                <w:sz w:val="16"/>
              </w:rPr>
              <w:t>2015</w:t>
            </w:r>
          </w:p>
        </w:tc>
        <w:tc>
          <w:tcPr>
            <w:tcW w:w="227" w:type="dxa"/>
            <w:tcBorders>
              <w:top w:val="single" w:sz="4" w:space="0" w:color="7E7E7E"/>
            </w:tcBorders>
          </w:tcPr>
          <w:p>
            <w:pPr>
              <w:pStyle w:val="TableParagraph"/>
              <w:rPr>
                <w:rFonts w:ascii="Times New Roman"/>
                <w:sz w:val="18"/>
              </w:rPr>
            </w:pPr>
          </w:p>
        </w:tc>
        <w:tc>
          <w:tcPr>
            <w:tcW w:w="568" w:type="dxa"/>
            <w:tcBorders>
              <w:top w:val="single" w:sz="4" w:space="0" w:color="7E7E7E"/>
            </w:tcBorders>
          </w:tcPr>
          <w:p>
            <w:pPr>
              <w:pStyle w:val="TableParagraph"/>
              <w:spacing w:line="185" w:lineRule="exact" w:before="64"/>
              <w:ind w:right="107"/>
              <w:jc w:val="right"/>
              <w:rPr>
                <w:rFonts w:ascii="楷体"/>
                <w:sz w:val="16"/>
              </w:rPr>
            </w:pPr>
            <w:r>
              <w:rPr>
                <w:rFonts w:ascii="楷体"/>
                <w:color w:val="585858"/>
                <w:sz w:val="16"/>
              </w:rPr>
              <w:t>2016</w:t>
            </w:r>
          </w:p>
        </w:tc>
        <w:tc>
          <w:tcPr>
            <w:tcW w:w="227" w:type="dxa"/>
            <w:tcBorders>
              <w:top w:val="single" w:sz="4" w:space="0" w:color="7E7E7E"/>
            </w:tcBorders>
          </w:tcPr>
          <w:p>
            <w:pPr>
              <w:pStyle w:val="TableParagraph"/>
              <w:rPr>
                <w:rFonts w:ascii="Times New Roman"/>
                <w:sz w:val="18"/>
              </w:rPr>
            </w:pPr>
          </w:p>
        </w:tc>
        <w:tc>
          <w:tcPr>
            <w:tcW w:w="569" w:type="dxa"/>
            <w:tcBorders>
              <w:top w:val="single" w:sz="4" w:space="0" w:color="7E7E7E"/>
            </w:tcBorders>
          </w:tcPr>
          <w:p>
            <w:pPr>
              <w:pStyle w:val="TableParagraph"/>
              <w:spacing w:line="185" w:lineRule="exact" w:before="64"/>
              <w:ind w:right="106"/>
              <w:jc w:val="right"/>
              <w:rPr>
                <w:rFonts w:ascii="楷体"/>
                <w:sz w:val="16"/>
              </w:rPr>
            </w:pPr>
            <w:r>
              <w:rPr>
                <w:rFonts w:ascii="楷体"/>
                <w:color w:val="585858"/>
                <w:sz w:val="16"/>
              </w:rPr>
              <w:t>2017</w:t>
            </w:r>
          </w:p>
        </w:tc>
        <w:tc>
          <w:tcPr>
            <w:tcW w:w="226" w:type="dxa"/>
            <w:tcBorders>
              <w:top w:val="single" w:sz="4" w:space="0" w:color="7E7E7E"/>
            </w:tcBorders>
          </w:tcPr>
          <w:p>
            <w:pPr>
              <w:pStyle w:val="TableParagraph"/>
              <w:rPr>
                <w:rFonts w:ascii="Times New Roman"/>
                <w:sz w:val="18"/>
              </w:rPr>
            </w:pPr>
          </w:p>
        </w:tc>
        <w:tc>
          <w:tcPr>
            <w:tcW w:w="570" w:type="dxa"/>
            <w:tcBorders>
              <w:top w:val="single" w:sz="4" w:space="0" w:color="7E7E7E"/>
            </w:tcBorders>
          </w:tcPr>
          <w:p>
            <w:pPr>
              <w:pStyle w:val="TableParagraph"/>
              <w:spacing w:line="185" w:lineRule="exact" w:before="64"/>
              <w:ind w:right="103"/>
              <w:jc w:val="right"/>
              <w:rPr>
                <w:rFonts w:ascii="楷体"/>
                <w:sz w:val="16"/>
              </w:rPr>
            </w:pPr>
            <w:r>
              <w:rPr>
                <w:rFonts w:ascii="楷体"/>
                <w:color w:val="585858"/>
                <w:sz w:val="16"/>
              </w:rPr>
              <w:t>2018</w:t>
            </w:r>
          </w:p>
        </w:tc>
        <w:tc>
          <w:tcPr>
            <w:tcW w:w="227" w:type="dxa"/>
            <w:tcBorders>
              <w:top w:val="single" w:sz="4" w:space="0" w:color="7E7E7E"/>
            </w:tcBorders>
          </w:tcPr>
          <w:p>
            <w:pPr>
              <w:pStyle w:val="TableParagraph"/>
              <w:rPr>
                <w:rFonts w:ascii="Times New Roman"/>
                <w:sz w:val="18"/>
              </w:rPr>
            </w:pPr>
          </w:p>
        </w:tc>
        <w:tc>
          <w:tcPr>
            <w:tcW w:w="557" w:type="dxa"/>
            <w:tcBorders>
              <w:top w:val="single" w:sz="4" w:space="0" w:color="7E7E7E"/>
            </w:tcBorders>
          </w:tcPr>
          <w:p>
            <w:pPr>
              <w:pStyle w:val="TableParagraph"/>
              <w:spacing w:line="185" w:lineRule="exact" w:before="64"/>
              <w:ind w:right="90"/>
              <w:jc w:val="right"/>
              <w:rPr>
                <w:rFonts w:ascii="楷体"/>
                <w:sz w:val="16"/>
              </w:rPr>
            </w:pPr>
            <w:r>
              <w:rPr>
                <w:rFonts w:ascii="楷体"/>
                <w:color w:val="585858"/>
                <w:sz w:val="16"/>
              </w:rPr>
              <w:t>2019</w:t>
            </w:r>
          </w:p>
        </w:tc>
      </w:tr>
    </w:tbl>
    <w:p>
      <w:pPr>
        <w:pStyle w:val="BodyText"/>
        <w:spacing w:before="13"/>
        <w:rPr>
          <w:rFonts w:ascii="Microsoft JhengHei"/>
          <w:b/>
          <w:sz w:val="13"/>
        </w:rPr>
      </w:pPr>
      <w:r>
        <w:rPr/>
        <w:pict>
          <v:shape style="position:absolute;margin-left:60.264004pt;margin-top:14.589353pt;width:489.85pt;height:.5pt;mso-position-horizontal-relative:page;mso-position-vertical-relative:paragraph;z-index:-15692288;mso-wrap-distance-left:0;mso-wrap-distance-right:0" coordorigin="1205,292" coordsize="9797,10" path="m11002,292l6040,292,6030,292,1205,292,1205,301,6030,301,6040,301,11002,301,11002,292xe" filled="true" fillcolor="#000000" stroked="false">
            <v:path arrowok="t"/>
            <v:fill type="solid"/>
            <w10:wrap type="topAndBottom"/>
          </v:shape>
        </w:pict>
      </w:r>
    </w:p>
    <w:p>
      <w:pPr>
        <w:spacing w:line="304" w:lineRule="auto" w:before="0"/>
        <w:ind w:left="1070" w:right="616" w:firstLine="0"/>
        <w:jc w:val="left"/>
        <w:rPr>
          <w:sz w:val="18"/>
        </w:rPr>
      </w:pPr>
      <w:r>
        <w:rPr>
          <w:spacing w:val="-6"/>
          <w:sz w:val="18"/>
        </w:rPr>
        <w:t>资料来源：药时代</w:t>
      </w:r>
      <w:r>
        <w:rPr>
          <w:sz w:val="18"/>
        </w:rPr>
        <w:t>（</w:t>
      </w:r>
      <w:r>
        <w:rPr>
          <w:spacing w:val="-6"/>
          <w:sz w:val="18"/>
        </w:rPr>
        <w:t>促智类涵盖长春西汀、奥拉西坦、茴拉西坦、吡拉西坦、脑蛋白水解物及其复方制剂</w:t>
      </w:r>
      <w:r>
        <w:rPr>
          <w:spacing w:val="-17"/>
          <w:sz w:val="18"/>
        </w:rPr>
        <w:t>），</w:t>
      </w:r>
      <w:r>
        <w:rPr>
          <w:spacing w:val="-3"/>
          <w:sz w:val="18"/>
        </w:rPr>
        <w:t>兴业证券经济</w:t>
      </w:r>
      <w:r>
        <w:rPr>
          <w:sz w:val="18"/>
        </w:rPr>
        <w:t>与金融研究院整理</w:t>
      </w:r>
    </w:p>
    <w:p>
      <w:pPr>
        <w:pStyle w:val="BodyText"/>
        <w:spacing w:before="4"/>
        <w:rPr>
          <w:sz w:val="17"/>
        </w:rPr>
      </w:pPr>
    </w:p>
    <w:p>
      <w:pPr>
        <w:pStyle w:val="BodyText"/>
        <w:spacing w:line="302" w:lineRule="auto" w:before="72"/>
        <w:ind w:left="3163" w:right="723"/>
        <w:jc w:val="both"/>
      </w:pPr>
      <w:r>
        <w:rPr>
          <w:spacing w:val="-3"/>
        </w:rPr>
        <w:t>国内公立医院销售的主流抗痴呆药物中，多奈哌齐销售最佳，其次为美金刚，二</w:t>
      </w:r>
      <w:r>
        <w:rPr>
          <w:spacing w:val="-8"/>
        </w:rPr>
        <w:t>者贡献了超 </w:t>
      </w:r>
      <w:r>
        <w:rPr>
          <w:rFonts w:ascii="Times New Roman" w:eastAsia="Times New Roman"/>
        </w:rPr>
        <w:t>85%</w:t>
      </w:r>
      <w:r>
        <w:rPr>
          <w:spacing w:val="-5"/>
        </w:rPr>
        <w:t>的销售金额，市场优势明显。多奈哌齐在 </w:t>
      </w:r>
      <w:r>
        <w:rPr>
          <w:rFonts w:ascii="Times New Roman" w:eastAsia="Times New Roman"/>
        </w:rPr>
        <w:t>2015-2019 </w:t>
      </w:r>
      <w:r>
        <w:rPr>
          <w:spacing w:val="-3"/>
        </w:rPr>
        <w:t>年间的平均</w:t>
      </w:r>
      <w:r>
        <w:rPr>
          <w:spacing w:val="-8"/>
        </w:rPr>
        <w:t>复合销售增速为 </w:t>
      </w:r>
      <w:r>
        <w:rPr>
          <w:rFonts w:ascii="Times New Roman" w:eastAsia="Times New Roman"/>
          <w:spacing w:val="-10"/>
        </w:rPr>
        <w:t>12.28%</w:t>
      </w:r>
      <w:r>
        <w:rPr>
          <w:spacing w:val="-8"/>
        </w:rPr>
        <w:t>，盐酸美金刚为 </w:t>
      </w:r>
      <w:r>
        <w:rPr>
          <w:rFonts w:ascii="Times New Roman" w:eastAsia="Times New Roman"/>
        </w:rPr>
        <w:t>14.55%</w:t>
      </w:r>
      <w:r>
        <w:rPr>
          <w:spacing w:val="-9"/>
        </w:rPr>
        <w:t>。不过由于多奈哌齐和美金刚是第</w:t>
      </w:r>
      <w:r>
        <w:rPr>
          <w:spacing w:val="-7"/>
        </w:rPr>
        <w:t>二、三批国家集采品种，随着中选价格大幅下降，</w:t>
      </w:r>
      <w:r>
        <w:rPr>
          <w:rFonts w:ascii="Times New Roman" w:eastAsia="Times New Roman"/>
          <w:spacing w:val="-4"/>
        </w:rPr>
        <w:t>2021 </w:t>
      </w:r>
      <w:r>
        <w:rPr>
          <w:spacing w:val="-3"/>
        </w:rPr>
        <w:t>年上半年重点省市公立医</w:t>
      </w:r>
      <w:r>
        <w:rPr>
          <w:spacing w:val="-8"/>
        </w:rPr>
        <w:t>院终端美金刚销售额下滑 </w:t>
      </w:r>
      <w:r>
        <w:rPr>
          <w:rFonts w:ascii="Times New Roman" w:eastAsia="Times New Roman"/>
        </w:rPr>
        <w:t>62.22%</w:t>
      </w:r>
      <w:r>
        <w:rPr>
          <w:spacing w:val="-7"/>
        </w:rPr>
        <w:t>，多奈哌齐销售终端下滑了 </w:t>
      </w:r>
      <w:r>
        <w:rPr>
          <w:rFonts w:ascii="Times New Roman" w:eastAsia="Times New Roman"/>
        </w:rPr>
        <w:t>57.30%</w:t>
      </w:r>
      <w:r>
        <w:rPr/>
        <w:t>。</w:t>
      </w:r>
    </w:p>
    <w:p>
      <w:pPr>
        <w:pStyle w:val="BodyText"/>
        <w:spacing w:before="10"/>
        <w:rPr>
          <w:sz w:val="25"/>
        </w:rPr>
      </w:pPr>
    </w:p>
    <w:tbl>
      <w:tblPr>
        <w:tblW w:w="0" w:type="auto"/>
        <w:jc w:val="left"/>
        <w:tblInd w:w="6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72"/>
        <w:gridCol w:w="1828"/>
        <w:gridCol w:w="2777"/>
        <w:gridCol w:w="1337"/>
        <w:gridCol w:w="1253"/>
        <w:gridCol w:w="1265"/>
        <w:gridCol w:w="1145"/>
      </w:tblGrid>
      <w:tr>
        <w:trPr>
          <w:trHeight w:val="315" w:hRule="atLeast"/>
        </w:trPr>
        <w:tc>
          <w:tcPr>
            <w:tcW w:w="10377" w:type="dxa"/>
            <w:gridSpan w:val="7"/>
            <w:tcBorders>
              <w:bottom w:val="single" w:sz="4" w:space="0" w:color="000000"/>
            </w:tcBorders>
          </w:tcPr>
          <w:p>
            <w:pPr>
              <w:pStyle w:val="TableParagraph"/>
              <w:spacing w:line="295" w:lineRule="exact"/>
              <w:ind w:left="107"/>
              <w:rPr>
                <w:rFonts w:ascii="Microsoft JhengHei" w:eastAsia="Microsoft JhengHei" w:hint="eastAsia"/>
                <w:b/>
                <w:sz w:val="21"/>
              </w:rPr>
            </w:pPr>
            <w:bookmarkStart w:name="_bookmark52" w:id="73"/>
            <w:bookmarkEnd w:id="73"/>
            <w:r>
              <w:rPr/>
            </w:r>
            <w:r>
              <w:rPr>
                <w:rFonts w:ascii="Microsoft JhengHei" w:eastAsia="Microsoft JhengHei" w:hint="eastAsia"/>
                <w:b/>
                <w:sz w:val="21"/>
              </w:rPr>
              <w:t>表 </w:t>
            </w:r>
            <w:r>
              <w:rPr>
                <w:rFonts w:ascii="Times New Roman" w:eastAsia="Times New Roman"/>
                <w:b/>
                <w:sz w:val="21"/>
              </w:rPr>
              <w:t>10</w:t>
            </w:r>
            <w:r>
              <w:rPr>
                <w:rFonts w:ascii="Microsoft JhengHei" w:eastAsia="Microsoft JhengHei" w:hint="eastAsia"/>
                <w:b/>
                <w:sz w:val="21"/>
              </w:rPr>
              <w:t>、重点省市公立医院终端抗痴呆药 </w:t>
            </w:r>
            <w:r>
              <w:rPr>
                <w:rFonts w:ascii="Times New Roman" w:eastAsia="Times New Roman"/>
                <w:b/>
                <w:sz w:val="21"/>
              </w:rPr>
              <w:t>TOP10 </w:t>
            </w:r>
            <w:r>
              <w:rPr>
                <w:rFonts w:ascii="Microsoft JhengHei" w:eastAsia="Microsoft JhengHei" w:hint="eastAsia"/>
                <w:b/>
                <w:sz w:val="21"/>
              </w:rPr>
              <w:t>厂商</w:t>
            </w:r>
          </w:p>
        </w:tc>
      </w:tr>
      <w:tr>
        <w:trPr>
          <w:trHeight w:val="340" w:hRule="atLeast"/>
        </w:trPr>
        <w:tc>
          <w:tcPr>
            <w:tcW w:w="772" w:type="dxa"/>
            <w:tcBorders>
              <w:top w:val="single" w:sz="4" w:space="0" w:color="000000"/>
              <w:bottom w:val="single" w:sz="4" w:space="0" w:color="000000"/>
            </w:tcBorders>
            <w:shd w:val="clear" w:color="auto" w:fill="DEEBF6"/>
          </w:tcPr>
          <w:p>
            <w:pPr>
              <w:pStyle w:val="TableParagraph"/>
              <w:spacing w:line="298" w:lineRule="exact"/>
              <w:ind w:left="210" w:right="162"/>
              <w:jc w:val="center"/>
              <w:rPr>
                <w:rFonts w:ascii="Microsoft JhengHei" w:eastAsia="Microsoft JhengHei" w:hint="eastAsia"/>
                <w:b/>
                <w:sz w:val="18"/>
              </w:rPr>
            </w:pPr>
            <w:r>
              <w:rPr>
                <w:rFonts w:ascii="Microsoft JhengHei" w:eastAsia="Microsoft JhengHei" w:hint="eastAsia"/>
                <w:b/>
                <w:sz w:val="18"/>
              </w:rPr>
              <w:t>排名</w:t>
            </w:r>
          </w:p>
        </w:tc>
        <w:tc>
          <w:tcPr>
            <w:tcW w:w="1828" w:type="dxa"/>
            <w:tcBorders>
              <w:top w:val="single" w:sz="4" w:space="0" w:color="000000"/>
              <w:bottom w:val="single" w:sz="4" w:space="0" w:color="000000"/>
            </w:tcBorders>
            <w:shd w:val="clear" w:color="auto" w:fill="DEEBF6"/>
          </w:tcPr>
          <w:p>
            <w:pPr>
              <w:pStyle w:val="TableParagraph"/>
              <w:spacing w:line="298" w:lineRule="exact"/>
              <w:ind w:left="160" w:right="183"/>
              <w:jc w:val="center"/>
              <w:rPr>
                <w:rFonts w:ascii="Microsoft JhengHei" w:eastAsia="Microsoft JhengHei" w:hint="eastAsia"/>
                <w:b/>
                <w:sz w:val="18"/>
              </w:rPr>
            </w:pPr>
            <w:r>
              <w:rPr>
                <w:rFonts w:ascii="Microsoft JhengHei" w:eastAsia="Microsoft JhengHei" w:hint="eastAsia"/>
                <w:b/>
                <w:sz w:val="18"/>
              </w:rPr>
              <w:t>厂商</w:t>
            </w:r>
          </w:p>
        </w:tc>
        <w:tc>
          <w:tcPr>
            <w:tcW w:w="2777" w:type="dxa"/>
            <w:tcBorders>
              <w:top w:val="single" w:sz="4" w:space="0" w:color="000000"/>
              <w:bottom w:val="single" w:sz="4" w:space="0" w:color="000000"/>
            </w:tcBorders>
            <w:shd w:val="clear" w:color="auto" w:fill="DEEBF6"/>
          </w:tcPr>
          <w:p>
            <w:pPr>
              <w:pStyle w:val="TableParagraph"/>
              <w:spacing w:line="298" w:lineRule="exact"/>
              <w:ind w:left="189" w:right="206"/>
              <w:jc w:val="center"/>
              <w:rPr>
                <w:rFonts w:ascii="Microsoft JhengHei" w:eastAsia="Microsoft JhengHei" w:hint="eastAsia"/>
                <w:b/>
                <w:sz w:val="18"/>
              </w:rPr>
            </w:pPr>
            <w:r>
              <w:rPr>
                <w:rFonts w:ascii="Microsoft JhengHei" w:eastAsia="Microsoft JhengHei" w:hint="eastAsia"/>
                <w:b/>
                <w:sz w:val="18"/>
              </w:rPr>
              <w:t>骨干品种</w:t>
            </w:r>
          </w:p>
        </w:tc>
        <w:tc>
          <w:tcPr>
            <w:tcW w:w="1337" w:type="dxa"/>
            <w:tcBorders>
              <w:top w:val="single" w:sz="4" w:space="0" w:color="000000"/>
              <w:bottom w:val="single" w:sz="4" w:space="0" w:color="000000"/>
            </w:tcBorders>
            <w:shd w:val="clear" w:color="auto" w:fill="DEEBF6"/>
          </w:tcPr>
          <w:p>
            <w:pPr>
              <w:pStyle w:val="TableParagraph"/>
              <w:spacing w:line="298" w:lineRule="exact"/>
              <w:ind w:left="209" w:right="142"/>
              <w:jc w:val="center"/>
              <w:rPr>
                <w:rFonts w:ascii="Microsoft JhengHei" w:eastAsia="Microsoft JhengHei" w:hint="eastAsia"/>
                <w:b/>
                <w:sz w:val="18"/>
              </w:rPr>
            </w:pPr>
            <w:r>
              <w:rPr>
                <w:rFonts w:ascii="Times New Roman" w:eastAsia="Times New Roman"/>
                <w:b/>
                <w:sz w:val="18"/>
              </w:rPr>
              <w:t>2019 </w:t>
            </w:r>
            <w:r>
              <w:rPr>
                <w:rFonts w:ascii="Microsoft JhengHei" w:eastAsia="Microsoft JhengHei" w:hint="eastAsia"/>
                <w:b/>
                <w:sz w:val="18"/>
              </w:rPr>
              <w:t>年占比</w:t>
            </w:r>
          </w:p>
        </w:tc>
        <w:tc>
          <w:tcPr>
            <w:tcW w:w="1253" w:type="dxa"/>
            <w:tcBorders>
              <w:top w:val="single" w:sz="4" w:space="0" w:color="000000"/>
              <w:bottom w:val="single" w:sz="4" w:space="0" w:color="000000"/>
            </w:tcBorders>
            <w:shd w:val="clear" w:color="auto" w:fill="DEEBF6"/>
          </w:tcPr>
          <w:p>
            <w:pPr>
              <w:pStyle w:val="TableParagraph"/>
              <w:spacing w:line="298" w:lineRule="exact"/>
              <w:ind w:left="142" w:right="126"/>
              <w:jc w:val="center"/>
              <w:rPr>
                <w:rFonts w:ascii="Microsoft JhengHei" w:eastAsia="Microsoft JhengHei" w:hint="eastAsia"/>
                <w:b/>
                <w:sz w:val="18"/>
              </w:rPr>
            </w:pPr>
            <w:r>
              <w:rPr>
                <w:rFonts w:ascii="Times New Roman" w:eastAsia="Times New Roman"/>
                <w:b/>
                <w:sz w:val="18"/>
              </w:rPr>
              <w:t>2020 </w:t>
            </w:r>
            <w:r>
              <w:rPr>
                <w:rFonts w:ascii="Microsoft JhengHei" w:eastAsia="Microsoft JhengHei" w:hint="eastAsia"/>
                <w:b/>
                <w:sz w:val="18"/>
              </w:rPr>
              <w:t>年占比</w:t>
            </w:r>
          </w:p>
        </w:tc>
        <w:tc>
          <w:tcPr>
            <w:tcW w:w="1265" w:type="dxa"/>
            <w:tcBorders>
              <w:top w:val="single" w:sz="4" w:space="0" w:color="000000"/>
              <w:bottom w:val="single" w:sz="4" w:space="0" w:color="000000"/>
            </w:tcBorders>
            <w:shd w:val="clear" w:color="auto" w:fill="DEEBF6"/>
          </w:tcPr>
          <w:p>
            <w:pPr>
              <w:pStyle w:val="TableParagraph"/>
              <w:spacing w:line="298" w:lineRule="exact"/>
              <w:ind w:left="125" w:right="105"/>
              <w:jc w:val="center"/>
              <w:rPr>
                <w:rFonts w:ascii="Microsoft JhengHei" w:eastAsia="Microsoft JhengHei" w:hint="eastAsia"/>
                <w:b/>
                <w:sz w:val="18"/>
              </w:rPr>
            </w:pPr>
            <w:r>
              <w:rPr>
                <w:rFonts w:ascii="Times New Roman" w:eastAsia="Times New Roman"/>
                <w:b/>
                <w:sz w:val="18"/>
              </w:rPr>
              <w:t>2021H1 </w:t>
            </w:r>
            <w:r>
              <w:rPr>
                <w:rFonts w:ascii="Microsoft JhengHei" w:eastAsia="Microsoft JhengHei" w:hint="eastAsia"/>
                <w:b/>
                <w:sz w:val="18"/>
              </w:rPr>
              <w:t>占比</w:t>
            </w:r>
          </w:p>
        </w:tc>
        <w:tc>
          <w:tcPr>
            <w:tcW w:w="1145" w:type="dxa"/>
            <w:tcBorders>
              <w:top w:val="single" w:sz="4" w:space="0" w:color="000000"/>
              <w:bottom w:val="single" w:sz="4" w:space="0" w:color="000000"/>
            </w:tcBorders>
            <w:shd w:val="clear" w:color="auto" w:fill="DEEBF6"/>
          </w:tcPr>
          <w:p>
            <w:pPr>
              <w:pStyle w:val="TableParagraph"/>
              <w:spacing w:line="298" w:lineRule="exact"/>
              <w:ind w:left="107" w:right="92"/>
              <w:jc w:val="center"/>
              <w:rPr>
                <w:rFonts w:ascii="Microsoft JhengHei" w:eastAsia="Microsoft JhengHei" w:hint="eastAsia"/>
                <w:b/>
                <w:sz w:val="18"/>
              </w:rPr>
            </w:pPr>
            <w:r>
              <w:rPr>
                <w:rFonts w:ascii="Times New Roman" w:eastAsia="Times New Roman"/>
                <w:b/>
                <w:sz w:val="18"/>
              </w:rPr>
              <w:t>2021H </w:t>
            </w:r>
            <w:r>
              <w:rPr>
                <w:rFonts w:ascii="Microsoft JhengHei" w:eastAsia="Microsoft JhengHei" w:hint="eastAsia"/>
                <w:b/>
                <w:sz w:val="18"/>
              </w:rPr>
              <w:t>增幅</w:t>
            </w:r>
          </w:p>
        </w:tc>
      </w:tr>
      <w:tr>
        <w:trPr>
          <w:trHeight w:val="292" w:hRule="atLeast"/>
        </w:trPr>
        <w:tc>
          <w:tcPr>
            <w:tcW w:w="772" w:type="dxa"/>
            <w:tcBorders>
              <w:top w:val="single" w:sz="4" w:space="0" w:color="000000"/>
              <w:bottom w:val="single" w:sz="4" w:space="0" w:color="000000"/>
            </w:tcBorders>
          </w:tcPr>
          <w:p>
            <w:pPr>
              <w:pStyle w:val="TableParagraph"/>
              <w:spacing w:before="16"/>
              <w:ind w:left="48"/>
              <w:jc w:val="center"/>
              <w:rPr>
                <w:rFonts w:ascii="Times New Roman"/>
                <w:sz w:val="18"/>
              </w:rPr>
            </w:pPr>
            <w:r>
              <w:rPr>
                <w:rFonts w:ascii="Times New Roman"/>
                <w:sz w:val="18"/>
              </w:rPr>
              <w:t>1</w:t>
            </w:r>
          </w:p>
        </w:tc>
        <w:tc>
          <w:tcPr>
            <w:tcW w:w="1828" w:type="dxa"/>
            <w:tcBorders>
              <w:top w:val="single" w:sz="4" w:space="0" w:color="000000"/>
              <w:bottom w:val="single" w:sz="4" w:space="0" w:color="000000"/>
            </w:tcBorders>
          </w:tcPr>
          <w:p>
            <w:pPr>
              <w:pStyle w:val="TableParagraph"/>
              <w:spacing w:before="2"/>
              <w:ind w:left="160" w:right="188"/>
              <w:jc w:val="center"/>
              <w:rPr>
                <w:sz w:val="18"/>
              </w:rPr>
            </w:pPr>
            <w:r>
              <w:rPr>
                <w:sz w:val="18"/>
              </w:rPr>
              <w:t>卫材</w:t>
            </w:r>
          </w:p>
        </w:tc>
        <w:tc>
          <w:tcPr>
            <w:tcW w:w="2777" w:type="dxa"/>
            <w:tcBorders>
              <w:top w:val="single" w:sz="4" w:space="0" w:color="000000"/>
              <w:bottom w:val="single" w:sz="4" w:space="0" w:color="000000"/>
            </w:tcBorders>
          </w:tcPr>
          <w:p>
            <w:pPr>
              <w:pStyle w:val="TableParagraph"/>
              <w:spacing w:before="2"/>
              <w:ind w:left="189" w:right="207"/>
              <w:jc w:val="center"/>
              <w:rPr>
                <w:sz w:val="18"/>
              </w:rPr>
            </w:pPr>
            <w:r>
              <w:rPr>
                <w:sz w:val="18"/>
              </w:rPr>
              <w:t>盐酸多奈哌齐片</w:t>
            </w:r>
          </w:p>
        </w:tc>
        <w:tc>
          <w:tcPr>
            <w:tcW w:w="1337" w:type="dxa"/>
            <w:tcBorders>
              <w:top w:val="single" w:sz="4" w:space="0" w:color="000000"/>
              <w:bottom w:val="single" w:sz="4" w:space="0" w:color="000000"/>
            </w:tcBorders>
          </w:tcPr>
          <w:p>
            <w:pPr>
              <w:pStyle w:val="TableParagraph"/>
              <w:spacing w:before="16"/>
              <w:ind w:left="209" w:right="139"/>
              <w:jc w:val="center"/>
              <w:rPr>
                <w:rFonts w:ascii="Times New Roman"/>
                <w:sz w:val="18"/>
              </w:rPr>
            </w:pPr>
            <w:r>
              <w:rPr>
                <w:rFonts w:ascii="Times New Roman"/>
                <w:sz w:val="18"/>
              </w:rPr>
              <w:t>50.57%</w:t>
            </w:r>
          </w:p>
        </w:tc>
        <w:tc>
          <w:tcPr>
            <w:tcW w:w="1253" w:type="dxa"/>
            <w:tcBorders>
              <w:top w:val="single" w:sz="4" w:space="0" w:color="000000"/>
              <w:bottom w:val="single" w:sz="4" w:space="0" w:color="000000"/>
            </w:tcBorders>
          </w:tcPr>
          <w:p>
            <w:pPr>
              <w:pStyle w:val="TableParagraph"/>
              <w:spacing w:before="16"/>
              <w:ind w:left="142" w:right="122"/>
              <w:jc w:val="center"/>
              <w:rPr>
                <w:rFonts w:ascii="Times New Roman"/>
                <w:sz w:val="18"/>
              </w:rPr>
            </w:pPr>
            <w:r>
              <w:rPr>
                <w:rFonts w:ascii="Times New Roman"/>
                <w:sz w:val="18"/>
              </w:rPr>
              <w:t>31.84%</w:t>
            </w:r>
          </w:p>
        </w:tc>
        <w:tc>
          <w:tcPr>
            <w:tcW w:w="1265" w:type="dxa"/>
            <w:tcBorders>
              <w:top w:val="single" w:sz="4" w:space="0" w:color="000000"/>
              <w:bottom w:val="single" w:sz="4" w:space="0" w:color="000000"/>
            </w:tcBorders>
          </w:tcPr>
          <w:p>
            <w:pPr>
              <w:pStyle w:val="TableParagraph"/>
              <w:spacing w:before="16"/>
              <w:ind w:left="125" w:right="102"/>
              <w:jc w:val="center"/>
              <w:rPr>
                <w:rFonts w:ascii="Times New Roman"/>
                <w:sz w:val="18"/>
              </w:rPr>
            </w:pPr>
            <w:r>
              <w:rPr>
                <w:rFonts w:ascii="Times New Roman"/>
                <w:sz w:val="18"/>
              </w:rPr>
              <w:t>27.93%</w:t>
            </w:r>
          </w:p>
        </w:tc>
        <w:tc>
          <w:tcPr>
            <w:tcW w:w="1145" w:type="dxa"/>
            <w:tcBorders>
              <w:top w:val="single" w:sz="4" w:space="0" w:color="000000"/>
              <w:bottom w:val="single" w:sz="4" w:space="0" w:color="000000"/>
            </w:tcBorders>
          </w:tcPr>
          <w:p>
            <w:pPr>
              <w:pStyle w:val="TableParagraph"/>
              <w:spacing w:before="16"/>
              <w:ind w:left="107" w:right="92"/>
              <w:jc w:val="center"/>
              <w:rPr>
                <w:rFonts w:ascii="Times New Roman"/>
                <w:sz w:val="18"/>
              </w:rPr>
            </w:pPr>
            <w:r>
              <w:rPr>
                <w:rFonts w:ascii="Times New Roman"/>
                <w:sz w:val="18"/>
              </w:rPr>
              <w:t>-63.07%</w:t>
            </w:r>
          </w:p>
        </w:tc>
      </w:tr>
      <w:tr>
        <w:trPr>
          <w:trHeight w:val="290" w:hRule="atLeast"/>
        </w:trPr>
        <w:tc>
          <w:tcPr>
            <w:tcW w:w="772" w:type="dxa"/>
            <w:tcBorders>
              <w:top w:val="single" w:sz="4" w:space="0" w:color="000000"/>
              <w:bottom w:val="single" w:sz="4" w:space="0" w:color="000000"/>
            </w:tcBorders>
          </w:tcPr>
          <w:p>
            <w:pPr>
              <w:pStyle w:val="TableParagraph"/>
              <w:spacing w:before="16"/>
              <w:ind w:left="48"/>
              <w:jc w:val="center"/>
              <w:rPr>
                <w:rFonts w:ascii="Times New Roman"/>
                <w:sz w:val="18"/>
              </w:rPr>
            </w:pPr>
            <w:r>
              <w:rPr>
                <w:rFonts w:ascii="Times New Roman"/>
                <w:sz w:val="18"/>
              </w:rPr>
              <w:t>2</w:t>
            </w:r>
          </w:p>
        </w:tc>
        <w:tc>
          <w:tcPr>
            <w:tcW w:w="1828" w:type="dxa"/>
            <w:tcBorders>
              <w:top w:val="single" w:sz="4" w:space="0" w:color="000000"/>
              <w:bottom w:val="single" w:sz="4" w:space="0" w:color="000000"/>
            </w:tcBorders>
          </w:tcPr>
          <w:p>
            <w:pPr>
              <w:pStyle w:val="TableParagraph"/>
              <w:spacing w:before="2"/>
              <w:ind w:left="160" w:right="188"/>
              <w:jc w:val="center"/>
              <w:rPr>
                <w:sz w:val="18"/>
              </w:rPr>
            </w:pPr>
            <w:r>
              <w:rPr>
                <w:sz w:val="18"/>
              </w:rPr>
              <w:t>灵北</w:t>
            </w:r>
          </w:p>
        </w:tc>
        <w:tc>
          <w:tcPr>
            <w:tcW w:w="2777" w:type="dxa"/>
            <w:tcBorders>
              <w:top w:val="single" w:sz="4" w:space="0" w:color="000000"/>
              <w:bottom w:val="single" w:sz="4" w:space="0" w:color="000000"/>
            </w:tcBorders>
          </w:tcPr>
          <w:p>
            <w:pPr>
              <w:pStyle w:val="TableParagraph"/>
              <w:spacing w:before="2"/>
              <w:ind w:left="188" w:right="207"/>
              <w:jc w:val="center"/>
              <w:rPr>
                <w:sz w:val="18"/>
              </w:rPr>
            </w:pPr>
            <w:r>
              <w:rPr>
                <w:sz w:val="18"/>
              </w:rPr>
              <w:t>盐酸美金刚片</w:t>
            </w:r>
          </w:p>
        </w:tc>
        <w:tc>
          <w:tcPr>
            <w:tcW w:w="1337" w:type="dxa"/>
            <w:tcBorders>
              <w:top w:val="single" w:sz="4" w:space="0" w:color="000000"/>
              <w:bottom w:val="single" w:sz="4" w:space="0" w:color="000000"/>
            </w:tcBorders>
          </w:tcPr>
          <w:p>
            <w:pPr>
              <w:pStyle w:val="TableParagraph"/>
              <w:spacing w:before="16"/>
              <w:ind w:left="209" w:right="139"/>
              <w:jc w:val="center"/>
              <w:rPr>
                <w:rFonts w:ascii="Times New Roman"/>
                <w:sz w:val="18"/>
              </w:rPr>
            </w:pPr>
            <w:r>
              <w:rPr>
                <w:rFonts w:ascii="Times New Roman"/>
                <w:sz w:val="18"/>
              </w:rPr>
              <w:t>29.04%</w:t>
            </w:r>
          </w:p>
        </w:tc>
        <w:tc>
          <w:tcPr>
            <w:tcW w:w="1253" w:type="dxa"/>
            <w:tcBorders>
              <w:top w:val="single" w:sz="4" w:space="0" w:color="000000"/>
              <w:bottom w:val="single" w:sz="4" w:space="0" w:color="000000"/>
            </w:tcBorders>
          </w:tcPr>
          <w:p>
            <w:pPr>
              <w:pStyle w:val="TableParagraph"/>
              <w:spacing w:before="16"/>
              <w:ind w:left="142" w:right="122"/>
              <w:jc w:val="center"/>
              <w:rPr>
                <w:rFonts w:ascii="Times New Roman"/>
                <w:sz w:val="18"/>
              </w:rPr>
            </w:pPr>
            <w:r>
              <w:rPr>
                <w:rFonts w:ascii="Times New Roman"/>
                <w:sz w:val="18"/>
              </w:rPr>
              <w:t>37.66%</w:t>
            </w:r>
          </w:p>
        </w:tc>
        <w:tc>
          <w:tcPr>
            <w:tcW w:w="1265" w:type="dxa"/>
            <w:tcBorders>
              <w:top w:val="single" w:sz="4" w:space="0" w:color="000000"/>
              <w:bottom w:val="single" w:sz="4" w:space="0" w:color="000000"/>
            </w:tcBorders>
          </w:tcPr>
          <w:p>
            <w:pPr>
              <w:pStyle w:val="TableParagraph"/>
              <w:spacing w:before="16"/>
              <w:ind w:left="125" w:right="102"/>
              <w:jc w:val="center"/>
              <w:rPr>
                <w:rFonts w:ascii="Times New Roman"/>
                <w:sz w:val="18"/>
              </w:rPr>
            </w:pPr>
            <w:r>
              <w:rPr>
                <w:rFonts w:ascii="Times New Roman"/>
                <w:sz w:val="18"/>
              </w:rPr>
              <w:t>24.63%</w:t>
            </w:r>
          </w:p>
        </w:tc>
        <w:tc>
          <w:tcPr>
            <w:tcW w:w="1145" w:type="dxa"/>
            <w:tcBorders>
              <w:top w:val="single" w:sz="4" w:space="0" w:color="000000"/>
              <w:bottom w:val="single" w:sz="4" w:space="0" w:color="000000"/>
            </w:tcBorders>
          </w:tcPr>
          <w:p>
            <w:pPr>
              <w:pStyle w:val="TableParagraph"/>
              <w:spacing w:before="16"/>
              <w:ind w:left="107" w:right="92"/>
              <w:jc w:val="center"/>
              <w:rPr>
                <w:rFonts w:ascii="Times New Roman"/>
                <w:sz w:val="18"/>
              </w:rPr>
            </w:pPr>
            <w:r>
              <w:rPr>
                <w:rFonts w:ascii="Times New Roman"/>
                <w:sz w:val="18"/>
              </w:rPr>
              <w:t>-62.56%</w:t>
            </w:r>
          </w:p>
        </w:tc>
      </w:tr>
      <w:tr>
        <w:trPr>
          <w:trHeight w:val="585" w:hRule="atLeast"/>
        </w:trPr>
        <w:tc>
          <w:tcPr>
            <w:tcW w:w="772" w:type="dxa"/>
            <w:tcBorders>
              <w:top w:val="single" w:sz="4" w:space="0" w:color="000000"/>
              <w:bottom w:val="single" w:sz="4" w:space="0" w:color="000000"/>
            </w:tcBorders>
          </w:tcPr>
          <w:p>
            <w:pPr>
              <w:pStyle w:val="TableParagraph"/>
              <w:spacing w:before="163"/>
              <w:ind w:left="48"/>
              <w:jc w:val="center"/>
              <w:rPr>
                <w:rFonts w:ascii="Times New Roman"/>
                <w:sz w:val="18"/>
              </w:rPr>
            </w:pPr>
            <w:r>
              <w:rPr>
                <w:rFonts w:ascii="Times New Roman"/>
                <w:sz w:val="18"/>
              </w:rPr>
              <w:t>3</w:t>
            </w:r>
          </w:p>
        </w:tc>
        <w:tc>
          <w:tcPr>
            <w:tcW w:w="1828" w:type="dxa"/>
            <w:tcBorders>
              <w:top w:val="single" w:sz="4" w:space="0" w:color="000000"/>
              <w:bottom w:val="single" w:sz="4" w:space="0" w:color="000000"/>
            </w:tcBorders>
          </w:tcPr>
          <w:p>
            <w:pPr>
              <w:pStyle w:val="TableParagraph"/>
              <w:spacing w:before="148"/>
              <w:ind w:left="160" w:right="188"/>
              <w:jc w:val="center"/>
              <w:rPr>
                <w:sz w:val="18"/>
              </w:rPr>
            </w:pPr>
            <w:r>
              <w:rPr>
                <w:sz w:val="18"/>
              </w:rPr>
              <w:t>诺华</w:t>
            </w:r>
          </w:p>
        </w:tc>
        <w:tc>
          <w:tcPr>
            <w:tcW w:w="2777" w:type="dxa"/>
            <w:tcBorders>
              <w:top w:val="single" w:sz="4" w:space="0" w:color="000000"/>
              <w:bottom w:val="single" w:sz="4" w:space="0" w:color="000000"/>
            </w:tcBorders>
          </w:tcPr>
          <w:p>
            <w:pPr>
              <w:pStyle w:val="TableParagraph"/>
              <w:spacing w:before="2"/>
              <w:ind w:left="189" w:right="207"/>
              <w:jc w:val="center"/>
              <w:rPr>
                <w:sz w:val="18"/>
              </w:rPr>
            </w:pPr>
            <w:r>
              <w:rPr>
                <w:sz w:val="18"/>
              </w:rPr>
              <w:t>重酒石酸卡巴拉汀胶囊、</w:t>
            </w:r>
          </w:p>
          <w:p>
            <w:pPr>
              <w:pStyle w:val="TableParagraph"/>
              <w:spacing w:before="62"/>
              <w:ind w:left="188" w:right="207"/>
              <w:jc w:val="center"/>
              <w:rPr>
                <w:sz w:val="18"/>
              </w:rPr>
            </w:pPr>
            <w:r>
              <w:rPr>
                <w:sz w:val="18"/>
              </w:rPr>
              <w:t>利斯的明透皮贴剂</w:t>
            </w:r>
          </w:p>
        </w:tc>
        <w:tc>
          <w:tcPr>
            <w:tcW w:w="1337" w:type="dxa"/>
            <w:tcBorders>
              <w:top w:val="single" w:sz="4" w:space="0" w:color="000000"/>
              <w:bottom w:val="single" w:sz="4" w:space="0" w:color="000000"/>
            </w:tcBorders>
          </w:tcPr>
          <w:p>
            <w:pPr>
              <w:pStyle w:val="TableParagraph"/>
              <w:spacing w:before="163"/>
              <w:ind w:left="209" w:right="139"/>
              <w:jc w:val="center"/>
              <w:rPr>
                <w:rFonts w:ascii="Times New Roman"/>
                <w:sz w:val="18"/>
              </w:rPr>
            </w:pPr>
            <w:r>
              <w:rPr>
                <w:rFonts w:ascii="Times New Roman"/>
                <w:sz w:val="18"/>
              </w:rPr>
              <w:t>5.24%</w:t>
            </w:r>
          </w:p>
        </w:tc>
        <w:tc>
          <w:tcPr>
            <w:tcW w:w="1253" w:type="dxa"/>
            <w:tcBorders>
              <w:top w:val="single" w:sz="4" w:space="0" w:color="000000"/>
              <w:bottom w:val="single" w:sz="4" w:space="0" w:color="000000"/>
            </w:tcBorders>
          </w:tcPr>
          <w:p>
            <w:pPr>
              <w:pStyle w:val="TableParagraph"/>
              <w:spacing w:before="163"/>
              <w:ind w:left="142" w:right="122"/>
              <w:jc w:val="center"/>
              <w:rPr>
                <w:rFonts w:ascii="Times New Roman"/>
                <w:sz w:val="18"/>
              </w:rPr>
            </w:pPr>
            <w:r>
              <w:rPr>
                <w:rFonts w:ascii="Times New Roman"/>
                <w:sz w:val="18"/>
              </w:rPr>
              <w:t>7.67%</w:t>
            </w:r>
          </w:p>
        </w:tc>
        <w:tc>
          <w:tcPr>
            <w:tcW w:w="1265" w:type="dxa"/>
            <w:tcBorders>
              <w:top w:val="single" w:sz="4" w:space="0" w:color="000000"/>
              <w:bottom w:val="single" w:sz="4" w:space="0" w:color="000000"/>
            </w:tcBorders>
          </w:tcPr>
          <w:p>
            <w:pPr>
              <w:pStyle w:val="TableParagraph"/>
              <w:spacing w:before="163"/>
              <w:ind w:left="125" w:right="102"/>
              <w:jc w:val="center"/>
              <w:rPr>
                <w:rFonts w:ascii="Times New Roman"/>
                <w:sz w:val="18"/>
              </w:rPr>
            </w:pPr>
            <w:r>
              <w:rPr>
                <w:rFonts w:ascii="Times New Roman"/>
                <w:sz w:val="18"/>
              </w:rPr>
              <w:t>12.36%</w:t>
            </w:r>
          </w:p>
        </w:tc>
        <w:tc>
          <w:tcPr>
            <w:tcW w:w="1145" w:type="dxa"/>
            <w:tcBorders>
              <w:top w:val="single" w:sz="4" w:space="0" w:color="000000"/>
              <w:bottom w:val="single" w:sz="4" w:space="0" w:color="000000"/>
            </w:tcBorders>
          </w:tcPr>
          <w:p>
            <w:pPr>
              <w:pStyle w:val="TableParagraph"/>
              <w:spacing w:before="163"/>
              <w:ind w:left="105" w:right="92"/>
              <w:jc w:val="center"/>
              <w:rPr>
                <w:rFonts w:ascii="Times New Roman"/>
                <w:sz w:val="18"/>
              </w:rPr>
            </w:pPr>
            <w:r>
              <w:rPr>
                <w:rFonts w:ascii="Times New Roman"/>
                <w:sz w:val="18"/>
              </w:rPr>
              <w:t>7.05%</w:t>
            </w:r>
          </w:p>
        </w:tc>
      </w:tr>
      <w:tr>
        <w:trPr>
          <w:trHeight w:val="290" w:hRule="atLeast"/>
        </w:trPr>
        <w:tc>
          <w:tcPr>
            <w:tcW w:w="772" w:type="dxa"/>
            <w:tcBorders>
              <w:top w:val="single" w:sz="4" w:space="0" w:color="000000"/>
              <w:bottom w:val="single" w:sz="4" w:space="0" w:color="000000"/>
            </w:tcBorders>
          </w:tcPr>
          <w:p>
            <w:pPr>
              <w:pStyle w:val="TableParagraph"/>
              <w:spacing w:before="16"/>
              <w:ind w:left="48"/>
              <w:jc w:val="center"/>
              <w:rPr>
                <w:rFonts w:ascii="Times New Roman"/>
                <w:sz w:val="18"/>
              </w:rPr>
            </w:pPr>
            <w:r>
              <w:rPr>
                <w:rFonts w:ascii="Times New Roman"/>
                <w:sz w:val="18"/>
              </w:rPr>
              <w:t>4</w:t>
            </w:r>
          </w:p>
        </w:tc>
        <w:tc>
          <w:tcPr>
            <w:tcW w:w="1828" w:type="dxa"/>
            <w:tcBorders>
              <w:top w:val="single" w:sz="4" w:space="0" w:color="000000"/>
              <w:bottom w:val="single" w:sz="4" w:space="0" w:color="000000"/>
            </w:tcBorders>
          </w:tcPr>
          <w:p>
            <w:pPr>
              <w:pStyle w:val="TableParagraph"/>
              <w:spacing w:before="2"/>
              <w:ind w:left="160" w:right="188"/>
              <w:jc w:val="center"/>
              <w:rPr>
                <w:sz w:val="18"/>
              </w:rPr>
            </w:pPr>
            <w:r>
              <w:rPr>
                <w:sz w:val="18"/>
              </w:rPr>
              <w:t>海南灵康制药</w:t>
            </w:r>
          </w:p>
        </w:tc>
        <w:tc>
          <w:tcPr>
            <w:tcW w:w="2777" w:type="dxa"/>
            <w:tcBorders>
              <w:top w:val="single" w:sz="4" w:space="0" w:color="000000"/>
              <w:bottom w:val="single" w:sz="4" w:space="0" w:color="000000"/>
            </w:tcBorders>
          </w:tcPr>
          <w:p>
            <w:pPr>
              <w:pStyle w:val="TableParagraph"/>
              <w:spacing w:before="2"/>
              <w:ind w:left="189" w:right="207"/>
              <w:jc w:val="center"/>
              <w:rPr>
                <w:sz w:val="18"/>
              </w:rPr>
            </w:pPr>
            <w:r>
              <w:rPr>
                <w:sz w:val="18"/>
              </w:rPr>
              <w:t>注射用石杉碱甲</w:t>
            </w:r>
          </w:p>
        </w:tc>
        <w:tc>
          <w:tcPr>
            <w:tcW w:w="1337" w:type="dxa"/>
            <w:tcBorders>
              <w:top w:val="single" w:sz="4" w:space="0" w:color="000000"/>
              <w:bottom w:val="single" w:sz="4" w:space="0" w:color="000000"/>
            </w:tcBorders>
          </w:tcPr>
          <w:p>
            <w:pPr>
              <w:pStyle w:val="TableParagraph"/>
              <w:spacing w:before="16"/>
              <w:ind w:left="209" w:right="139"/>
              <w:jc w:val="center"/>
              <w:rPr>
                <w:rFonts w:ascii="Times New Roman"/>
                <w:sz w:val="18"/>
              </w:rPr>
            </w:pPr>
            <w:r>
              <w:rPr>
                <w:rFonts w:ascii="Times New Roman"/>
                <w:sz w:val="18"/>
              </w:rPr>
              <w:t>2.23%</w:t>
            </w:r>
          </w:p>
        </w:tc>
        <w:tc>
          <w:tcPr>
            <w:tcW w:w="1253" w:type="dxa"/>
            <w:tcBorders>
              <w:top w:val="single" w:sz="4" w:space="0" w:color="000000"/>
              <w:bottom w:val="single" w:sz="4" w:space="0" w:color="000000"/>
            </w:tcBorders>
          </w:tcPr>
          <w:p>
            <w:pPr>
              <w:pStyle w:val="TableParagraph"/>
              <w:spacing w:before="16"/>
              <w:ind w:left="142" w:right="122"/>
              <w:jc w:val="center"/>
              <w:rPr>
                <w:rFonts w:ascii="Times New Roman"/>
                <w:sz w:val="18"/>
              </w:rPr>
            </w:pPr>
            <w:r>
              <w:rPr>
                <w:rFonts w:ascii="Times New Roman"/>
                <w:sz w:val="18"/>
              </w:rPr>
              <w:t>5.12%</w:t>
            </w:r>
          </w:p>
        </w:tc>
        <w:tc>
          <w:tcPr>
            <w:tcW w:w="1265" w:type="dxa"/>
            <w:tcBorders>
              <w:top w:val="single" w:sz="4" w:space="0" w:color="000000"/>
              <w:bottom w:val="single" w:sz="4" w:space="0" w:color="000000"/>
            </w:tcBorders>
          </w:tcPr>
          <w:p>
            <w:pPr>
              <w:pStyle w:val="TableParagraph"/>
              <w:spacing w:before="16"/>
              <w:ind w:left="125" w:right="102"/>
              <w:jc w:val="center"/>
              <w:rPr>
                <w:rFonts w:ascii="Times New Roman"/>
                <w:sz w:val="18"/>
              </w:rPr>
            </w:pPr>
            <w:r>
              <w:rPr>
                <w:rFonts w:ascii="Times New Roman"/>
                <w:sz w:val="18"/>
              </w:rPr>
              <w:t>10.43%</w:t>
            </w:r>
          </w:p>
        </w:tc>
        <w:tc>
          <w:tcPr>
            <w:tcW w:w="1145" w:type="dxa"/>
            <w:tcBorders>
              <w:top w:val="single" w:sz="4" w:space="0" w:color="000000"/>
              <w:bottom w:val="single" w:sz="4" w:space="0" w:color="000000"/>
            </w:tcBorders>
          </w:tcPr>
          <w:p>
            <w:pPr>
              <w:pStyle w:val="TableParagraph"/>
              <w:spacing w:before="16"/>
              <w:ind w:left="107" w:right="89"/>
              <w:jc w:val="center"/>
              <w:rPr>
                <w:rFonts w:ascii="Times New Roman"/>
                <w:sz w:val="18"/>
              </w:rPr>
            </w:pPr>
            <w:r>
              <w:rPr>
                <w:rFonts w:ascii="Times New Roman"/>
                <w:sz w:val="18"/>
              </w:rPr>
              <w:t>40.00%</w:t>
            </w:r>
          </w:p>
        </w:tc>
      </w:tr>
      <w:tr>
        <w:trPr>
          <w:trHeight w:val="292" w:hRule="atLeast"/>
        </w:trPr>
        <w:tc>
          <w:tcPr>
            <w:tcW w:w="772" w:type="dxa"/>
            <w:tcBorders>
              <w:top w:val="single" w:sz="4" w:space="0" w:color="000000"/>
              <w:bottom w:val="single" w:sz="4" w:space="0" w:color="000000"/>
            </w:tcBorders>
          </w:tcPr>
          <w:p>
            <w:pPr>
              <w:pStyle w:val="TableParagraph"/>
              <w:spacing w:before="16"/>
              <w:ind w:left="48"/>
              <w:jc w:val="center"/>
              <w:rPr>
                <w:rFonts w:ascii="Times New Roman"/>
                <w:sz w:val="18"/>
              </w:rPr>
            </w:pPr>
            <w:r>
              <w:rPr>
                <w:rFonts w:ascii="Times New Roman"/>
                <w:sz w:val="18"/>
              </w:rPr>
              <w:t>5</w:t>
            </w:r>
          </w:p>
        </w:tc>
        <w:tc>
          <w:tcPr>
            <w:tcW w:w="1828" w:type="dxa"/>
            <w:tcBorders>
              <w:top w:val="single" w:sz="4" w:space="0" w:color="000000"/>
              <w:bottom w:val="single" w:sz="4" w:space="0" w:color="000000"/>
            </w:tcBorders>
          </w:tcPr>
          <w:p>
            <w:pPr>
              <w:pStyle w:val="TableParagraph"/>
              <w:spacing w:before="4"/>
              <w:ind w:left="160" w:right="188"/>
              <w:jc w:val="center"/>
              <w:rPr>
                <w:sz w:val="18"/>
              </w:rPr>
            </w:pPr>
            <w:r>
              <w:rPr>
                <w:sz w:val="18"/>
              </w:rPr>
              <w:t>重庆植恩药业</w:t>
            </w:r>
          </w:p>
        </w:tc>
        <w:tc>
          <w:tcPr>
            <w:tcW w:w="2777" w:type="dxa"/>
            <w:tcBorders>
              <w:top w:val="single" w:sz="4" w:space="0" w:color="000000"/>
              <w:bottom w:val="single" w:sz="4" w:space="0" w:color="000000"/>
            </w:tcBorders>
          </w:tcPr>
          <w:p>
            <w:pPr>
              <w:pStyle w:val="TableParagraph"/>
              <w:spacing w:before="4"/>
              <w:ind w:left="189" w:right="207"/>
              <w:jc w:val="center"/>
              <w:rPr>
                <w:sz w:val="18"/>
              </w:rPr>
            </w:pPr>
            <w:r>
              <w:rPr>
                <w:sz w:val="18"/>
              </w:rPr>
              <w:t>盐酸多奈哌齐片</w:t>
            </w:r>
          </w:p>
        </w:tc>
        <w:tc>
          <w:tcPr>
            <w:tcW w:w="1337" w:type="dxa"/>
            <w:tcBorders>
              <w:top w:val="single" w:sz="4" w:space="0" w:color="000000"/>
              <w:bottom w:val="single" w:sz="4" w:space="0" w:color="000000"/>
            </w:tcBorders>
          </w:tcPr>
          <w:p>
            <w:pPr>
              <w:pStyle w:val="TableParagraph"/>
              <w:spacing w:before="16"/>
              <w:ind w:left="209" w:right="139"/>
              <w:jc w:val="center"/>
              <w:rPr>
                <w:rFonts w:ascii="Times New Roman"/>
                <w:sz w:val="18"/>
              </w:rPr>
            </w:pPr>
            <w:r>
              <w:rPr>
                <w:rFonts w:ascii="Times New Roman"/>
                <w:sz w:val="18"/>
              </w:rPr>
              <w:t>0.41%</w:t>
            </w:r>
          </w:p>
        </w:tc>
        <w:tc>
          <w:tcPr>
            <w:tcW w:w="1253" w:type="dxa"/>
            <w:tcBorders>
              <w:top w:val="single" w:sz="4" w:space="0" w:color="000000"/>
              <w:bottom w:val="single" w:sz="4" w:space="0" w:color="000000"/>
            </w:tcBorders>
          </w:tcPr>
          <w:p>
            <w:pPr>
              <w:pStyle w:val="TableParagraph"/>
              <w:spacing w:before="16"/>
              <w:ind w:left="142" w:right="122"/>
              <w:jc w:val="center"/>
              <w:rPr>
                <w:rFonts w:ascii="Times New Roman"/>
                <w:sz w:val="18"/>
              </w:rPr>
            </w:pPr>
            <w:r>
              <w:rPr>
                <w:rFonts w:ascii="Times New Roman"/>
                <w:sz w:val="18"/>
              </w:rPr>
              <w:t>1.97%</w:t>
            </w:r>
          </w:p>
        </w:tc>
        <w:tc>
          <w:tcPr>
            <w:tcW w:w="1265" w:type="dxa"/>
            <w:tcBorders>
              <w:top w:val="single" w:sz="4" w:space="0" w:color="000000"/>
              <w:bottom w:val="single" w:sz="4" w:space="0" w:color="000000"/>
            </w:tcBorders>
          </w:tcPr>
          <w:p>
            <w:pPr>
              <w:pStyle w:val="TableParagraph"/>
              <w:spacing w:before="16"/>
              <w:ind w:left="125" w:right="102"/>
              <w:jc w:val="center"/>
              <w:rPr>
                <w:rFonts w:ascii="Times New Roman"/>
                <w:sz w:val="18"/>
              </w:rPr>
            </w:pPr>
            <w:r>
              <w:rPr>
                <w:rFonts w:ascii="Times New Roman"/>
                <w:sz w:val="18"/>
              </w:rPr>
              <w:t>4.80%</w:t>
            </w:r>
          </w:p>
        </w:tc>
        <w:tc>
          <w:tcPr>
            <w:tcW w:w="1145" w:type="dxa"/>
            <w:tcBorders>
              <w:top w:val="single" w:sz="4" w:space="0" w:color="000000"/>
              <w:bottom w:val="single" w:sz="4" w:space="0" w:color="000000"/>
            </w:tcBorders>
          </w:tcPr>
          <w:p>
            <w:pPr>
              <w:pStyle w:val="TableParagraph"/>
              <w:spacing w:before="16"/>
              <w:ind w:left="107" w:right="92"/>
              <w:jc w:val="center"/>
              <w:rPr>
                <w:rFonts w:ascii="Times New Roman"/>
                <w:sz w:val="18"/>
              </w:rPr>
            </w:pPr>
            <w:r>
              <w:rPr>
                <w:rFonts w:ascii="Times New Roman"/>
                <w:sz w:val="18"/>
              </w:rPr>
              <w:t>120.71%</w:t>
            </w:r>
          </w:p>
        </w:tc>
      </w:tr>
      <w:tr>
        <w:trPr>
          <w:trHeight w:val="292" w:hRule="atLeast"/>
        </w:trPr>
        <w:tc>
          <w:tcPr>
            <w:tcW w:w="772" w:type="dxa"/>
            <w:tcBorders>
              <w:top w:val="single" w:sz="4" w:space="0" w:color="000000"/>
              <w:bottom w:val="single" w:sz="4" w:space="0" w:color="000000"/>
            </w:tcBorders>
          </w:tcPr>
          <w:p>
            <w:pPr>
              <w:pStyle w:val="TableParagraph"/>
              <w:spacing w:before="16"/>
              <w:ind w:left="48"/>
              <w:jc w:val="center"/>
              <w:rPr>
                <w:rFonts w:ascii="Times New Roman"/>
                <w:sz w:val="18"/>
              </w:rPr>
            </w:pPr>
            <w:r>
              <w:rPr>
                <w:rFonts w:ascii="Times New Roman"/>
                <w:sz w:val="18"/>
              </w:rPr>
              <w:t>6</w:t>
            </w:r>
          </w:p>
        </w:tc>
        <w:tc>
          <w:tcPr>
            <w:tcW w:w="1828" w:type="dxa"/>
            <w:tcBorders>
              <w:top w:val="single" w:sz="4" w:space="0" w:color="000000"/>
              <w:bottom w:val="single" w:sz="4" w:space="0" w:color="000000"/>
            </w:tcBorders>
          </w:tcPr>
          <w:p>
            <w:pPr>
              <w:pStyle w:val="TableParagraph"/>
              <w:spacing w:before="2"/>
              <w:ind w:left="160" w:right="188"/>
              <w:jc w:val="center"/>
              <w:rPr>
                <w:sz w:val="18"/>
              </w:rPr>
            </w:pPr>
            <w:r>
              <w:rPr>
                <w:sz w:val="18"/>
              </w:rPr>
              <w:t>浙江华海药业</w:t>
            </w:r>
          </w:p>
        </w:tc>
        <w:tc>
          <w:tcPr>
            <w:tcW w:w="2777" w:type="dxa"/>
            <w:tcBorders>
              <w:top w:val="single" w:sz="4" w:space="0" w:color="000000"/>
              <w:bottom w:val="single" w:sz="4" w:space="0" w:color="000000"/>
            </w:tcBorders>
          </w:tcPr>
          <w:p>
            <w:pPr>
              <w:pStyle w:val="TableParagraph"/>
              <w:spacing w:before="2"/>
              <w:ind w:left="189" w:right="207"/>
              <w:jc w:val="center"/>
              <w:rPr>
                <w:sz w:val="18"/>
              </w:rPr>
            </w:pPr>
            <w:r>
              <w:rPr>
                <w:sz w:val="18"/>
              </w:rPr>
              <w:t>盐酸多奈哌齐片</w:t>
            </w:r>
          </w:p>
        </w:tc>
        <w:tc>
          <w:tcPr>
            <w:tcW w:w="1337" w:type="dxa"/>
            <w:tcBorders>
              <w:top w:val="single" w:sz="4" w:space="0" w:color="000000"/>
              <w:bottom w:val="single" w:sz="4" w:space="0" w:color="000000"/>
            </w:tcBorders>
          </w:tcPr>
          <w:p>
            <w:pPr>
              <w:pStyle w:val="TableParagraph"/>
              <w:spacing w:before="16"/>
              <w:ind w:left="209" w:right="139"/>
              <w:jc w:val="center"/>
              <w:rPr>
                <w:rFonts w:ascii="Times New Roman"/>
                <w:sz w:val="18"/>
              </w:rPr>
            </w:pPr>
            <w:r>
              <w:rPr>
                <w:rFonts w:ascii="Times New Roman"/>
                <w:sz w:val="18"/>
              </w:rPr>
              <w:t>0.03%</w:t>
            </w:r>
          </w:p>
        </w:tc>
        <w:tc>
          <w:tcPr>
            <w:tcW w:w="1253" w:type="dxa"/>
            <w:tcBorders>
              <w:top w:val="single" w:sz="4" w:space="0" w:color="000000"/>
              <w:bottom w:val="single" w:sz="4" w:space="0" w:color="000000"/>
            </w:tcBorders>
          </w:tcPr>
          <w:p>
            <w:pPr>
              <w:pStyle w:val="TableParagraph"/>
              <w:spacing w:before="16"/>
              <w:ind w:left="142" w:right="122"/>
              <w:jc w:val="center"/>
              <w:rPr>
                <w:rFonts w:ascii="Times New Roman"/>
                <w:sz w:val="18"/>
              </w:rPr>
            </w:pPr>
            <w:r>
              <w:rPr>
                <w:rFonts w:ascii="Times New Roman"/>
                <w:sz w:val="18"/>
              </w:rPr>
              <w:t>1.37%</w:t>
            </w:r>
          </w:p>
        </w:tc>
        <w:tc>
          <w:tcPr>
            <w:tcW w:w="1265" w:type="dxa"/>
            <w:tcBorders>
              <w:top w:val="single" w:sz="4" w:space="0" w:color="000000"/>
              <w:bottom w:val="single" w:sz="4" w:space="0" w:color="000000"/>
            </w:tcBorders>
          </w:tcPr>
          <w:p>
            <w:pPr>
              <w:pStyle w:val="TableParagraph"/>
              <w:spacing w:before="16"/>
              <w:ind w:left="125" w:right="102"/>
              <w:jc w:val="center"/>
              <w:rPr>
                <w:rFonts w:ascii="Times New Roman"/>
                <w:sz w:val="18"/>
              </w:rPr>
            </w:pPr>
            <w:r>
              <w:rPr>
                <w:rFonts w:ascii="Times New Roman"/>
                <w:sz w:val="18"/>
              </w:rPr>
              <w:t>4.01%</w:t>
            </w:r>
          </w:p>
        </w:tc>
        <w:tc>
          <w:tcPr>
            <w:tcW w:w="1145" w:type="dxa"/>
            <w:tcBorders>
              <w:top w:val="single" w:sz="4" w:space="0" w:color="000000"/>
              <w:bottom w:val="single" w:sz="4" w:space="0" w:color="000000"/>
            </w:tcBorders>
          </w:tcPr>
          <w:p>
            <w:pPr>
              <w:pStyle w:val="TableParagraph"/>
              <w:spacing w:before="16"/>
              <w:ind w:left="107" w:right="92"/>
              <w:jc w:val="center"/>
              <w:rPr>
                <w:rFonts w:ascii="Times New Roman"/>
                <w:sz w:val="18"/>
              </w:rPr>
            </w:pPr>
            <w:r>
              <w:rPr>
                <w:rFonts w:ascii="Times New Roman"/>
                <w:sz w:val="18"/>
              </w:rPr>
              <w:t>173.54%</w:t>
            </w:r>
          </w:p>
        </w:tc>
      </w:tr>
      <w:tr>
        <w:trPr>
          <w:trHeight w:val="292" w:hRule="atLeast"/>
        </w:trPr>
        <w:tc>
          <w:tcPr>
            <w:tcW w:w="772" w:type="dxa"/>
            <w:tcBorders>
              <w:top w:val="single" w:sz="4" w:space="0" w:color="000000"/>
              <w:bottom w:val="single" w:sz="4" w:space="0" w:color="000000"/>
            </w:tcBorders>
          </w:tcPr>
          <w:p>
            <w:pPr>
              <w:pStyle w:val="TableParagraph"/>
              <w:spacing w:before="16"/>
              <w:ind w:left="48"/>
              <w:jc w:val="center"/>
              <w:rPr>
                <w:rFonts w:ascii="Times New Roman"/>
                <w:sz w:val="18"/>
              </w:rPr>
            </w:pPr>
            <w:r>
              <w:rPr>
                <w:rFonts w:ascii="Times New Roman"/>
                <w:sz w:val="18"/>
              </w:rPr>
              <w:t>7</w:t>
            </w:r>
          </w:p>
        </w:tc>
        <w:tc>
          <w:tcPr>
            <w:tcW w:w="1828" w:type="dxa"/>
            <w:tcBorders>
              <w:top w:val="single" w:sz="4" w:space="0" w:color="000000"/>
              <w:bottom w:val="single" w:sz="4" w:space="0" w:color="000000"/>
            </w:tcBorders>
          </w:tcPr>
          <w:p>
            <w:pPr>
              <w:pStyle w:val="TableParagraph"/>
              <w:spacing w:before="2"/>
              <w:ind w:left="160" w:right="188"/>
              <w:jc w:val="center"/>
              <w:rPr>
                <w:sz w:val="18"/>
              </w:rPr>
            </w:pPr>
            <w:r>
              <w:rPr>
                <w:sz w:val="18"/>
              </w:rPr>
              <w:t>上海绿谷制药</w:t>
            </w:r>
          </w:p>
        </w:tc>
        <w:tc>
          <w:tcPr>
            <w:tcW w:w="2777" w:type="dxa"/>
            <w:tcBorders>
              <w:top w:val="single" w:sz="4" w:space="0" w:color="000000"/>
              <w:bottom w:val="single" w:sz="4" w:space="0" w:color="000000"/>
            </w:tcBorders>
          </w:tcPr>
          <w:p>
            <w:pPr>
              <w:pStyle w:val="TableParagraph"/>
              <w:spacing w:before="2"/>
              <w:ind w:left="188" w:right="207"/>
              <w:jc w:val="center"/>
              <w:rPr>
                <w:sz w:val="18"/>
              </w:rPr>
            </w:pPr>
            <w:r>
              <w:rPr>
                <w:sz w:val="18"/>
              </w:rPr>
              <w:t>甘露特钠胶囊</w:t>
            </w:r>
          </w:p>
        </w:tc>
        <w:tc>
          <w:tcPr>
            <w:tcW w:w="1337" w:type="dxa"/>
            <w:tcBorders>
              <w:top w:val="single" w:sz="4" w:space="0" w:color="000000"/>
              <w:bottom w:val="single" w:sz="4" w:space="0" w:color="000000"/>
            </w:tcBorders>
          </w:tcPr>
          <w:p>
            <w:pPr>
              <w:pStyle w:val="TableParagraph"/>
              <w:spacing w:before="16"/>
              <w:ind w:left="209" w:right="139"/>
              <w:jc w:val="center"/>
              <w:rPr>
                <w:rFonts w:ascii="Times New Roman"/>
                <w:sz w:val="18"/>
              </w:rPr>
            </w:pPr>
            <w:r>
              <w:rPr>
                <w:rFonts w:ascii="Times New Roman"/>
                <w:sz w:val="18"/>
              </w:rPr>
              <w:t>0.00%</w:t>
            </w:r>
          </w:p>
        </w:tc>
        <w:tc>
          <w:tcPr>
            <w:tcW w:w="1253" w:type="dxa"/>
            <w:tcBorders>
              <w:top w:val="single" w:sz="4" w:space="0" w:color="000000"/>
              <w:bottom w:val="single" w:sz="4" w:space="0" w:color="000000"/>
            </w:tcBorders>
          </w:tcPr>
          <w:p>
            <w:pPr>
              <w:pStyle w:val="TableParagraph"/>
              <w:spacing w:before="16"/>
              <w:ind w:left="142" w:right="122"/>
              <w:jc w:val="center"/>
              <w:rPr>
                <w:rFonts w:ascii="Times New Roman"/>
                <w:sz w:val="18"/>
              </w:rPr>
            </w:pPr>
            <w:r>
              <w:rPr>
                <w:rFonts w:ascii="Times New Roman"/>
                <w:sz w:val="18"/>
              </w:rPr>
              <w:t>0.68%</w:t>
            </w:r>
          </w:p>
        </w:tc>
        <w:tc>
          <w:tcPr>
            <w:tcW w:w="1265" w:type="dxa"/>
            <w:tcBorders>
              <w:top w:val="single" w:sz="4" w:space="0" w:color="000000"/>
              <w:bottom w:val="single" w:sz="4" w:space="0" w:color="000000"/>
            </w:tcBorders>
          </w:tcPr>
          <w:p>
            <w:pPr>
              <w:pStyle w:val="TableParagraph"/>
              <w:spacing w:before="16"/>
              <w:ind w:left="125" w:right="102"/>
              <w:jc w:val="center"/>
              <w:rPr>
                <w:rFonts w:ascii="Times New Roman"/>
                <w:sz w:val="18"/>
              </w:rPr>
            </w:pPr>
            <w:r>
              <w:rPr>
                <w:rFonts w:ascii="Times New Roman"/>
                <w:sz w:val="18"/>
              </w:rPr>
              <w:t>2.63%</w:t>
            </w:r>
          </w:p>
        </w:tc>
        <w:tc>
          <w:tcPr>
            <w:tcW w:w="1145" w:type="dxa"/>
            <w:tcBorders>
              <w:top w:val="single" w:sz="4" w:space="0" w:color="000000"/>
              <w:bottom w:val="single" w:sz="4" w:space="0" w:color="000000"/>
            </w:tcBorders>
          </w:tcPr>
          <w:p>
            <w:pPr>
              <w:pStyle w:val="TableParagraph"/>
              <w:spacing w:before="16"/>
              <w:ind w:left="107" w:right="92"/>
              <w:jc w:val="center"/>
              <w:rPr>
                <w:rFonts w:ascii="Times New Roman"/>
                <w:sz w:val="18"/>
              </w:rPr>
            </w:pPr>
            <w:r>
              <w:rPr>
                <w:rFonts w:ascii="Times New Roman"/>
                <w:sz w:val="18"/>
              </w:rPr>
              <w:t>268.48%</w:t>
            </w:r>
          </w:p>
        </w:tc>
      </w:tr>
      <w:tr>
        <w:trPr>
          <w:trHeight w:val="290" w:hRule="atLeast"/>
        </w:trPr>
        <w:tc>
          <w:tcPr>
            <w:tcW w:w="772" w:type="dxa"/>
            <w:tcBorders>
              <w:top w:val="single" w:sz="4" w:space="0" w:color="000000"/>
              <w:bottom w:val="single" w:sz="4" w:space="0" w:color="000000"/>
            </w:tcBorders>
          </w:tcPr>
          <w:p>
            <w:pPr>
              <w:pStyle w:val="TableParagraph"/>
              <w:spacing w:before="16"/>
              <w:ind w:left="48"/>
              <w:jc w:val="center"/>
              <w:rPr>
                <w:rFonts w:ascii="Times New Roman"/>
                <w:sz w:val="18"/>
              </w:rPr>
            </w:pPr>
            <w:r>
              <w:rPr>
                <w:rFonts w:ascii="Times New Roman"/>
                <w:sz w:val="18"/>
              </w:rPr>
              <w:t>8</w:t>
            </w:r>
          </w:p>
        </w:tc>
        <w:tc>
          <w:tcPr>
            <w:tcW w:w="1828" w:type="dxa"/>
            <w:tcBorders>
              <w:top w:val="single" w:sz="4" w:space="0" w:color="000000"/>
              <w:bottom w:val="single" w:sz="4" w:space="0" w:color="000000"/>
            </w:tcBorders>
          </w:tcPr>
          <w:p>
            <w:pPr>
              <w:pStyle w:val="TableParagraph"/>
              <w:spacing w:before="2"/>
              <w:ind w:left="160" w:right="188"/>
              <w:jc w:val="center"/>
              <w:rPr>
                <w:sz w:val="18"/>
              </w:rPr>
            </w:pPr>
            <w:r>
              <w:rPr>
                <w:sz w:val="18"/>
              </w:rPr>
              <w:t>上海复旦复华药业</w:t>
            </w:r>
          </w:p>
        </w:tc>
        <w:tc>
          <w:tcPr>
            <w:tcW w:w="2777" w:type="dxa"/>
            <w:tcBorders>
              <w:top w:val="single" w:sz="4" w:space="0" w:color="000000"/>
              <w:bottom w:val="single" w:sz="4" w:space="0" w:color="000000"/>
            </w:tcBorders>
          </w:tcPr>
          <w:p>
            <w:pPr>
              <w:pStyle w:val="TableParagraph"/>
              <w:spacing w:before="2"/>
              <w:ind w:left="188" w:right="207"/>
              <w:jc w:val="center"/>
              <w:rPr>
                <w:sz w:val="18"/>
              </w:rPr>
            </w:pPr>
            <w:r>
              <w:rPr>
                <w:sz w:val="18"/>
              </w:rPr>
              <w:t>石杉碱甲（片、胶囊）</w:t>
            </w:r>
          </w:p>
        </w:tc>
        <w:tc>
          <w:tcPr>
            <w:tcW w:w="1337" w:type="dxa"/>
            <w:tcBorders>
              <w:top w:val="single" w:sz="4" w:space="0" w:color="000000"/>
              <w:bottom w:val="single" w:sz="4" w:space="0" w:color="000000"/>
            </w:tcBorders>
          </w:tcPr>
          <w:p>
            <w:pPr>
              <w:pStyle w:val="TableParagraph"/>
              <w:spacing w:before="16"/>
              <w:ind w:left="209" w:right="139"/>
              <w:jc w:val="center"/>
              <w:rPr>
                <w:rFonts w:ascii="Times New Roman"/>
                <w:sz w:val="18"/>
              </w:rPr>
            </w:pPr>
            <w:r>
              <w:rPr>
                <w:rFonts w:ascii="Times New Roman"/>
                <w:sz w:val="18"/>
              </w:rPr>
              <w:t>0.96%</w:t>
            </w:r>
          </w:p>
        </w:tc>
        <w:tc>
          <w:tcPr>
            <w:tcW w:w="1253" w:type="dxa"/>
            <w:tcBorders>
              <w:top w:val="single" w:sz="4" w:space="0" w:color="000000"/>
              <w:bottom w:val="single" w:sz="4" w:space="0" w:color="000000"/>
            </w:tcBorders>
          </w:tcPr>
          <w:p>
            <w:pPr>
              <w:pStyle w:val="TableParagraph"/>
              <w:spacing w:before="16"/>
              <w:ind w:left="142" w:right="122"/>
              <w:jc w:val="center"/>
              <w:rPr>
                <w:rFonts w:ascii="Times New Roman"/>
                <w:sz w:val="18"/>
              </w:rPr>
            </w:pPr>
            <w:r>
              <w:rPr>
                <w:rFonts w:ascii="Times New Roman"/>
                <w:sz w:val="18"/>
              </w:rPr>
              <w:t>1.08%</w:t>
            </w:r>
          </w:p>
        </w:tc>
        <w:tc>
          <w:tcPr>
            <w:tcW w:w="1265" w:type="dxa"/>
            <w:tcBorders>
              <w:top w:val="single" w:sz="4" w:space="0" w:color="000000"/>
              <w:bottom w:val="single" w:sz="4" w:space="0" w:color="000000"/>
            </w:tcBorders>
          </w:tcPr>
          <w:p>
            <w:pPr>
              <w:pStyle w:val="TableParagraph"/>
              <w:spacing w:before="16"/>
              <w:ind w:left="125" w:right="102"/>
              <w:jc w:val="center"/>
              <w:rPr>
                <w:rFonts w:ascii="Times New Roman"/>
                <w:sz w:val="18"/>
              </w:rPr>
            </w:pPr>
            <w:r>
              <w:rPr>
                <w:rFonts w:ascii="Times New Roman"/>
                <w:sz w:val="18"/>
              </w:rPr>
              <w:t>1.98%</w:t>
            </w:r>
          </w:p>
        </w:tc>
        <w:tc>
          <w:tcPr>
            <w:tcW w:w="1145" w:type="dxa"/>
            <w:tcBorders>
              <w:top w:val="single" w:sz="4" w:space="0" w:color="000000"/>
              <w:bottom w:val="single" w:sz="4" w:space="0" w:color="000000"/>
            </w:tcBorders>
          </w:tcPr>
          <w:p>
            <w:pPr>
              <w:pStyle w:val="TableParagraph"/>
              <w:spacing w:before="16"/>
              <w:ind w:left="107" w:right="89"/>
              <w:jc w:val="center"/>
              <w:rPr>
                <w:rFonts w:ascii="Times New Roman"/>
                <w:sz w:val="18"/>
              </w:rPr>
            </w:pPr>
            <w:r>
              <w:rPr>
                <w:rFonts w:ascii="Times New Roman"/>
                <w:sz w:val="18"/>
              </w:rPr>
              <w:t>15.38%</w:t>
            </w:r>
          </w:p>
        </w:tc>
      </w:tr>
      <w:tr>
        <w:trPr>
          <w:trHeight w:val="292" w:hRule="atLeast"/>
        </w:trPr>
        <w:tc>
          <w:tcPr>
            <w:tcW w:w="772" w:type="dxa"/>
            <w:tcBorders>
              <w:top w:val="single" w:sz="4" w:space="0" w:color="000000"/>
              <w:bottom w:val="single" w:sz="4" w:space="0" w:color="000000"/>
            </w:tcBorders>
          </w:tcPr>
          <w:p>
            <w:pPr>
              <w:pStyle w:val="TableParagraph"/>
              <w:spacing w:before="16"/>
              <w:ind w:left="48"/>
              <w:jc w:val="center"/>
              <w:rPr>
                <w:rFonts w:ascii="Times New Roman"/>
                <w:sz w:val="18"/>
              </w:rPr>
            </w:pPr>
            <w:r>
              <w:rPr>
                <w:rFonts w:ascii="Times New Roman"/>
                <w:sz w:val="18"/>
              </w:rPr>
              <w:t>9</w:t>
            </w:r>
          </w:p>
        </w:tc>
        <w:tc>
          <w:tcPr>
            <w:tcW w:w="1828" w:type="dxa"/>
            <w:tcBorders>
              <w:top w:val="single" w:sz="4" w:space="0" w:color="000000"/>
              <w:bottom w:val="single" w:sz="4" w:space="0" w:color="000000"/>
            </w:tcBorders>
          </w:tcPr>
          <w:p>
            <w:pPr>
              <w:pStyle w:val="TableParagraph"/>
              <w:spacing w:before="4"/>
              <w:ind w:left="160" w:right="188"/>
              <w:jc w:val="center"/>
              <w:rPr>
                <w:sz w:val="18"/>
              </w:rPr>
            </w:pPr>
            <w:r>
              <w:rPr>
                <w:sz w:val="18"/>
              </w:rPr>
              <w:t>联邦制药</w:t>
            </w:r>
          </w:p>
        </w:tc>
        <w:tc>
          <w:tcPr>
            <w:tcW w:w="2777" w:type="dxa"/>
            <w:tcBorders>
              <w:top w:val="single" w:sz="4" w:space="0" w:color="000000"/>
              <w:bottom w:val="single" w:sz="4" w:space="0" w:color="000000"/>
            </w:tcBorders>
          </w:tcPr>
          <w:p>
            <w:pPr>
              <w:pStyle w:val="TableParagraph"/>
              <w:spacing w:before="4"/>
              <w:ind w:left="189" w:right="207"/>
              <w:jc w:val="center"/>
              <w:rPr>
                <w:sz w:val="18"/>
              </w:rPr>
            </w:pPr>
            <w:r>
              <w:rPr>
                <w:sz w:val="18"/>
              </w:rPr>
              <w:t>盐酸美金刚（片、口服溶液）</w:t>
            </w:r>
          </w:p>
        </w:tc>
        <w:tc>
          <w:tcPr>
            <w:tcW w:w="1337" w:type="dxa"/>
            <w:tcBorders>
              <w:top w:val="single" w:sz="4" w:space="0" w:color="000000"/>
              <w:bottom w:val="single" w:sz="4" w:space="0" w:color="000000"/>
            </w:tcBorders>
          </w:tcPr>
          <w:p>
            <w:pPr>
              <w:pStyle w:val="TableParagraph"/>
              <w:spacing w:before="16"/>
              <w:ind w:left="209" w:right="139"/>
              <w:jc w:val="center"/>
              <w:rPr>
                <w:rFonts w:ascii="Times New Roman"/>
                <w:sz w:val="18"/>
              </w:rPr>
            </w:pPr>
            <w:r>
              <w:rPr>
                <w:rFonts w:ascii="Times New Roman"/>
                <w:sz w:val="18"/>
              </w:rPr>
              <w:t>5.51%</w:t>
            </w:r>
          </w:p>
        </w:tc>
        <w:tc>
          <w:tcPr>
            <w:tcW w:w="1253" w:type="dxa"/>
            <w:tcBorders>
              <w:top w:val="single" w:sz="4" w:space="0" w:color="000000"/>
              <w:bottom w:val="single" w:sz="4" w:space="0" w:color="000000"/>
            </w:tcBorders>
          </w:tcPr>
          <w:p>
            <w:pPr>
              <w:pStyle w:val="TableParagraph"/>
              <w:spacing w:before="16"/>
              <w:ind w:left="142" w:right="122"/>
              <w:jc w:val="center"/>
              <w:rPr>
                <w:rFonts w:ascii="Times New Roman"/>
                <w:sz w:val="18"/>
              </w:rPr>
            </w:pPr>
            <w:r>
              <w:rPr>
                <w:rFonts w:ascii="Times New Roman"/>
                <w:sz w:val="18"/>
              </w:rPr>
              <w:t>8.26%</w:t>
            </w:r>
          </w:p>
        </w:tc>
        <w:tc>
          <w:tcPr>
            <w:tcW w:w="1265" w:type="dxa"/>
            <w:tcBorders>
              <w:top w:val="single" w:sz="4" w:space="0" w:color="000000"/>
              <w:bottom w:val="single" w:sz="4" w:space="0" w:color="000000"/>
            </w:tcBorders>
          </w:tcPr>
          <w:p>
            <w:pPr>
              <w:pStyle w:val="TableParagraph"/>
              <w:spacing w:before="16"/>
              <w:ind w:left="125" w:right="102"/>
              <w:jc w:val="center"/>
              <w:rPr>
                <w:rFonts w:ascii="Times New Roman"/>
                <w:sz w:val="18"/>
              </w:rPr>
            </w:pPr>
            <w:r>
              <w:rPr>
                <w:rFonts w:ascii="Times New Roman"/>
                <w:sz w:val="18"/>
              </w:rPr>
              <w:t>1.66%</w:t>
            </w:r>
          </w:p>
        </w:tc>
        <w:tc>
          <w:tcPr>
            <w:tcW w:w="1145" w:type="dxa"/>
            <w:tcBorders>
              <w:top w:val="single" w:sz="4" w:space="0" w:color="000000"/>
              <w:bottom w:val="single" w:sz="4" w:space="0" w:color="000000"/>
            </w:tcBorders>
          </w:tcPr>
          <w:p>
            <w:pPr>
              <w:pStyle w:val="TableParagraph"/>
              <w:spacing w:before="16"/>
              <w:ind w:left="107" w:right="92"/>
              <w:jc w:val="center"/>
              <w:rPr>
                <w:rFonts w:ascii="Times New Roman"/>
                <w:sz w:val="18"/>
              </w:rPr>
            </w:pPr>
            <w:r>
              <w:rPr>
                <w:rFonts w:ascii="Times New Roman"/>
                <w:sz w:val="18"/>
              </w:rPr>
              <w:t>-88.75%</w:t>
            </w:r>
          </w:p>
        </w:tc>
      </w:tr>
      <w:tr>
        <w:trPr>
          <w:trHeight w:val="292" w:hRule="atLeast"/>
        </w:trPr>
        <w:tc>
          <w:tcPr>
            <w:tcW w:w="772" w:type="dxa"/>
            <w:tcBorders>
              <w:top w:val="single" w:sz="4" w:space="0" w:color="000000"/>
              <w:bottom w:val="single" w:sz="4" w:space="0" w:color="000000"/>
            </w:tcBorders>
          </w:tcPr>
          <w:p>
            <w:pPr>
              <w:pStyle w:val="TableParagraph"/>
              <w:spacing w:before="16"/>
              <w:ind w:left="210" w:right="161"/>
              <w:jc w:val="center"/>
              <w:rPr>
                <w:rFonts w:ascii="Times New Roman"/>
                <w:sz w:val="18"/>
              </w:rPr>
            </w:pPr>
            <w:r>
              <w:rPr>
                <w:rFonts w:ascii="Times New Roman"/>
                <w:sz w:val="18"/>
              </w:rPr>
              <w:t>10</w:t>
            </w:r>
          </w:p>
        </w:tc>
        <w:tc>
          <w:tcPr>
            <w:tcW w:w="1828" w:type="dxa"/>
            <w:tcBorders>
              <w:top w:val="single" w:sz="4" w:space="0" w:color="000000"/>
              <w:bottom w:val="single" w:sz="4" w:space="0" w:color="000000"/>
            </w:tcBorders>
          </w:tcPr>
          <w:p>
            <w:pPr>
              <w:pStyle w:val="TableParagraph"/>
              <w:spacing w:before="2"/>
              <w:ind w:left="160" w:right="185"/>
              <w:jc w:val="center"/>
              <w:rPr>
                <w:sz w:val="18"/>
              </w:rPr>
            </w:pPr>
            <w:r>
              <w:rPr>
                <w:sz w:val="18"/>
              </w:rPr>
              <w:t>白云山制药总厂</w:t>
            </w:r>
          </w:p>
        </w:tc>
        <w:tc>
          <w:tcPr>
            <w:tcW w:w="2777" w:type="dxa"/>
            <w:tcBorders>
              <w:top w:val="single" w:sz="4" w:space="0" w:color="000000"/>
              <w:bottom w:val="single" w:sz="4" w:space="0" w:color="000000"/>
            </w:tcBorders>
          </w:tcPr>
          <w:p>
            <w:pPr>
              <w:pStyle w:val="TableParagraph"/>
              <w:spacing w:before="2"/>
              <w:ind w:left="188" w:right="207"/>
              <w:jc w:val="center"/>
              <w:rPr>
                <w:sz w:val="18"/>
              </w:rPr>
            </w:pPr>
            <w:r>
              <w:rPr>
                <w:sz w:val="18"/>
              </w:rPr>
              <w:t>盐酸美金刚片</w:t>
            </w:r>
          </w:p>
        </w:tc>
        <w:tc>
          <w:tcPr>
            <w:tcW w:w="1337" w:type="dxa"/>
            <w:tcBorders>
              <w:top w:val="single" w:sz="4" w:space="0" w:color="000000"/>
              <w:bottom w:val="single" w:sz="4" w:space="0" w:color="000000"/>
            </w:tcBorders>
          </w:tcPr>
          <w:p>
            <w:pPr>
              <w:pStyle w:val="TableParagraph"/>
              <w:spacing w:before="16"/>
              <w:ind w:left="209" w:right="139"/>
              <w:jc w:val="center"/>
              <w:rPr>
                <w:rFonts w:ascii="Times New Roman"/>
                <w:sz w:val="18"/>
              </w:rPr>
            </w:pPr>
            <w:r>
              <w:rPr>
                <w:rFonts w:ascii="Times New Roman"/>
                <w:sz w:val="18"/>
              </w:rPr>
              <w:t>0.00%</w:t>
            </w:r>
          </w:p>
        </w:tc>
        <w:tc>
          <w:tcPr>
            <w:tcW w:w="1253" w:type="dxa"/>
            <w:tcBorders>
              <w:top w:val="single" w:sz="4" w:space="0" w:color="000000"/>
              <w:bottom w:val="single" w:sz="4" w:space="0" w:color="000000"/>
            </w:tcBorders>
          </w:tcPr>
          <w:p>
            <w:pPr>
              <w:pStyle w:val="TableParagraph"/>
              <w:spacing w:before="16"/>
              <w:ind w:left="142" w:right="122"/>
              <w:jc w:val="center"/>
              <w:rPr>
                <w:rFonts w:ascii="Times New Roman"/>
                <w:sz w:val="18"/>
              </w:rPr>
            </w:pPr>
            <w:r>
              <w:rPr>
                <w:rFonts w:ascii="Times New Roman"/>
                <w:sz w:val="18"/>
              </w:rPr>
              <w:t>0.07%</w:t>
            </w:r>
          </w:p>
        </w:tc>
        <w:tc>
          <w:tcPr>
            <w:tcW w:w="1265" w:type="dxa"/>
            <w:tcBorders>
              <w:top w:val="single" w:sz="4" w:space="0" w:color="000000"/>
              <w:bottom w:val="single" w:sz="4" w:space="0" w:color="000000"/>
            </w:tcBorders>
          </w:tcPr>
          <w:p>
            <w:pPr>
              <w:pStyle w:val="TableParagraph"/>
              <w:spacing w:before="16"/>
              <w:ind w:left="125" w:right="102"/>
              <w:jc w:val="center"/>
              <w:rPr>
                <w:rFonts w:ascii="Times New Roman"/>
                <w:sz w:val="18"/>
              </w:rPr>
            </w:pPr>
            <w:r>
              <w:rPr>
                <w:rFonts w:ascii="Times New Roman"/>
                <w:sz w:val="18"/>
              </w:rPr>
              <w:t>1.47%</w:t>
            </w:r>
          </w:p>
        </w:tc>
        <w:tc>
          <w:tcPr>
            <w:tcW w:w="1145" w:type="dxa"/>
            <w:tcBorders>
              <w:top w:val="single" w:sz="4" w:space="0" w:color="000000"/>
              <w:bottom w:val="single" w:sz="4" w:space="0" w:color="000000"/>
            </w:tcBorders>
          </w:tcPr>
          <w:p>
            <w:pPr>
              <w:pStyle w:val="TableParagraph"/>
              <w:spacing w:before="16"/>
              <w:ind w:left="15"/>
              <w:jc w:val="center"/>
              <w:rPr>
                <w:rFonts w:ascii="Times New Roman"/>
                <w:sz w:val="18"/>
              </w:rPr>
            </w:pPr>
            <w:r>
              <w:rPr>
                <w:rFonts w:ascii="Times New Roman"/>
                <w:sz w:val="18"/>
              </w:rPr>
              <w:t>/</w:t>
            </w:r>
          </w:p>
        </w:tc>
      </w:tr>
      <w:tr>
        <w:trPr>
          <w:trHeight w:val="207" w:hRule="atLeast"/>
        </w:trPr>
        <w:tc>
          <w:tcPr>
            <w:tcW w:w="5377" w:type="dxa"/>
            <w:gridSpan w:val="3"/>
            <w:tcBorders>
              <w:top w:val="single" w:sz="4" w:space="0" w:color="000000"/>
            </w:tcBorders>
          </w:tcPr>
          <w:p>
            <w:pPr>
              <w:pStyle w:val="TableParagraph"/>
              <w:spacing w:line="185" w:lineRule="exact" w:before="2"/>
              <w:ind w:left="107"/>
              <w:rPr>
                <w:sz w:val="18"/>
              </w:rPr>
            </w:pPr>
            <w:r>
              <w:rPr>
                <w:sz w:val="18"/>
              </w:rPr>
              <w:t>资料来源：米内网，兴业证券经济与金融研究院整理</w:t>
            </w:r>
          </w:p>
        </w:tc>
        <w:tc>
          <w:tcPr>
            <w:tcW w:w="1337" w:type="dxa"/>
            <w:tcBorders>
              <w:top w:val="single" w:sz="4" w:space="0" w:color="000000"/>
            </w:tcBorders>
          </w:tcPr>
          <w:p>
            <w:pPr>
              <w:pStyle w:val="TableParagraph"/>
              <w:rPr>
                <w:rFonts w:ascii="Times New Roman"/>
                <w:sz w:val="14"/>
              </w:rPr>
            </w:pPr>
          </w:p>
        </w:tc>
        <w:tc>
          <w:tcPr>
            <w:tcW w:w="1253" w:type="dxa"/>
            <w:tcBorders>
              <w:top w:val="single" w:sz="4" w:space="0" w:color="000000"/>
            </w:tcBorders>
          </w:tcPr>
          <w:p>
            <w:pPr>
              <w:pStyle w:val="TableParagraph"/>
              <w:rPr>
                <w:rFonts w:ascii="Times New Roman"/>
                <w:sz w:val="14"/>
              </w:rPr>
            </w:pPr>
          </w:p>
        </w:tc>
        <w:tc>
          <w:tcPr>
            <w:tcW w:w="1265" w:type="dxa"/>
            <w:tcBorders>
              <w:top w:val="single" w:sz="4" w:space="0" w:color="000000"/>
            </w:tcBorders>
          </w:tcPr>
          <w:p>
            <w:pPr>
              <w:pStyle w:val="TableParagraph"/>
              <w:rPr>
                <w:rFonts w:ascii="Times New Roman"/>
                <w:sz w:val="14"/>
              </w:rPr>
            </w:pPr>
          </w:p>
        </w:tc>
        <w:tc>
          <w:tcPr>
            <w:tcW w:w="1145" w:type="dxa"/>
            <w:tcBorders>
              <w:top w:val="single" w:sz="4" w:space="0" w:color="000000"/>
            </w:tcBorders>
          </w:tcPr>
          <w:p>
            <w:pPr>
              <w:pStyle w:val="TableParagraph"/>
              <w:rPr>
                <w:rFonts w:ascii="Times New Roman"/>
                <w:sz w:val="14"/>
              </w:rPr>
            </w:pPr>
          </w:p>
        </w:tc>
      </w:tr>
    </w:tbl>
    <w:p>
      <w:pPr>
        <w:spacing w:after="0"/>
        <w:rPr>
          <w:rFonts w:ascii="Times New Roman"/>
          <w:sz w:val="14"/>
        </w:rPr>
        <w:sectPr>
          <w:type w:val="continuous"/>
          <w:pgSz w:w="11910" w:h="16840"/>
          <w:pgMar w:top="220" w:bottom="1400" w:left="240" w:right="400"/>
        </w:sectPr>
      </w:pPr>
    </w:p>
    <w:p>
      <w:pPr>
        <w:pStyle w:val="BodyText"/>
        <w:spacing w:before="4"/>
        <w:rPr>
          <w:sz w:val="13"/>
        </w:rPr>
      </w:pPr>
    </w:p>
    <w:p>
      <w:pPr>
        <w:pStyle w:val="BodyText"/>
        <w:spacing w:line="20" w:lineRule="exact"/>
        <w:ind w:left="614"/>
        <w:rPr>
          <w:sz w:val="2"/>
        </w:rPr>
      </w:pPr>
      <w:r>
        <w:rPr>
          <w:sz w:val="2"/>
        </w:rPr>
        <w:pict>
          <v:group style="width:508.1pt;height:.75pt;mso-position-horizontal-relative:char;mso-position-vertical-relative:line" coordorigin="0,0" coordsize="10162,15">
            <v:rect style="position:absolute;left:0;top:0;width:10162;height:15" filled="true" fillcolor="#333366" stroked="false">
              <v:fill type="solid"/>
            </v:rect>
          </v:group>
        </w:pict>
      </w:r>
      <w:r>
        <w:rPr>
          <w:sz w:val="2"/>
        </w:rPr>
      </w:r>
    </w:p>
    <w:p>
      <w:pPr>
        <w:pStyle w:val="Heading1"/>
        <w:numPr>
          <w:ilvl w:val="0"/>
          <w:numId w:val="3"/>
        </w:numPr>
        <w:tabs>
          <w:tab w:pos="3453" w:val="left" w:leader="none"/>
        </w:tabs>
        <w:spacing w:line="402" w:lineRule="exact" w:before="0" w:after="0"/>
        <w:ind w:left="3452" w:right="0" w:hanging="290"/>
        <w:jc w:val="left"/>
      </w:pPr>
      <w:bookmarkStart w:name="_bookmark53" w:id="74"/>
      <w:bookmarkEnd w:id="74"/>
      <w:r>
        <w:rPr>
          <w:b w:val="0"/>
        </w:rPr>
      </w:r>
      <w:bookmarkStart w:name="_bookmark53" w:id="75"/>
      <w:bookmarkEnd w:id="75"/>
      <w:r>
        <w:rPr>
          <w:color w:val="333366"/>
        </w:rPr>
        <w:t>投资建议</w:t>
      </w:r>
    </w:p>
    <w:p>
      <w:pPr>
        <w:spacing w:line="232" w:lineRule="auto" w:before="0"/>
        <w:ind w:left="3163" w:right="726" w:firstLine="0"/>
        <w:jc w:val="both"/>
        <w:rPr>
          <w:sz w:val="21"/>
        </w:rPr>
      </w:pPr>
      <w:r>
        <w:rPr>
          <w:rFonts w:ascii="Microsoft JhengHei" w:hAnsi="Microsoft JhengHei" w:eastAsia="Microsoft JhengHei" w:hint="eastAsia"/>
          <w:b/>
          <w:spacing w:val="-3"/>
          <w:sz w:val="21"/>
        </w:rPr>
        <w:t>阿尔茨海默病相关药物已有显著疗效数据发布，在有效性和安全性上仍有提升空间，在研新药大有可为。</w:t>
      </w:r>
      <w:r>
        <w:rPr>
          <w:spacing w:val="-9"/>
          <w:sz w:val="21"/>
        </w:rPr>
        <w:t>过去 </w:t>
      </w:r>
      <w:r>
        <w:rPr>
          <w:rFonts w:ascii="Times New Roman" w:hAnsi="Times New Roman" w:eastAsia="Times New Roman"/>
          <w:sz w:val="21"/>
        </w:rPr>
        <w:t>AD </w:t>
      </w:r>
      <w:r>
        <w:rPr>
          <w:spacing w:val="-3"/>
          <w:sz w:val="21"/>
        </w:rPr>
        <w:t>药物研发始终困难重重，近年来随着机制的不</w:t>
      </w:r>
      <w:r>
        <w:rPr>
          <w:spacing w:val="-10"/>
          <w:sz w:val="21"/>
        </w:rPr>
        <w:t>断探索，药物临床试验的推进，</w:t>
      </w:r>
      <w:r>
        <w:rPr>
          <w:rFonts w:ascii="Times New Roman" w:hAnsi="Times New Roman" w:eastAsia="Times New Roman"/>
          <w:spacing w:val="-16"/>
          <w:sz w:val="21"/>
        </w:rPr>
        <w:t>A</w:t>
      </w:r>
      <w:r>
        <w:rPr>
          <w:spacing w:val="-16"/>
          <w:sz w:val="21"/>
        </w:rPr>
        <w:t>β</w:t>
      </w:r>
      <w:r>
        <w:rPr>
          <w:spacing w:val="-6"/>
          <w:sz w:val="21"/>
        </w:rPr>
        <w:t>相关药物相继有显著疗效的数据披露。目前已</w:t>
      </w:r>
    </w:p>
    <w:p>
      <w:pPr>
        <w:pStyle w:val="BodyText"/>
        <w:spacing w:line="304" w:lineRule="auto" w:before="61"/>
        <w:ind w:left="3163" w:right="723"/>
        <w:jc w:val="both"/>
      </w:pPr>
      <w:r>
        <w:rPr>
          <w:spacing w:val="-18"/>
        </w:rPr>
        <w:t>有 </w:t>
      </w:r>
      <w:r>
        <w:rPr>
          <w:rFonts w:ascii="Times New Roman" w:hAnsi="Times New Roman" w:eastAsia="Times New Roman"/>
        </w:rPr>
        <w:t>2 </w:t>
      </w:r>
      <w:r>
        <w:rPr>
          <w:spacing w:val="-13"/>
        </w:rPr>
        <w:t>款抗 </w:t>
      </w:r>
      <w:r>
        <w:rPr>
          <w:rFonts w:ascii="Times New Roman" w:hAnsi="Times New Roman" w:eastAsia="Times New Roman"/>
        </w:rPr>
        <w:t>A</w:t>
      </w:r>
      <w:r>
        <w:rPr/>
        <w:t>β</w:t>
      </w:r>
      <w:r>
        <w:rPr>
          <w:spacing w:val="-9"/>
        </w:rPr>
        <w:t>抗体获得 </w:t>
      </w:r>
      <w:r>
        <w:rPr>
          <w:rFonts w:ascii="Times New Roman" w:hAnsi="Times New Roman" w:eastAsia="Times New Roman"/>
        </w:rPr>
        <w:t>FDA </w:t>
      </w:r>
      <w:r>
        <w:rPr>
          <w:spacing w:val="-8"/>
        </w:rPr>
        <w:t>批准，其中 </w:t>
      </w:r>
      <w:r>
        <w:rPr>
          <w:rFonts w:ascii="Times New Roman" w:hAnsi="Times New Roman" w:eastAsia="Times New Roman"/>
        </w:rPr>
        <w:t>Lecanemab </w:t>
      </w:r>
      <w:r>
        <w:rPr>
          <w:spacing w:val="-3"/>
        </w:rPr>
        <w:t>更为实至名归，也已于近期</w:t>
      </w:r>
      <w:r>
        <w:rPr>
          <w:spacing w:val="-15"/>
        </w:rPr>
        <w:t>获得 </w:t>
      </w:r>
      <w:r>
        <w:rPr>
          <w:rFonts w:ascii="Times New Roman" w:hAnsi="Times New Roman" w:eastAsia="Times New Roman"/>
        </w:rPr>
        <w:t>FDA </w:t>
      </w:r>
      <w:r>
        <w:rPr>
          <w:spacing w:val="-10"/>
        </w:rPr>
        <w:t>的完全批准，未来随着美国医疗保险和医疗补助服务中心</w:t>
      </w:r>
      <w:r>
        <w:rPr>
          <w:spacing w:val="-9"/>
        </w:rPr>
        <w:t>（</w:t>
      </w:r>
      <w:r>
        <w:rPr>
          <w:rFonts w:ascii="Times New Roman" w:hAnsi="Times New Roman" w:eastAsia="Times New Roman"/>
          <w:spacing w:val="-9"/>
        </w:rPr>
        <w:t>CMS</w:t>
      </w:r>
      <w:r>
        <w:rPr>
          <w:spacing w:val="-9"/>
        </w:rPr>
        <w:t>）</w:t>
      </w:r>
      <w:r>
        <w:rPr/>
        <w:t>的医</w:t>
      </w:r>
      <w:r>
        <w:rPr>
          <w:spacing w:val="-8"/>
        </w:rPr>
        <w:t>保覆盖也将实现进一步的销售放量。与此同时，礼来的 </w:t>
      </w:r>
      <w:r>
        <w:rPr>
          <w:rFonts w:ascii="Times New Roman" w:hAnsi="Times New Roman" w:eastAsia="Times New Roman"/>
        </w:rPr>
        <w:t>Donanemab </w:t>
      </w:r>
      <w:r>
        <w:rPr>
          <w:spacing w:val="-3"/>
        </w:rPr>
        <w:t>也显示出可比</w:t>
      </w:r>
      <w:r>
        <w:rPr>
          <w:spacing w:val="5"/>
        </w:rPr>
        <w:t>的治疗效果，均可延长患者的疾病进展约 </w:t>
      </w:r>
      <w:r>
        <w:rPr>
          <w:rFonts w:ascii="Times New Roman" w:hAnsi="Times New Roman" w:eastAsia="Times New Roman"/>
        </w:rPr>
        <w:t>7.5 </w:t>
      </w:r>
      <w:r>
        <w:rPr>
          <w:spacing w:val="6"/>
        </w:rPr>
        <w:t>月。与 </w:t>
      </w:r>
      <w:r>
        <w:rPr>
          <w:rFonts w:ascii="Times New Roman" w:hAnsi="Times New Roman" w:eastAsia="Times New Roman"/>
        </w:rPr>
        <w:t>Lecanemab </w:t>
      </w:r>
      <w:r>
        <w:rPr>
          <w:spacing w:val="6"/>
        </w:rPr>
        <w:t>不同的是， </w:t>
      </w:r>
      <w:r>
        <w:rPr>
          <w:rFonts w:ascii="Times New Roman" w:hAnsi="Times New Roman" w:eastAsia="Times New Roman"/>
          <w:spacing w:val="6"/>
        </w:rPr>
        <w:t>Donanemab </w:t>
      </w:r>
      <w:r>
        <w:rPr>
          <w:spacing w:val="-4"/>
        </w:rPr>
        <w:t>显示出了对亚组更优的治疗效果，包括疾病早期或 </w:t>
      </w:r>
      <w:r>
        <w:rPr>
          <w:rFonts w:ascii="Times New Roman" w:hAnsi="Times New Roman" w:eastAsia="Times New Roman"/>
        </w:rPr>
        <w:t>75 </w:t>
      </w:r>
      <w:r>
        <w:rPr>
          <w:spacing w:val="-9"/>
        </w:rPr>
        <w:t>岁以下 </w:t>
      </w:r>
      <w:r>
        <w:rPr>
          <w:rFonts w:ascii="Times New Roman" w:hAnsi="Times New Roman" w:eastAsia="Times New Roman"/>
          <w:spacing w:val="-6"/>
        </w:rPr>
        <w:t>Tau </w:t>
      </w:r>
      <w:r>
        <w:rPr/>
        <w:t>蛋</w:t>
      </w:r>
      <w:r>
        <w:rPr>
          <w:spacing w:val="-3"/>
        </w:rPr>
        <w:t>白中低表达的人群。不过上述抗 </w:t>
      </w:r>
      <w:r>
        <w:rPr>
          <w:rFonts w:ascii="Times New Roman" w:hAnsi="Times New Roman" w:eastAsia="Times New Roman"/>
        </w:rPr>
        <w:t>A</w:t>
      </w:r>
      <w:r>
        <w:rPr/>
        <w:t>β</w:t>
      </w:r>
      <w:r>
        <w:rPr>
          <w:spacing w:val="-3"/>
        </w:rPr>
        <w:t>单抗的副作用仍然不可忽视，淀粉样蛋白相</w:t>
      </w:r>
      <w:r>
        <w:rPr>
          <w:spacing w:val="16"/>
        </w:rPr>
        <w:t>关的成像异常</w:t>
      </w:r>
      <w:r>
        <w:rPr/>
        <w:t>（</w:t>
      </w:r>
      <w:r>
        <w:rPr>
          <w:spacing w:val="-73"/>
        </w:rPr>
        <w:t> </w:t>
      </w:r>
      <w:r>
        <w:rPr>
          <w:rFonts w:ascii="Times New Roman" w:hAnsi="Times New Roman" w:eastAsia="Times New Roman"/>
          <w:spacing w:val="6"/>
        </w:rPr>
        <w:t>ARIA</w:t>
      </w:r>
      <w:r>
        <w:rPr>
          <w:spacing w:val="13"/>
        </w:rPr>
        <w:t>，包括脑水肿和脑出血</w:t>
      </w:r>
      <w:r>
        <w:rPr>
          <w:spacing w:val="16"/>
        </w:rPr>
        <w:t>）</w:t>
      </w:r>
      <w:r>
        <w:rPr>
          <w:spacing w:val="14"/>
        </w:rPr>
        <w:t>始终尚未解决，因此在使用</w:t>
      </w:r>
      <w:r>
        <w:rPr>
          <w:rFonts w:ascii="Times New Roman" w:hAnsi="Times New Roman" w:eastAsia="Times New Roman"/>
          <w:spacing w:val="14"/>
        </w:rPr>
        <w:t>Lecanemab </w:t>
      </w:r>
      <w:r>
        <w:rPr>
          <w:spacing w:val="-3"/>
        </w:rPr>
        <w:t>类单抗药物时，医生需要对患者进行充分的告知和有效的安全管理， 以避免高危患者出现严重的不良反应。此外，还有几款产品展现出不俗的临床表</w:t>
      </w:r>
      <w:r>
        <w:rPr>
          <w:spacing w:val="-6"/>
        </w:rPr>
        <w:t>现，包括口服小分子 </w:t>
      </w:r>
      <w:r>
        <w:rPr>
          <w:rFonts w:ascii="Times New Roman" w:hAnsi="Times New Roman" w:eastAsia="Times New Roman"/>
        </w:rPr>
        <w:t>ALZ-801</w:t>
      </w:r>
      <w:r>
        <w:rPr>
          <w:spacing w:val="-8"/>
        </w:rPr>
        <w:t>、注射用单抗 </w:t>
      </w:r>
      <w:r>
        <w:rPr>
          <w:rFonts w:ascii="Times New Roman" w:hAnsi="Times New Roman" w:eastAsia="Times New Roman"/>
        </w:rPr>
        <w:t>TB006</w:t>
      </w:r>
      <w:r>
        <w:rPr>
          <w:spacing w:val="-12"/>
        </w:rPr>
        <w:t>、抗 </w:t>
      </w:r>
      <w:r>
        <w:rPr>
          <w:rFonts w:ascii="Times New Roman" w:hAnsi="Times New Roman" w:eastAsia="Times New Roman"/>
        </w:rPr>
        <w:t>A</w:t>
      </w:r>
      <w:r>
        <w:rPr/>
        <w:t>β</w:t>
      </w:r>
      <w:r>
        <w:rPr>
          <w:spacing w:val="-2"/>
        </w:rPr>
        <w:t>寡聚体</w:t>
      </w:r>
      <w:r>
        <w:rPr/>
        <w:t>（</w:t>
      </w:r>
      <w:r>
        <w:rPr>
          <w:rFonts w:ascii="Times New Roman" w:hAnsi="Times New Roman" w:eastAsia="Times New Roman"/>
        </w:rPr>
        <w:t>A</w:t>
      </w:r>
      <w:r>
        <w:rPr/>
        <w:t>β</w:t>
      </w:r>
      <w:r>
        <w:rPr>
          <w:rFonts w:ascii="Times New Roman" w:hAnsi="Times New Roman" w:eastAsia="Times New Roman"/>
        </w:rPr>
        <w:t>Os</w:t>
      </w:r>
      <w:r>
        <w:rPr/>
        <w:t>）</w:t>
      </w:r>
      <w:r>
        <w:rPr>
          <w:spacing w:val="-3"/>
        </w:rPr>
        <w:t>单</w:t>
      </w:r>
      <w:r>
        <w:rPr>
          <w:spacing w:val="-22"/>
        </w:rPr>
        <w:t>抗 </w:t>
      </w:r>
      <w:r>
        <w:rPr>
          <w:rFonts w:ascii="Times New Roman" w:hAnsi="Times New Roman" w:eastAsia="Times New Roman"/>
        </w:rPr>
        <w:t>ACU193 </w:t>
      </w:r>
      <w:r>
        <w:rPr>
          <w:spacing w:val="-3"/>
        </w:rPr>
        <w:t>和口服小分子</w:t>
      </w:r>
      <w:r>
        <w:rPr/>
        <w:t>σ</w:t>
      </w:r>
      <w:r>
        <w:rPr>
          <w:rFonts w:ascii="Times New Roman" w:hAnsi="Times New Roman" w:eastAsia="Times New Roman"/>
        </w:rPr>
        <w:t>-1 </w:t>
      </w:r>
      <w:r>
        <w:rPr>
          <w:spacing w:val="7"/>
        </w:rPr>
        <w:t>受体激活剂</w:t>
      </w:r>
      <w:r>
        <w:rPr>
          <w:rFonts w:ascii="Times New Roman" w:hAnsi="Times New Roman" w:eastAsia="Times New Roman"/>
          <w:spacing w:val="-4"/>
        </w:rPr>
        <w:t>ANAVEX®2-73</w:t>
      </w:r>
      <w:r>
        <w:rPr>
          <w:spacing w:val="-3"/>
        </w:rPr>
        <w:t>，另外司美格鲁肽也可</w:t>
      </w:r>
      <w:r>
        <w:rPr>
          <w:spacing w:val="-14"/>
        </w:rPr>
        <w:t>能有治疗 </w:t>
      </w:r>
      <w:r>
        <w:rPr>
          <w:rFonts w:ascii="Times New Roman" w:hAnsi="Times New Roman" w:eastAsia="Times New Roman"/>
        </w:rPr>
        <w:t>AD </w:t>
      </w:r>
      <w:r>
        <w:rPr>
          <w:spacing w:val="-3"/>
        </w:rPr>
        <w:t>患者的潜力。</w:t>
      </w:r>
    </w:p>
    <w:p>
      <w:pPr>
        <w:pStyle w:val="BodyText"/>
        <w:spacing w:before="8"/>
        <w:rPr>
          <w:sz w:val="19"/>
        </w:rPr>
      </w:pPr>
    </w:p>
    <w:p>
      <w:pPr>
        <w:spacing w:line="211" w:lineRule="auto" w:before="0"/>
        <w:ind w:left="3163" w:right="724" w:firstLine="0"/>
        <w:jc w:val="both"/>
        <w:rPr>
          <w:sz w:val="21"/>
        </w:rPr>
      </w:pPr>
      <w:r>
        <w:rPr>
          <w:rFonts w:ascii="Microsoft JhengHei" w:hAnsi="Microsoft JhengHei" w:eastAsia="Microsoft JhengHei" w:hint="eastAsia"/>
          <w:b/>
          <w:spacing w:val="3"/>
          <w:sz w:val="21"/>
        </w:rPr>
        <w:t>从全球层面来看，抗 </w:t>
      </w:r>
      <w:r>
        <w:rPr>
          <w:rFonts w:ascii="Times New Roman" w:hAnsi="Times New Roman" w:eastAsia="Times New Roman"/>
          <w:b/>
          <w:spacing w:val="-3"/>
          <w:sz w:val="21"/>
        </w:rPr>
        <w:t>A</w:t>
      </w:r>
      <w:r>
        <w:rPr>
          <w:rFonts w:ascii="Microsoft JhengHei" w:hAnsi="Microsoft JhengHei" w:eastAsia="Microsoft JhengHei" w:hint="eastAsia"/>
          <w:b/>
          <w:spacing w:val="-3"/>
          <w:sz w:val="21"/>
        </w:rPr>
        <w:t>β单抗的应用仍处于起步阶段，但随着医保覆盖范围增大和诊断技术的发展，</w:t>
      </w:r>
      <w:r>
        <w:rPr>
          <w:rFonts w:ascii="Times New Roman" w:hAnsi="Times New Roman" w:eastAsia="Times New Roman"/>
          <w:b/>
          <w:spacing w:val="-3"/>
          <w:sz w:val="21"/>
        </w:rPr>
        <w:t>AD</w:t>
      </w:r>
      <w:r>
        <w:rPr>
          <w:rFonts w:ascii="Times New Roman" w:hAnsi="Times New Roman" w:eastAsia="Times New Roman"/>
          <w:b/>
          <w:spacing w:val="30"/>
          <w:sz w:val="21"/>
        </w:rPr>
        <w:t> </w:t>
      </w:r>
      <w:r>
        <w:rPr>
          <w:rFonts w:ascii="Microsoft JhengHei" w:hAnsi="Microsoft JhengHei" w:eastAsia="Microsoft JhengHei" w:hint="eastAsia"/>
          <w:b/>
          <w:spacing w:val="-2"/>
          <w:sz w:val="21"/>
        </w:rPr>
        <w:t>治疗药物将迎来发展机遇，同时也将进一步推动 </w:t>
      </w:r>
      <w:r>
        <w:rPr>
          <w:rFonts w:ascii="Times New Roman" w:hAnsi="Times New Roman" w:eastAsia="Times New Roman"/>
          <w:b/>
          <w:sz w:val="21"/>
        </w:rPr>
        <w:t>AD</w:t>
      </w:r>
      <w:r>
        <w:rPr>
          <w:rFonts w:ascii="Times New Roman" w:hAnsi="Times New Roman" w:eastAsia="Times New Roman"/>
          <w:b/>
          <w:spacing w:val="33"/>
          <w:sz w:val="21"/>
        </w:rPr>
        <w:t> </w:t>
      </w:r>
      <w:r>
        <w:rPr>
          <w:rFonts w:ascii="Microsoft JhengHei" w:hAnsi="Microsoft JhengHei" w:eastAsia="Microsoft JhengHei" w:hint="eastAsia"/>
          <w:b/>
          <w:sz w:val="21"/>
        </w:rPr>
        <w:t>诊断的快速发展。</w:t>
      </w:r>
      <w:r>
        <w:rPr>
          <w:spacing w:val="-8"/>
          <w:sz w:val="21"/>
        </w:rPr>
        <w:t>在今年 </w:t>
      </w:r>
      <w:r>
        <w:rPr>
          <w:rFonts w:ascii="Times New Roman" w:hAnsi="Times New Roman" w:eastAsia="Times New Roman"/>
          <w:sz w:val="21"/>
        </w:rPr>
        <w:t>3</w:t>
      </w:r>
      <w:r>
        <w:rPr>
          <w:rFonts w:ascii="Times New Roman" w:hAnsi="Times New Roman" w:eastAsia="Times New Roman"/>
          <w:spacing w:val="25"/>
          <w:sz w:val="21"/>
        </w:rPr>
        <w:t> </w:t>
      </w:r>
      <w:r>
        <w:rPr>
          <w:spacing w:val="-3"/>
          <w:sz w:val="21"/>
        </w:rPr>
        <w:t>月召开的一次新闻发布会上，卫材表示得益于新型血液</w:t>
      </w:r>
    </w:p>
    <w:p>
      <w:pPr>
        <w:pStyle w:val="BodyText"/>
        <w:spacing w:line="302" w:lineRule="auto" w:before="39"/>
        <w:ind w:left="3163" w:right="726"/>
        <w:jc w:val="both"/>
      </w:pPr>
      <w:r>
        <w:rPr>
          <w:spacing w:val="-4"/>
        </w:rPr>
        <w:t>检测技术的广泛应用，</w:t>
      </w:r>
      <w:r>
        <w:rPr>
          <w:rFonts w:ascii="Times New Roman" w:eastAsia="Times New Roman"/>
          <w:spacing w:val="-7"/>
        </w:rPr>
        <w:t>2025</w:t>
      </w:r>
      <w:r>
        <w:rPr>
          <w:rFonts w:ascii="Times New Roman" w:eastAsia="Times New Roman"/>
          <w:spacing w:val="17"/>
        </w:rPr>
        <w:t> </w:t>
      </w:r>
      <w:r>
        <w:rPr>
          <w:spacing w:val="50"/>
        </w:rPr>
        <w:t>年</w:t>
      </w:r>
      <w:r>
        <w:rPr>
          <w:rFonts w:ascii="Times New Roman" w:eastAsia="Times New Roman"/>
        </w:rPr>
        <w:t>Lecanemab</w:t>
      </w:r>
      <w:r>
        <w:rPr>
          <w:rFonts w:ascii="Times New Roman" w:eastAsia="Times New Roman"/>
          <w:spacing w:val="17"/>
        </w:rPr>
        <w:t> </w:t>
      </w:r>
      <w:r>
        <w:rPr>
          <w:spacing w:val="-5"/>
        </w:rPr>
        <w:t>的全球销量将会有超越式增长。该公司</w:t>
      </w:r>
      <w:r>
        <w:rPr>
          <w:spacing w:val="-20"/>
        </w:rPr>
        <w:t>估计 </w:t>
      </w:r>
      <w:r>
        <w:rPr>
          <w:rFonts w:ascii="Times New Roman" w:eastAsia="Times New Roman"/>
        </w:rPr>
        <w:t>2030 </w:t>
      </w:r>
      <w:r>
        <w:rPr>
          <w:spacing w:val="-18"/>
        </w:rPr>
        <w:t>年约 </w:t>
      </w:r>
      <w:r>
        <w:rPr>
          <w:rFonts w:ascii="Times New Roman" w:eastAsia="Times New Roman"/>
        </w:rPr>
        <w:t>250 </w:t>
      </w:r>
      <w:r>
        <w:rPr>
          <w:spacing w:val="-8"/>
        </w:rPr>
        <w:t>万例患者将有资格接受 </w:t>
      </w:r>
      <w:r>
        <w:rPr>
          <w:rFonts w:ascii="Times New Roman" w:eastAsia="Times New Roman"/>
        </w:rPr>
        <w:t>Lecanemab</w:t>
      </w:r>
      <w:r>
        <w:rPr>
          <w:rFonts w:ascii="Times New Roman" w:eastAsia="Times New Roman"/>
          <w:spacing w:val="3"/>
        </w:rPr>
        <w:t> </w:t>
      </w:r>
      <w:r>
        <w:rPr>
          <w:spacing w:val="-11"/>
        </w:rPr>
        <w:t>治疗，预计 </w:t>
      </w:r>
      <w:r>
        <w:rPr>
          <w:rFonts w:ascii="Times New Roman" w:eastAsia="Times New Roman"/>
        </w:rPr>
        <w:t>2030 </w:t>
      </w:r>
      <w:r>
        <w:rPr>
          <w:spacing w:val="-3"/>
        </w:rPr>
        <w:t>年全球销</w:t>
      </w:r>
    </w:p>
    <w:p>
      <w:pPr>
        <w:pStyle w:val="BodyText"/>
        <w:spacing w:line="304" w:lineRule="auto" w:before="2"/>
        <w:ind w:left="3163" w:right="724"/>
        <w:jc w:val="both"/>
      </w:pPr>
      <w:r>
        <w:rPr>
          <w:spacing w:val="-8"/>
        </w:rPr>
        <w:t>售额将达 </w:t>
      </w:r>
      <w:r>
        <w:rPr>
          <w:rFonts w:ascii="Times New Roman" w:eastAsia="Times New Roman"/>
        </w:rPr>
        <w:t>70 </w:t>
      </w:r>
      <w:r>
        <w:rPr>
          <w:spacing w:val="-10"/>
        </w:rPr>
        <w:t>亿美元。与此同时，虽然目前血液检测标准尚无阈值的统一规定，但</w:t>
      </w:r>
      <w:r>
        <w:rPr>
          <w:spacing w:val="-7"/>
        </w:rPr>
        <w:t>是随着治疗药物的应用增加、指南的进一步修订和相关试剂产品的开发，血液标</w:t>
      </w:r>
      <w:r>
        <w:rPr>
          <w:spacing w:val="-6"/>
        </w:rPr>
        <w:t>志物终将如同脑脊液标志物一般应用于 </w:t>
      </w:r>
      <w:r>
        <w:rPr>
          <w:rFonts w:ascii="Times New Roman" w:eastAsia="Times New Roman"/>
        </w:rPr>
        <w:t>AD </w:t>
      </w:r>
      <w:r>
        <w:rPr>
          <w:spacing w:val="-3"/>
        </w:rPr>
        <w:t>的早期诊断，共同推进全球阿尔茨海默病的诊断和治疗。</w:t>
      </w:r>
    </w:p>
    <w:p>
      <w:pPr>
        <w:pStyle w:val="BodyText"/>
        <w:spacing w:before="9"/>
        <w:rPr>
          <w:sz w:val="17"/>
        </w:rPr>
      </w:pPr>
    </w:p>
    <w:p>
      <w:pPr>
        <w:spacing w:line="254" w:lineRule="auto" w:before="0"/>
        <w:ind w:left="3163" w:right="624" w:firstLine="0"/>
        <w:jc w:val="both"/>
        <w:rPr>
          <w:sz w:val="21"/>
        </w:rPr>
      </w:pPr>
      <w:r>
        <w:rPr>
          <w:rFonts w:ascii="Microsoft JhengHei" w:eastAsia="Microsoft JhengHei" w:hint="eastAsia"/>
          <w:b/>
          <w:sz w:val="21"/>
        </w:rPr>
        <w:t>我国阿尔茨海默病患者也呈现出药物极大需求，国内相关产业与公司值得关注。</w:t>
      </w:r>
      <w:r>
        <w:rPr>
          <w:spacing w:val="-8"/>
          <w:sz w:val="21"/>
        </w:rPr>
        <w:t>目前国内已有至少 </w:t>
      </w:r>
      <w:r>
        <w:rPr>
          <w:rFonts w:ascii="Times New Roman" w:eastAsia="Times New Roman"/>
          <w:sz w:val="21"/>
        </w:rPr>
        <w:t>983</w:t>
      </w:r>
      <w:r>
        <w:rPr>
          <w:rFonts w:ascii="Times New Roman" w:eastAsia="Times New Roman"/>
          <w:spacing w:val="8"/>
          <w:sz w:val="21"/>
        </w:rPr>
        <w:t> </w:t>
      </w:r>
      <w:r>
        <w:rPr>
          <w:spacing w:val="-23"/>
          <w:sz w:val="21"/>
        </w:rPr>
        <w:t>万 </w:t>
      </w:r>
      <w:r>
        <w:rPr>
          <w:rFonts w:ascii="Times New Roman" w:eastAsia="Times New Roman"/>
          <w:sz w:val="21"/>
        </w:rPr>
        <w:t>AD</w:t>
      </w:r>
      <w:r>
        <w:rPr>
          <w:rFonts w:ascii="Times New Roman" w:eastAsia="Times New Roman"/>
          <w:spacing w:val="10"/>
          <w:sz w:val="21"/>
        </w:rPr>
        <w:t> </w:t>
      </w:r>
      <w:r>
        <w:rPr>
          <w:spacing w:val="-12"/>
          <w:sz w:val="21"/>
        </w:rPr>
        <w:t>患者和 </w:t>
      </w:r>
      <w:r>
        <w:rPr>
          <w:rFonts w:ascii="Times New Roman" w:eastAsia="Times New Roman"/>
          <w:sz w:val="21"/>
        </w:rPr>
        <w:t>3877</w:t>
      </w:r>
      <w:r>
        <w:rPr>
          <w:rFonts w:ascii="Times New Roman" w:eastAsia="Times New Roman"/>
          <w:spacing w:val="8"/>
          <w:sz w:val="21"/>
        </w:rPr>
        <w:t> </w:t>
      </w:r>
      <w:r>
        <w:rPr>
          <w:spacing w:val="-21"/>
          <w:sz w:val="21"/>
        </w:rPr>
        <w:t>万 </w:t>
      </w:r>
      <w:r>
        <w:rPr>
          <w:rFonts w:ascii="Times New Roman" w:eastAsia="Times New Roman"/>
          <w:sz w:val="21"/>
        </w:rPr>
        <w:t>MCI</w:t>
      </w:r>
      <w:r>
        <w:rPr>
          <w:rFonts w:ascii="Times New Roman" w:eastAsia="Times New Roman"/>
          <w:spacing w:val="6"/>
          <w:sz w:val="21"/>
        </w:rPr>
        <w:t> </w:t>
      </w:r>
      <w:r>
        <w:rPr>
          <w:spacing w:val="-3"/>
          <w:sz w:val="21"/>
        </w:rPr>
        <w:t>患者，目前的治疗方案仍然以</w:t>
      </w:r>
    </w:p>
    <w:p>
      <w:pPr>
        <w:pStyle w:val="BodyText"/>
        <w:spacing w:line="304" w:lineRule="auto" w:before="57"/>
        <w:ind w:left="3163" w:right="724"/>
        <w:jc w:val="both"/>
      </w:pPr>
      <w:r>
        <w:rPr>
          <w:spacing w:val="-9"/>
        </w:rPr>
        <w:t>多奈哌齐和美金刚等传统药物为主，缺乏有效的药物治疗方案，目前仅有 </w:t>
      </w:r>
      <w:r>
        <w:rPr>
          <w:rFonts w:ascii="Times New Roman" w:hAnsi="Times New Roman" w:eastAsia="Times New Roman"/>
        </w:rPr>
        <w:t>5%</w:t>
      </w:r>
      <w:r>
        <w:rPr/>
        <w:t>左右</w:t>
      </w:r>
      <w:r>
        <w:rPr>
          <w:spacing w:val="-3"/>
        </w:rPr>
        <w:t>的患者在用药过后感到明显好转。并不如意的疗效也伴随着患者较低的用药依从</w:t>
      </w:r>
      <w:r>
        <w:rPr>
          <w:spacing w:val="-8"/>
        </w:rPr>
        <w:t>性。随着 </w:t>
      </w:r>
      <w:r>
        <w:rPr>
          <w:rFonts w:ascii="Times New Roman" w:hAnsi="Times New Roman" w:eastAsia="Times New Roman"/>
        </w:rPr>
        <w:t>Lecanemab</w:t>
      </w:r>
      <w:r>
        <w:rPr/>
        <w:t>、</w:t>
      </w:r>
      <w:r>
        <w:rPr>
          <w:rFonts w:ascii="Times New Roman" w:hAnsi="Times New Roman" w:eastAsia="Times New Roman"/>
        </w:rPr>
        <w:t>Donanemab</w:t>
      </w:r>
      <w:r>
        <w:rPr>
          <w:rFonts w:ascii="Times New Roman" w:hAnsi="Times New Roman" w:eastAsia="Times New Roman"/>
          <w:spacing w:val="25"/>
        </w:rPr>
        <w:t> </w:t>
      </w:r>
      <w:r>
        <w:rPr>
          <w:spacing w:val="-3"/>
        </w:rPr>
        <w:t>及其他临床药物的审批进展，国内患者也将获</w:t>
      </w:r>
      <w:r>
        <w:rPr>
          <w:spacing w:val="-5"/>
        </w:rPr>
        <w:t>得更好的医疗资源。同时为贯彻落实健康中国行动提出的“到 </w:t>
      </w:r>
      <w:r>
        <w:rPr>
          <w:rFonts w:ascii="Times New Roman" w:hAnsi="Times New Roman" w:eastAsia="Times New Roman"/>
        </w:rPr>
        <w:t>2022</w:t>
      </w:r>
      <w:r>
        <w:rPr>
          <w:rFonts w:ascii="Times New Roman" w:hAnsi="Times New Roman" w:eastAsia="Times New Roman"/>
          <w:spacing w:val="14"/>
        </w:rPr>
        <w:t> </w:t>
      </w:r>
      <w:r>
        <w:rPr>
          <w:spacing w:val="-20"/>
        </w:rPr>
        <w:t>和 </w:t>
      </w:r>
      <w:r>
        <w:rPr>
          <w:rFonts w:ascii="Times New Roman" w:hAnsi="Times New Roman" w:eastAsia="Times New Roman"/>
        </w:rPr>
        <w:t>2030</w:t>
      </w:r>
      <w:r>
        <w:rPr>
          <w:rFonts w:ascii="Times New Roman" w:hAnsi="Times New Roman" w:eastAsia="Times New Roman"/>
          <w:spacing w:val="10"/>
        </w:rPr>
        <w:t> </w:t>
      </w:r>
      <w:r>
        <w:rPr/>
        <w:t>年，</w:t>
      </w:r>
    </w:p>
    <w:p>
      <w:pPr>
        <w:pStyle w:val="BodyText"/>
        <w:spacing w:line="304" w:lineRule="auto"/>
        <w:ind w:left="3163" w:right="723"/>
        <w:jc w:val="both"/>
      </w:pPr>
      <w:r>
        <w:rPr>
          <w:rFonts w:ascii="Times New Roman" w:hAnsi="Times New Roman" w:eastAsia="Times New Roman"/>
        </w:rPr>
        <w:t>65 </w:t>
      </w:r>
      <w:r>
        <w:rPr>
          <w:spacing w:val="-5"/>
        </w:rPr>
        <w:t>岁及以上人群老年期痴呆患病率增速下降”的目标要求，增强全社会的老年期痴呆预防意识，推动预防关口前移，政府部门加大对于老年痴呆病症的宣传，强调预防的重要性。因此，政策推动叠加药物的审批进展，将开启国内 </w:t>
      </w:r>
      <w:r>
        <w:rPr>
          <w:rFonts w:ascii="Times New Roman" w:hAnsi="Times New Roman" w:eastAsia="Times New Roman"/>
        </w:rPr>
        <w:t>AD </w:t>
      </w:r>
      <w:r>
        <w:rPr>
          <w:spacing w:val="-2"/>
        </w:rPr>
        <w:t>治疗和</w:t>
      </w:r>
      <w:r>
        <w:rPr>
          <w:spacing w:val="-11"/>
        </w:rPr>
        <w:t>诊断的新篇章。行业上游领域我们建议关注的头部企业如药明生物；</w:t>
      </w:r>
      <w:r>
        <w:rPr>
          <w:rFonts w:ascii="Times New Roman" w:hAnsi="Times New Roman" w:eastAsia="Times New Roman"/>
          <w:spacing w:val="-23"/>
        </w:rPr>
        <w:t>AD </w:t>
      </w:r>
      <w:r>
        <w:rPr>
          <w:spacing w:val="-2"/>
        </w:rPr>
        <w:t>治疗领域</w:t>
      </w:r>
      <w:r>
        <w:rPr>
          <w:spacing w:val="-3"/>
        </w:rPr>
        <w:t>建议关注的相关企业包括恒瑞医药、先声药业、康弘药业、天士力、东阳光等； </w:t>
      </w:r>
      <w:r>
        <w:rPr>
          <w:rFonts w:ascii="Times New Roman" w:hAnsi="Times New Roman" w:eastAsia="Times New Roman"/>
          <w:spacing w:val="-3"/>
        </w:rPr>
        <w:t>AD</w:t>
      </w:r>
      <w:r>
        <w:rPr>
          <w:rFonts w:ascii="Times New Roman" w:hAnsi="Times New Roman" w:eastAsia="Times New Roman"/>
          <w:spacing w:val="2"/>
        </w:rPr>
        <w:t> </w:t>
      </w:r>
      <w:r>
        <w:rPr>
          <w:spacing w:val="-3"/>
        </w:rPr>
        <w:t>诊断领域建议关注的相关企业包括东诚药业、金域医学等。</w:t>
      </w:r>
    </w:p>
    <w:p>
      <w:pPr>
        <w:spacing w:after="0" w:line="304" w:lineRule="auto"/>
        <w:jc w:val="both"/>
        <w:sectPr>
          <w:pgSz w:w="11910" w:h="16840"/>
          <w:pgMar w:header="868" w:footer="1201" w:top="1400" w:bottom="1400" w:left="240" w:right="400"/>
        </w:sectPr>
      </w:pPr>
    </w:p>
    <w:p>
      <w:pPr>
        <w:pStyle w:val="BodyText"/>
        <w:spacing w:before="4"/>
        <w:rPr>
          <w:sz w:val="13"/>
        </w:rPr>
      </w:pPr>
    </w:p>
    <w:p>
      <w:pPr>
        <w:pStyle w:val="BodyText"/>
        <w:spacing w:line="20" w:lineRule="exact"/>
        <w:ind w:left="614"/>
        <w:rPr>
          <w:sz w:val="2"/>
        </w:rPr>
      </w:pPr>
      <w:r>
        <w:rPr>
          <w:sz w:val="2"/>
        </w:rPr>
        <w:pict>
          <v:group style="width:508.1pt;height:.75pt;mso-position-horizontal-relative:char;mso-position-vertical-relative:line" coordorigin="0,0" coordsize="10162,15">
            <v:rect style="position:absolute;left:0;top:0;width:10162;height:15" filled="true" fillcolor="#333366" stroked="false">
              <v:fill type="solid"/>
            </v:rect>
          </v:group>
        </w:pict>
      </w:r>
      <w:r>
        <w:rPr>
          <w:sz w:val="2"/>
        </w:rPr>
      </w:r>
    </w:p>
    <w:p>
      <w:pPr>
        <w:pStyle w:val="Heading1"/>
        <w:numPr>
          <w:ilvl w:val="0"/>
          <w:numId w:val="3"/>
        </w:numPr>
        <w:tabs>
          <w:tab w:pos="3453" w:val="left" w:leader="none"/>
        </w:tabs>
        <w:spacing w:line="402" w:lineRule="exact" w:before="0" w:after="0"/>
        <w:ind w:left="3452" w:right="0" w:hanging="290"/>
        <w:jc w:val="left"/>
      </w:pPr>
      <w:bookmarkStart w:name="_bookmark54" w:id="76"/>
      <w:bookmarkEnd w:id="76"/>
      <w:r>
        <w:rPr>
          <w:b w:val="0"/>
        </w:rPr>
      </w:r>
      <w:bookmarkStart w:name="_bookmark54" w:id="77"/>
      <w:bookmarkEnd w:id="77"/>
      <w:r>
        <w:rPr>
          <w:color w:val="333366"/>
        </w:rPr>
        <w:t>风险提示</w:t>
      </w:r>
    </w:p>
    <w:p>
      <w:pPr>
        <w:spacing w:line="368" w:lineRule="exact" w:before="0"/>
        <w:ind w:left="3163" w:right="0" w:firstLine="0"/>
        <w:jc w:val="left"/>
        <w:rPr>
          <w:sz w:val="21"/>
        </w:rPr>
      </w:pPr>
      <w:r>
        <w:rPr>
          <w:rFonts w:ascii="Microsoft JhengHei" w:eastAsia="Microsoft JhengHei" w:hint="eastAsia"/>
          <w:b/>
          <w:sz w:val="21"/>
        </w:rPr>
        <w:t>行业政策变动超预期：</w:t>
      </w:r>
      <w:r>
        <w:rPr>
          <w:sz w:val="21"/>
        </w:rPr>
        <w:t>医药行业具有较高的市场准入壁垒与较严的行业监管政策，</w:t>
      </w:r>
    </w:p>
    <w:p>
      <w:pPr>
        <w:pStyle w:val="BodyText"/>
        <w:spacing w:line="304" w:lineRule="auto" w:before="21"/>
        <w:ind w:left="3163" w:right="729"/>
      </w:pPr>
      <w:r>
        <w:rPr/>
        <w:t>且政府卫生支出与社会卫生支出在卫生总费用中占比较大，因此行业政策变动超预期，或对行业内公司的研发与销售造成影响；</w:t>
      </w:r>
    </w:p>
    <w:p>
      <w:pPr>
        <w:pStyle w:val="BodyText"/>
        <w:spacing w:before="8"/>
        <w:rPr>
          <w:sz w:val="18"/>
        </w:rPr>
      </w:pPr>
    </w:p>
    <w:p>
      <w:pPr>
        <w:pStyle w:val="BodyText"/>
        <w:spacing w:line="340" w:lineRule="exact"/>
        <w:ind w:left="3163" w:right="723"/>
        <w:jc w:val="both"/>
      </w:pPr>
      <w:r>
        <w:rPr>
          <w:rFonts w:ascii="Microsoft JhengHei" w:eastAsia="Microsoft JhengHei" w:hint="eastAsia"/>
          <w:b/>
        </w:rPr>
        <w:t>市场竞争加剧风险：</w:t>
      </w:r>
      <w:r>
        <w:rPr>
          <w:spacing w:val="-3"/>
        </w:rPr>
        <w:t>随着新兴技术在产业内的传导与转移，行业内公司整体创新</w:t>
      </w:r>
      <w:r>
        <w:rPr>
          <w:spacing w:val="-4"/>
        </w:rPr>
        <w:t>能力有所提升，此前在研产品陆续进入收获期，且随着 </w:t>
      </w:r>
      <w:r>
        <w:rPr>
          <w:rFonts w:ascii="Times New Roman" w:eastAsia="Times New Roman"/>
        </w:rPr>
        <w:t>AD </w:t>
      </w:r>
      <w:r>
        <w:rPr>
          <w:spacing w:val="-3"/>
        </w:rPr>
        <w:t>相关药品的专利陆续到期，竞争格局或将加剧，从而影响产品生命周期与预期业绩增长；</w:t>
      </w:r>
    </w:p>
    <w:p>
      <w:pPr>
        <w:pStyle w:val="BodyText"/>
        <w:rPr>
          <w:sz w:val="23"/>
        </w:rPr>
      </w:pPr>
    </w:p>
    <w:p>
      <w:pPr>
        <w:spacing w:before="1"/>
        <w:ind w:left="3163" w:right="0" w:firstLine="0"/>
        <w:jc w:val="left"/>
        <w:rPr>
          <w:sz w:val="21"/>
        </w:rPr>
      </w:pPr>
      <w:r>
        <w:rPr>
          <w:rFonts w:ascii="Microsoft JhengHei" w:eastAsia="Microsoft JhengHei" w:hint="eastAsia"/>
          <w:b/>
          <w:sz w:val="21"/>
        </w:rPr>
        <w:t>药品研发失败的风险：</w:t>
      </w:r>
      <w:r>
        <w:rPr>
          <w:sz w:val="21"/>
        </w:rPr>
        <w:t>医药行业创新具有投入大、周期长、高风险的特点，产品</w:t>
      </w:r>
    </w:p>
    <w:p>
      <w:pPr>
        <w:pStyle w:val="BodyText"/>
        <w:spacing w:line="304" w:lineRule="auto" w:before="24"/>
        <w:ind w:left="3163" w:right="620"/>
      </w:pPr>
      <w:r>
        <w:rPr>
          <w:spacing w:val="-7"/>
        </w:rPr>
        <w:t>从研发到上市需要耗费 </w:t>
      </w:r>
      <w:r>
        <w:rPr>
          <w:rFonts w:ascii="Times New Roman" w:eastAsia="Times New Roman"/>
        </w:rPr>
        <w:t>10 </w:t>
      </w:r>
      <w:r>
        <w:rPr>
          <w:spacing w:val="-11"/>
        </w:rPr>
        <w:t>年甚至更多的时间，而阿尔茨海默病药物的研发成功率更是低至 </w:t>
      </w:r>
      <w:r>
        <w:rPr>
          <w:rFonts w:ascii="Times New Roman" w:eastAsia="Times New Roman"/>
        </w:rPr>
        <w:t>2.7%</w:t>
      </w:r>
      <w:r>
        <w:rPr>
          <w:spacing w:val="-15"/>
        </w:rPr>
        <w:t>。产业内公司新药研发项目可能失败，导致对相关产业链需求减少。</w:t>
      </w:r>
    </w:p>
    <w:p>
      <w:pPr>
        <w:spacing w:after="0" w:line="304" w:lineRule="auto"/>
        <w:sectPr>
          <w:pgSz w:w="11910" w:h="16840"/>
          <w:pgMar w:header="868" w:footer="1201" w:top="1400" w:bottom="1400" w:left="240" w:right="400"/>
        </w:sectPr>
      </w:pPr>
    </w:p>
    <w:p>
      <w:pPr>
        <w:pStyle w:val="BodyText"/>
        <w:spacing w:before="4"/>
        <w:rPr>
          <w:sz w:val="13"/>
        </w:rPr>
      </w:pPr>
    </w:p>
    <w:p>
      <w:pPr>
        <w:pStyle w:val="BodyText"/>
        <w:spacing w:line="20" w:lineRule="exact"/>
        <w:ind w:left="614"/>
        <w:rPr>
          <w:sz w:val="2"/>
        </w:rPr>
      </w:pPr>
      <w:r>
        <w:rPr>
          <w:sz w:val="2"/>
        </w:rPr>
        <w:pict>
          <v:group style="width:508.1pt;height:.75pt;mso-position-horizontal-relative:char;mso-position-vertical-relative:line" coordorigin="0,0" coordsize="10162,15">
            <v:rect style="position:absolute;left:0;top:0;width:10162;height:15" filled="true" fillcolor="#333366" stroked="false">
              <v:fill type="solid"/>
            </v:rect>
          </v:group>
        </w:pict>
      </w:r>
      <w:r>
        <w:rPr>
          <w:sz w:val="2"/>
        </w:rPr>
      </w:r>
    </w:p>
    <w:p>
      <w:pPr>
        <w:pStyle w:val="Heading3"/>
        <w:spacing w:line="312" w:lineRule="exact"/>
        <w:ind w:left="751"/>
      </w:pPr>
      <w:r>
        <w:rPr/>
        <w:t>分析师声明</w:t>
      </w:r>
    </w:p>
    <w:p>
      <w:pPr>
        <w:spacing w:line="249" w:lineRule="auto" w:before="8"/>
        <w:ind w:left="753" w:right="789" w:firstLine="360"/>
        <w:jc w:val="both"/>
        <w:rPr>
          <w:sz w:val="18"/>
        </w:rPr>
      </w:pPr>
      <w:r>
        <w:rPr>
          <w:sz w:val="18"/>
        </w:rPr>
        <w:t>本人具有中国证券业协会授予的证券投资咨询执业资格并登记为证券分析师，以勤勉的职业态度，独立、客观地出具本报告。本报告清晰准确地反映了本人的研究观点。本人不曾因，不因，也将不会因本报告中的具体推荐意见或观点而直接或间接收到任何形式的补偿。</w:t>
      </w:r>
    </w:p>
    <w:p>
      <w:pPr>
        <w:pStyle w:val="Heading3"/>
        <w:spacing w:line="287" w:lineRule="exact"/>
        <w:ind w:left="753"/>
      </w:pPr>
      <w:r>
        <w:rPr/>
        <w:pict>
          <v:shape style="position:absolute;margin-left:56.784pt;margin-top:11.422529pt;width:487.9pt;height:133.5pt;mso-position-horizontal-relative:page;mso-position-vertical-relative:paragraph;z-index:15768064" type="#_x0000_t202" filled="false" stroked="false">
            <v:textbox inset="0,0,0,0">
              <w:txbxContent>
                <w:tbl>
                  <w:tblPr>
                    <w:tblW w:w="0" w:type="auto"/>
                    <w:jc w:val="left"/>
                    <w:tblInd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696"/>
                    <w:gridCol w:w="991"/>
                    <w:gridCol w:w="1135"/>
                    <w:gridCol w:w="4920"/>
                  </w:tblGrid>
                  <w:tr>
                    <w:trPr>
                      <w:trHeight w:val="239" w:hRule="atLeast"/>
                    </w:trPr>
                    <w:tc>
                      <w:tcPr>
                        <w:tcW w:w="2696" w:type="dxa"/>
                        <w:tcBorders>
                          <w:left w:val="nil"/>
                        </w:tcBorders>
                      </w:tcPr>
                      <w:p>
                        <w:pPr>
                          <w:pStyle w:val="TableParagraph"/>
                          <w:spacing w:line="220" w:lineRule="exact"/>
                          <w:ind w:left="112"/>
                          <w:rPr>
                            <w:rFonts w:ascii="Microsoft JhengHei" w:eastAsia="Microsoft JhengHei" w:hint="eastAsia"/>
                            <w:b/>
                            <w:sz w:val="15"/>
                          </w:rPr>
                        </w:pPr>
                        <w:r>
                          <w:rPr>
                            <w:rFonts w:ascii="Microsoft JhengHei" w:eastAsia="Microsoft JhengHei" w:hint="eastAsia"/>
                            <w:b/>
                            <w:sz w:val="15"/>
                          </w:rPr>
                          <w:t>投资建议的评级标准</w:t>
                        </w:r>
                      </w:p>
                    </w:tc>
                    <w:tc>
                      <w:tcPr>
                        <w:tcW w:w="991" w:type="dxa"/>
                      </w:tcPr>
                      <w:p>
                        <w:pPr>
                          <w:pStyle w:val="TableParagraph"/>
                          <w:spacing w:line="220" w:lineRule="exact"/>
                          <w:ind w:left="107"/>
                          <w:rPr>
                            <w:rFonts w:ascii="Microsoft JhengHei" w:eastAsia="Microsoft JhengHei" w:hint="eastAsia"/>
                            <w:b/>
                            <w:sz w:val="15"/>
                          </w:rPr>
                        </w:pPr>
                        <w:r>
                          <w:rPr>
                            <w:rFonts w:ascii="Microsoft JhengHei" w:eastAsia="Microsoft JhengHei" w:hint="eastAsia"/>
                            <w:b/>
                            <w:sz w:val="15"/>
                          </w:rPr>
                          <w:t>类别</w:t>
                        </w:r>
                      </w:p>
                    </w:tc>
                    <w:tc>
                      <w:tcPr>
                        <w:tcW w:w="1135" w:type="dxa"/>
                      </w:tcPr>
                      <w:p>
                        <w:pPr>
                          <w:pStyle w:val="TableParagraph"/>
                          <w:spacing w:line="220" w:lineRule="exact"/>
                          <w:ind w:left="107"/>
                          <w:rPr>
                            <w:rFonts w:ascii="Microsoft JhengHei" w:eastAsia="Microsoft JhengHei" w:hint="eastAsia"/>
                            <w:b/>
                            <w:sz w:val="15"/>
                          </w:rPr>
                        </w:pPr>
                        <w:r>
                          <w:rPr>
                            <w:rFonts w:ascii="Microsoft JhengHei" w:eastAsia="Microsoft JhengHei" w:hint="eastAsia"/>
                            <w:b/>
                            <w:sz w:val="15"/>
                          </w:rPr>
                          <w:t>评级</w:t>
                        </w:r>
                      </w:p>
                    </w:tc>
                    <w:tc>
                      <w:tcPr>
                        <w:tcW w:w="4920" w:type="dxa"/>
                        <w:tcBorders>
                          <w:right w:val="nil"/>
                        </w:tcBorders>
                      </w:tcPr>
                      <w:p>
                        <w:pPr>
                          <w:pStyle w:val="TableParagraph"/>
                          <w:spacing w:line="220" w:lineRule="exact"/>
                          <w:ind w:left="105"/>
                          <w:rPr>
                            <w:rFonts w:ascii="Microsoft JhengHei" w:eastAsia="Microsoft JhengHei" w:hint="eastAsia"/>
                            <w:b/>
                            <w:sz w:val="15"/>
                          </w:rPr>
                        </w:pPr>
                        <w:r>
                          <w:rPr>
                            <w:rFonts w:ascii="Microsoft JhengHei" w:eastAsia="Microsoft JhengHei" w:hint="eastAsia"/>
                            <w:b/>
                            <w:sz w:val="15"/>
                          </w:rPr>
                          <w:t>说明</w:t>
                        </w:r>
                      </w:p>
                    </w:tc>
                  </w:tr>
                  <w:tr>
                    <w:trPr>
                      <w:trHeight w:val="239" w:hRule="atLeast"/>
                    </w:trPr>
                    <w:tc>
                      <w:tcPr>
                        <w:tcW w:w="2696" w:type="dxa"/>
                        <w:vMerge w:val="restart"/>
                        <w:tcBorders>
                          <w:left w:val="nil"/>
                        </w:tcBorders>
                      </w:tcPr>
                      <w:p>
                        <w:pPr>
                          <w:pStyle w:val="TableParagraph"/>
                          <w:spacing w:line="300" w:lineRule="auto" w:before="41"/>
                          <w:ind w:left="112" w:right="99"/>
                          <w:rPr>
                            <w:sz w:val="15"/>
                          </w:rPr>
                        </w:pPr>
                        <w:r>
                          <w:rPr>
                            <w:spacing w:val="-3"/>
                            <w:sz w:val="15"/>
                          </w:rPr>
                          <w:t>报告中投资建议所涉及的评级分为股票评级和行业评级（另有说明的除  外）。评级标准为报告发布日后的</w:t>
                        </w:r>
                        <w:r>
                          <w:rPr>
                            <w:rFonts w:ascii="楷体" w:eastAsia="楷体" w:hint="eastAsia"/>
                            <w:sz w:val="15"/>
                          </w:rPr>
                          <w:t>12 </w:t>
                        </w:r>
                        <w:r>
                          <w:rPr>
                            <w:spacing w:val="-3"/>
                            <w:sz w:val="15"/>
                          </w:rPr>
                          <w:t>个月内公司股价</w:t>
                        </w:r>
                        <w:r>
                          <w:rPr>
                            <w:sz w:val="15"/>
                          </w:rPr>
                          <w:t>（</w:t>
                        </w:r>
                        <w:r>
                          <w:rPr>
                            <w:spacing w:val="-3"/>
                            <w:sz w:val="15"/>
                          </w:rPr>
                          <w:t>或行业指数</w:t>
                        </w:r>
                        <w:r>
                          <w:rPr>
                            <w:sz w:val="15"/>
                          </w:rPr>
                          <w:t>）</w:t>
                        </w:r>
                        <w:r>
                          <w:rPr>
                            <w:spacing w:val="-2"/>
                            <w:sz w:val="15"/>
                          </w:rPr>
                          <w:t>相对</w:t>
                        </w:r>
                        <w:r>
                          <w:rPr>
                            <w:spacing w:val="-3"/>
                            <w:sz w:val="15"/>
                          </w:rPr>
                          <w:t>同期相关证券市场代表性指数的涨跌幅。其中：</w:t>
                        </w:r>
                        <w:r>
                          <w:rPr>
                            <w:rFonts w:ascii="楷体" w:eastAsia="楷体" w:hint="eastAsia"/>
                            <w:spacing w:val="-3"/>
                            <w:sz w:val="15"/>
                          </w:rPr>
                          <w:t>A</w:t>
                        </w:r>
                        <w:r>
                          <w:rPr>
                            <w:spacing w:val="-3"/>
                            <w:sz w:val="15"/>
                          </w:rPr>
                          <w:t>股市场以沪深</w:t>
                        </w:r>
                        <w:r>
                          <w:rPr>
                            <w:rFonts w:ascii="楷体" w:eastAsia="楷体" w:hint="eastAsia"/>
                            <w:sz w:val="15"/>
                          </w:rPr>
                          <w:t>300</w:t>
                        </w:r>
                        <w:r>
                          <w:rPr>
                            <w:spacing w:val="-2"/>
                            <w:sz w:val="15"/>
                          </w:rPr>
                          <w:t>指数为</w:t>
                        </w:r>
                        <w:r>
                          <w:rPr>
                            <w:spacing w:val="-3"/>
                            <w:sz w:val="15"/>
                          </w:rPr>
                          <w:t>基准；新三板市场以三板成指为基  准；香港市场以恒生指数为基准；美国市场以标普</w:t>
                        </w:r>
                        <w:r>
                          <w:rPr>
                            <w:rFonts w:ascii="楷体" w:eastAsia="楷体" w:hint="eastAsia"/>
                            <w:sz w:val="15"/>
                          </w:rPr>
                          <w:t>500</w:t>
                        </w:r>
                        <w:r>
                          <w:rPr>
                            <w:spacing w:val="-4"/>
                            <w:sz w:val="15"/>
                          </w:rPr>
                          <w:t>或纳斯达克综合指数</w:t>
                        </w:r>
                      </w:p>
                      <w:p>
                        <w:pPr>
                          <w:pStyle w:val="TableParagraph"/>
                          <w:spacing w:line="176" w:lineRule="exact"/>
                          <w:ind w:left="112"/>
                          <w:rPr>
                            <w:sz w:val="15"/>
                          </w:rPr>
                        </w:pPr>
                        <w:r>
                          <w:rPr>
                            <w:sz w:val="15"/>
                          </w:rPr>
                          <w:t>为基准。</w:t>
                        </w:r>
                      </w:p>
                    </w:tc>
                    <w:tc>
                      <w:tcPr>
                        <w:tcW w:w="991" w:type="dxa"/>
                        <w:vMerge w:val="restart"/>
                      </w:tcPr>
                      <w:p>
                        <w:pPr>
                          <w:pStyle w:val="TableParagraph"/>
                          <w:rPr>
                            <w:rFonts w:ascii="Microsoft JhengHei"/>
                            <w:b/>
                            <w:sz w:val="14"/>
                          </w:rPr>
                        </w:pPr>
                      </w:p>
                      <w:p>
                        <w:pPr>
                          <w:pStyle w:val="TableParagraph"/>
                          <w:rPr>
                            <w:rFonts w:ascii="Microsoft JhengHei"/>
                            <w:b/>
                            <w:sz w:val="14"/>
                          </w:rPr>
                        </w:pPr>
                      </w:p>
                      <w:p>
                        <w:pPr>
                          <w:pStyle w:val="TableParagraph"/>
                          <w:spacing w:before="1"/>
                          <w:rPr>
                            <w:rFonts w:ascii="Microsoft JhengHei"/>
                            <w:b/>
                            <w:sz w:val="8"/>
                          </w:rPr>
                        </w:pPr>
                      </w:p>
                      <w:p>
                        <w:pPr>
                          <w:pStyle w:val="TableParagraph"/>
                          <w:ind w:left="107"/>
                          <w:rPr>
                            <w:sz w:val="15"/>
                          </w:rPr>
                        </w:pPr>
                        <w:r>
                          <w:rPr>
                            <w:sz w:val="15"/>
                          </w:rPr>
                          <w:t>股票评级</w:t>
                        </w:r>
                      </w:p>
                    </w:tc>
                    <w:tc>
                      <w:tcPr>
                        <w:tcW w:w="1135" w:type="dxa"/>
                      </w:tcPr>
                      <w:p>
                        <w:pPr>
                          <w:pStyle w:val="TableParagraph"/>
                          <w:spacing w:line="178" w:lineRule="exact" w:before="41"/>
                          <w:ind w:left="107"/>
                          <w:rPr>
                            <w:sz w:val="15"/>
                          </w:rPr>
                        </w:pPr>
                        <w:r>
                          <w:rPr>
                            <w:sz w:val="15"/>
                          </w:rPr>
                          <w:t>买入</w:t>
                        </w:r>
                      </w:p>
                    </w:tc>
                    <w:tc>
                      <w:tcPr>
                        <w:tcW w:w="4920" w:type="dxa"/>
                        <w:tcBorders>
                          <w:right w:val="nil"/>
                        </w:tcBorders>
                      </w:tcPr>
                      <w:p>
                        <w:pPr>
                          <w:pStyle w:val="TableParagraph"/>
                          <w:spacing w:line="178" w:lineRule="exact" w:before="41"/>
                          <w:ind w:left="105"/>
                          <w:rPr>
                            <w:rFonts w:ascii="楷体" w:eastAsia="楷体" w:hint="eastAsia"/>
                            <w:sz w:val="15"/>
                          </w:rPr>
                        </w:pPr>
                        <w:r>
                          <w:rPr>
                            <w:sz w:val="15"/>
                          </w:rPr>
                          <w:t>相对同期相关证券市场代表性指数涨幅大于</w:t>
                        </w:r>
                        <w:r>
                          <w:rPr>
                            <w:rFonts w:ascii="楷体" w:eastAsia="楷体" w:hint="eastAsia"/>
                            <w:sz w:val="15"/>
                          </w:rPr>
                          <w:t>15%</w:t>
                        </w:r>
                      </w:p>
                    </w:tc>
                  </w:tr>
                  <w:tr>
                    <w:trPr>
                      <w:trHeight w:val="239" w:hRule="atLeast"/>
                    </w:trPr>
                    <w:tc>
                      <w:tcPr>
                        <w:tcW w:w="2696" w:type="dxa"/>
                        <w:vMerge/>
                        <w:tcBorders>
                          <w:top w:val="nil"/>
                          <w:left w:val="nil"/>
                        </w:tcBorders>
                      </w:tcPr>
                      <w:p>
                        <w:pPr>
                          <w:rPr>
                            <w:sz w:val="2"/>
                            <w:szCs w:val="2"/>
                          </w:rPr>
                        </w:pPr>
                      </w:p>
                    </w:tc>
                    <w:tc>
                      <w:tcPr>
                        <w:tcW w:w="991" w:type="dxa"/>
                        <w:vMerge/>
                        <w:tcBorders>
                          <w:top w:val="nil"/>
                        </w:tcBorders>
                      </w:tcPr>
                      <w:p>
                        <w:pPr>
                          <w:rPr>
                            <w:sz w:val="2"/>
                            <w:szCs w:val="2"/>
                          </w:rPr>
                        </w:pPr>
                      </w:p>
                    </w:tc>
                    <w:tc>
                      <w:tcPr>
                        <w:tcW w:w="1135" w:type="dxa"/>
                      </w:tcPr>
                      <w:p>
                        <w:pPr>
                          <w:pStyle w:val="TableParagraph"/>
                          <w:spacing w:line="178" w:lineRule="exact" w:before="41"/>
                          <w:ind w:left="107"/>
                          <w:rPr>
                            <w:sz w:val="15"/>
                          </w:rPr>
                        </w:pPr>
                        <w:r>
                          <w:rPr>
                            <w:sz w:val="15"/>
                          </w:rPr>
                          <w:t>增持</w:t>
                        </w:r>
                      </w:p>
                    </w:tc>
                    <w:tc>
                      <w:tcPr>
                        <w:tcW w:w="4920" w:type="dxa"/>
                        <w:tcBorders>
                          <w:right w:val="nil"/>
                        </w:tcBorders>
                      </w:tcPr>
                      <w:p>
                        <w:pPr>
                          <w:pStyle w:val="TableParagraph"/>
                          <w:spacing w:line="178" w:lineRule="exact" w:before="41"/>
                          <w:ind w:left="105"/>
                          <w:rPr>
                            <w:sz w:val="15"/>
                          </w:rPr>
                        </w:pPr>
                        <w:r>
                          <w:rPr>
                            <w:sz w:val="15"/>
                          </w:rPr>
                          <w:t>相对同期相关证券市场代表性指数涨幅在</w:t>
                        </w:r>
                        <w:r>
                          <w:rPr>
                            <w:rFonts w:ascii="楷体" w:eastAsia="楷体" w:hint="eastAsia"/>
                            <w:sz w:val="15"/>
                          </w:rPr>
                          <w:t>5%</w:t>
                        </w:r>
                        <w:r>
                          <w:rPr>
                            <w:sz w:val="15"/>
                          </w:rPr>
                          <w:t>～</w:t>
                        </w:r>
                        <w:r>
                          <w:rPr>
                            <w:rFonts w:ascii="楷体" w:eastAsia="楷体" w:hint="eastAsia"/>
                            <w:sz w:val="15"/>
                          </w:rPr>
                          <w:t>15%</w:t>
                        </w:r>
                        <w:r>
                          <w:rPr>
                            <w:sz w:val="15"/>
                          </w:rPr>
                          <w:t>之间</w:t>
                        </w:r>
                      </w:p>
                    </w:tc>
                  </w:tr>
                  <w:tr>
                    <w:trPr>
                      <w:trHeight w:val="242" w:hRule="atLeast"/>
                    </w:trPr>
                    <w:tc>
                      <w:tcPr>
                        <w:tcW w:w="2696" w:type="dxa"/>
                        <w:vMerge/>
                        <w:tcBorders>
                          <w:top w:val="nil"/>
                          <w:left w:val="nil"/>
                        </w:tcBorders>
                      </w:tcPr>
                      <w:p>
                        <w:pPr>
                          <w:rPr>
                            <w:sz w:val="2"/>
                            <w:szCs w:val="2"/>
                          </w:rPr>
                        </w:pPr>
                      </w:p>
                    </w:tc>
                    <w:tc>
                      <w:tcPr>
                        <w:tcW w:w="991" w:type="dxa"/>
                        <w:vMerge/>
                        <w:tcBorders>
                          <w:top w:val="nil"/>
                        </w:tcBorders>
                      </w:tcPr>
                      <w:p>
                        <w:pPr>
                          <w:rPr>
                            <w:sz w:val="2"/>
                            <w:szCs w:val="2"/>
                          </w:rPr>
                        </w:pPr>
                      </w:p>
                    </w:tc>
                    <w:tc>
                      <w:tcPr>
                        <w:tcW w:w="1135" w:type="dxa"/>
                      </w:tcPr>
                      <w:p>
                        <w:pPr>
                          <w:pStyle w:val="TableParagraph"/>
                          <w:spacing w:line="178" w:lineRule="exact" w:before="44"/>
                          <w:ind w:left="107"/>
                          <w:rPr>
                            <w:sz w:val="15"/>
                          </w:rPr>
                        </w:pPr>
                        <w:r>
                          <w:rPr>
                            <w:sz w:val="15"/>
                          </w:rPr>
                          <w:t>中性</w:t>
                        </w:r>
                      </w:p>
                    </w:tc>
                    <w:tc>
                      <w:tcPr>
                        <w:tcW w:w="4920" w:type="dxa"/>
                        <w:tcBorders>
                          <w:right w:val="nil"/>
                        </w:tcBorders>
                      </w:tcPr>
                      <w:p>
                        <w:pPr>
                          <w:pStyle w:val="TableParagraph"/>
                          <w:spacing w:line="178" w:lineRule="exact" w:before="44"/>
                          <w:ind w:left="105"/>
                          <w:rPr>
                            <w:sz w:val="15"/>
                          </w:rPr>
                        </w:pPr>
                        <w:r>
                          <w:rPr>
                            <w:sz w:val="15"/>
                          </w:rPr>
                          <w:t>相对同期相关证券市场代表性指数涨幅在</w:t>
                        </w:r>
                        <w:r>
                          <w:rPr>
                            <w:rFonts w:ascii="楷体" w:eastAsia="楷体" w:hint="eastAsia"/>
                            <w:sz w:val="15"/>
                          </w:rPr>
                          <w:t>-5%</w:t>
                        </w:r>
                        <w:r>
                          <w:rPr>
                            <w:sz w:val="15"/>
                          </w:rPr>
                          <w:t>～</w:t>
                        </w:r>
                        <w:r>
                          <w:rPr>
                            <w:rFonts w:ascii="楷体" w:eastAsia="楷体" w:hint="eastAsia"/>
                            <w:sz w:val="15"/>
                          </w:rPr>
                          <w:t>5%</w:t>
                        </w:r>
                        <w:r>
                          <w:rPr>
                            <w:sz w:val="15"/>
                          </w:rPr>
                          <w:t>之间</w:t>
                        </w:r>
                      </w:p>
                    </w:tc>
                  </w:tr>
                  <w:tr>
                    <w:trPr>
                      <w:trHeight w:val="239" w:hRule="atLeast"/>
                    </w:trPr>
                    <w:tc>
                      <w:tcPr>
                        <w:tcW w:w="2696" w:type="dxa"/>
                        <w:vMerge/>
                        <w:tcBorders>
                          <w:top w:val="nil"/>
                          <w:left w:val="nil"/>
                        </w:tcBorders>
                      </w:tcPr>
                      <w:p>
                        <w:pPr>
                          <w:rPr>
                            <w:sz w:val="2"/>
                            <w:szCs w:val="2"/>
                          </w:rPr>
                        </w:pPr>
                      </w:p>
                    </w:tc>
                    <w:tc>
                      <w:tcPr>
                        <w:tcW w:w="991" w:type="dxa"/>
                        <w:vMerge/>
                        <w:tcBorders>
                          <w:top w:val="nil"/>
                        </w:tcBorders>
                      </w:tcPr>
                      <w:p>
                        <w:pPr>
                          <w:rPr>
                            <w:sz w:val="2"/>
                            <w:szCs w:val="2"/>
                          </w:rPr>
                        </w:pPr>
                      </w:p>
                    </w:tc>
                    <w:tc>
                      <w:tcPr>
                        <w:tcW w:w="1135" w:type="dxa"/>
                      </w:tcPr>
                      <w:p>
                        <w:pPr>
                          <w:pStyle w:val="TableParagraph"/>
                          <w:spacing w:line="178" w:lineRule="exact" w:before="41"/>
                          <w:ind w:left="107"/>
                          <w:rPr>
                            <w:sz w:val="15"/>
                          </w:rPr>
                        </w:pPr>
                        <w:r>
                          <w:rPr>
                            <w:sz w:val="15"/>
                          </w:rPr>
                          <w:t>减持</w:t>
                        </w:r>
                      </w:p>
                    </w:tc>
                    <w:tc>
                      <w:tcPr>
                        <w:tcW w:w="4920" w:type="dxa"/>
                        <w:tcBorders>
                          <w:right w:val="nil"/>
                        </w:tcBorders>
                      </w:tcPr>
                      <w:p>
                        <w:pPr>
                          <w:pStyle w:val="TableParagraph"/>
                          <w:spacing w:line="178" w:lineRule="exact" w:before="41"/>
                          <w:ind w:left="105"/>
                          <w:rPr>
                            <w:rFonts w:ascii="楷体" w:eastAsia="楷体" w:hint="eastAsia"/>
                            <w:sz w:val="15"/>
                          </w:rPr>
                        </w:pPr>
                        <w:r>
                          <w:rPr>
                            <w:sz w:val="15"/>
                          </w:rPr>
                          <w:t>相对同期相关证券市场代表性指数涨幅小于</w:t>
                        </w:r>
                        <w:r>
                          <w:rPr>
                            <w:rFonts w:ascii="楷体" w:eastAsia="楷体" w:hint="eastAsia"/>
                            <w:sz w:val="15"/>
                          </w:rPr>
                          <w:t>-5%</w:t>
                        </w:r>
                      </w:p>
                    </w:tc>
                  </w:tr>
                  <w:tr>
                    <w:trPr>
                      <w:trHeight w:val="479" w:hRule="atLeast"/>
                    </w:trPr>
                    <w:tc>
                      <w:tcPr>
                        <w:tcW w:w="2696" w:type="dxa"/>
                        <w:vMerge/>
                        <w:tcBorders>
                          <w:top w:val="nil"/>
                          <w:left w:val="nil"/>
                        </w:tcBorders>
                      </w:tcPr>
                      <w:p>
                        <w:pPr>
                          <w:rPr>
                            <w:sz w:val="2"/>
                            <w:szCs w:val="2"/>
                          </w:rPr>
                        </w:pPr>
                      </w:p>
                    </w:tc>
                    <w:tc>
                      <w:tcPr>
                        <w:tcW w:w="991" w:type="dxa"/>
                        <w:vMerge/>
                        <w:tcBorders>
                          <w:top w:val="nil"/>
                        </w:tcBorders>
                      </w:tcPr>
                      <w:p>
                        <w:pPr>
                          <w:rPr>
                            <w:sz w:val="2"/>
                            <w:szCs w:val="2"/>
                          </w:rPr>
                        </w:pPr>
                      </w:p>
                    </w:tc>
                    <w:tc>
                      <w:tcPr>
                        <w:tcW w:w="1135" w:type="dxa"/>
                      </w:tcPr>
                      <w:p>
                        <w:pPr>
                          <w:pStyle w:val="TableParagraph"/>
                          <w:spacing w:before="41"/>
                          <w:ind w:left="107"/>
                          <w:rPr>
                            <w:sz w:val="15"/>
                          </w:rPr>
                        </w:pPr>
                        <w:r>
                          <w:rPr>
                            <w:sz w:val="15"/>
                          </w:rPr>
                          <w:t>无评级</w:t>
                        </w:r>
                      </w:p>
                    </w:tc>
                    <w:tc>
                      <w:tcPr>
                        <w:tcW w:w="4920" w:type="dxa"/>
                        <w:tcBorders>
                          <w:right w:val="nil"/>
                        </w:tcBorders>
                      </w:tcPr>
                      <w:p>
                        <w:pPr>
                          <w:pStyle w:val="TableParagraph"/>
                          <w:spacing w:before="41"/>
                          <w:ind w:left="105"/>
                          <w:rPr>
                            <w:sz w:val="15"/>
                          </w:rPr>
                        </w:pPr>
                        <w:r>
                          <w:rPr>
                            <w:sz w:val="15"/>
                          </w:rPr>
                          <w:t>由于我们无法获取必要的资料，或者公司面临无法预见结果的重大不确</w:t>
                        </w:r>
                      </w:p>
                      <w:p>
                        <w:pPr>
                          <w:pStyle w:val="TableParagraph"/>
                          <w:spacing w:line="178" w:lineRule="exact" w:before="48"/>
                          <w:ind w:left="105"/>
                          <w:rPr>
                            <w:sz w:val="15"/>
                          </w:rPr>
                        </w:pPr>
                        <w:r>
                          <w:rPr>
                            <w:sz w:val="15"/>
                          </w:rPr>
                          <w:t>定性事件，或者其他原因，致使我们无法给出明确的投资评级</w:t>
                        </w:r>
                      </w:p>
                    </w:tc>
                  </w:tr>
                  <w:tr>
                    <w:trPr>
                      <w:trHeight w:val="239" w:hRule="atLeast"/>
                    </w:trPr>
                    <w:tc>
                      <w:tcPr>
                        <w:tcW w:w="2696" w:type="dxa"/>
                        <w:vMerge/>
                        <w:tcBorders>
                          <w:top w:val="nil"/>
                          <w:left w:val="nil"/>
                        </w:tcBorders>
                      </w:tcPr>
                      <w:p>
                        <w:pPr>
                          <w:rPr>
                            <w:sz w:val="2"/>
                            <w:szCs w:val="2"/>
                          </w:rPr>
                        </w:pPr>
                      </w:p>
                    </w:tc>
                    <w:tc>
                      <w:tcPr>
                        <w:tcW w:w="991" w:type="dxa"/>
                        <w:vMerge w:val="restart"/>
                      </w:tcPr>
                      <w:p>
                        <w:pPr>
                          <w:pStyle w:val="TableParagraph"/>
                          <w:spacing w:before="10"/>
                          <w:rPr>
                            <w:rFonts w:ascii="Microsoft JhengHei"/>
                            <w:b/>
                            <w:sz w:val="20"/>
                          </w:rPr>
                        </w:pPr>
                      </w:p>
                      <w:p>
                        <w:pPr>
                          <w:pStyle w:val="TableParagraph"/>
                          <w:ind w:left="107"/>
                          <w:rPr>
                            <w:sz w:val="15"/>
                          </w:rPr>
                        </w:pPr>
                        <w:r>
                          <w:rPr>
                            <w:sz w:val="15"/>
                          </w:rPr>
                          <w:t>行业评级</w:t>
                        </w:r>
                      </w:p>
                    </w:tc>
                    <w:tc>
                      <w:tcPr>
                        <w:tcW w:w="1135" w:type="dxa"/>
                      </w:tcPr>
                      <w:p>
                        <w:pPr>
                          <w:pStyle w:val="TableParagraph"/>
                          <w:spacing w:line="178" w:lineRule="exact" w:before="42"/>
                          <w:ind w:left="107"/>
                          <w:rPr>
                            <w:sz w:val="15"/>
                          </w:rPr>
                        </w:pPr>
                        <w:r>
                          <w:rPr>
                            <w:sz w:val="15"/>
                          </w:rPr>
                          <w:t>推荐</w:t>
                        </w:r>
                      </w:p>
                    </w:tc>
                    <w:tc>
                      <w:tcPr>
                        <w:tcW w:w="4920" w:type="dxa"/>
                        <w:tcBorders>
                          <w:right w:val="nil"/>
                        </w:tcBorders>
                      </w:tcPr>
                      <w:p>
                        <w:pPr>
                          <w:pStyle w:val="TableParagraph"/>
                          <w:spacing w:line="178" w:lineRule="exact" w:before="42"/>
                          <w:ind w:left="105"/>
                          <w:rPr>
                            <w:sz w:val="15"/>
                          </w:rPr>
                        </w:pPr>
                        <w:r>
                          <w:rPr>
                            <w:sz w:val="15"/>
                          </w:rPr>
                          <w:t>相对表现优于同期相关证券市场代表性指数</w:t>
                        </w:r>
                      </w:p>
                    </w:tc>
                  </w:tr>
                  <w:tr>
                    <w:trPr>
                      <w:trHeight w:val="240" w:hRule="atLeast"/>
                    </w:trPr>
                    <w:tc>
                      <w:tcPr>
                        <w:tcW w:w="2696" w:type="dxa"/>
                        <w:vMerge/>
                        <w:tcBorders>
                          <w:top w:val="nil"/>
                          <w:left w:val="nil"/>
                        </w:tcBorders>
                      </w:tcPr>
                      <w:p>
                        <w:pPr>
                          <w:rPr>
                            <w:sz w:val="2"/>
                            <w:szCs w:val="2"/>
                          </w:rPr>
                        </w:pPr>
                      </w:p>
                    </w:tc>
                    <w:tc>
                      <w:tcPr>
                        <w:tcW w:w="991" w:type="dxa"/>
                        <w:vMerge/>
                        <w:tcBorders>
                          <w:top w:val="nil"/>
                        </w:tcBorders>
                      </w:tcPr>
                      <w:p>
                        <w:pPr>
                          <w:rPr>
                            <w:sz w:val="2"/>
                            <w:szCs w:val="2"/>
                          </w:rPr>
                        </w:pPr>
                      </w:p>
                    </w:tc>
                    <w:tc>
                      <w:tcPr>
                        <w:tcW w:w="1135" w:type="dxa"/>
                      </w:tcPr>
                      <w:p>
                        <w:pPr>
                          <w:pStyle w:val="TableParagraph"/>
                          <w:spacing w:line="178" w:lineRule="exact" w:before="42"/>
                          <w:ind w:left="107"/>
                          <w:rPr>
                            <w:sz w:val="15"/>
                          </w:rPr>
                        </w:pPr>
                        <w:r>
                          <w:rPr>
                            <w:sz w:val="15"/>
                          </w:rPr>
                          <w:t>中性</w:t>
                        </w:r>
                      </w:p>
                    </w:tc>
                    <w:tc>
                      <w:tcPr>
                        <w:tcW w:w="4920" w:type="dxa"/>
                        <w:tcBorders>
                          <w:right w:val="nil"/>
                        </w:tcBorders>
                      </w:tcPr>
                      <w:p>
                        <w:pPr>
                          <w:pStyle w:val="TableParagraph"/>
                          <w:spacing w:line="178" w:lineRule="exact" w:before="42"/>
                          <w:ind w:left="105"/>
                          <w:rPr>
                            <w:sz w:val="15"/>
                          </w:rPr>
                        </w:pPr>
                        <w:r>
                          <w:rPr>
                            <w:sz w:val="15"/>
                          </w:rPr>
                          <w:t>相对表现与同期相关证券市场代表性指数持平</w:t>
                        </w:r>
                      </w:p>
                    </w:tc>
                  </w:tr>
                  <w:tr>
                    <w:trPr>
                      <w:trHeight w:val="410" w:hRule="atLeast"/>
                    </w:trPr>
                    <w:tc>
                      <w:tcPr>
                        <w:tcW w:w="2696" w:type="dxa"/>
                        <w:vMerge/>
                        <w:tcBorders>
                          <w:top w:val="nil"/>
                          <w:left w:val="nil"/>
                        </w:tcBorders>
                      </w:tcPr>
                      <w:p>
                        <w:pPr>
                          <w:rPr>
                            <w:sz w:val="2"/>
                            <w:szCs w:val="2"/>
                          </w:rPr>
                        </w:pPr>
                      </w:p>
                    </w:tc>
                    <w:tc>
                      <w:tcPr>
                        <w:tcW w:w="991" w:type="dxa"/>
                        <w:vMerge/>
                        <w:tcBorders>
                          <w:top w:val="nil"/>
                        </w:tcBorders>
                      </w:tcPr>
                      <w:p>
                        <w:pPr>
                          <w:rPr>
                            <w:sz w:val="2"/>
                            <w:szCs w:val="2"/>
                          </w:rPr>
                        </w:pPr>
                      </w:p>
                    </w:tc>
                    <w:tc>
                      <w:tcPr>
                        <w:tcW w:w="1135" w:type="dxa"/>
                      </w:tcPr>
                      <w:p>
                        <w:pPr>
                          <w:pStyle w:val="TableParagraph"/>
                          <w:spacing w:before="42"/>
                          <w:ind w:left="107"/>
                          <w:rPr>
                            <w:sz w:val="15"/>
                          </w:rPr>
                        </w:pPr>
                        <w:r>
                          <w:rPr>
                            <w:sz w:val="15"/>
                          </w:rPr>
                          <w:t>回避</w:t>
                        </w:r>
                      </w:p>
                    </w:tc>
                    <w:tc>
                      <w:tcPr>
                        <w:tcW w:w="4920" w:type="dxa"/>
                        <w:tcBorders>
                          <w:right w:val="nil"/>
                        </w:tcBorders>
                      </w:tcPr>
                      <w:p>
                        <w:pPr>
                          <w:pStyle w:val="TableParagraph"/>
                          <w:spacing w:before="42"/>
                          <w:ind w:left="105"/>
                          <w:rPr>
                            <w:sz w:val="15"/>
                          </w:rPr>
                        </w:pPr>
                        <w:r>
                          <w:rPr>
                            <w:sz w:val="15"/>
                          </w:rPr>
                          <w:t>相对表现弱于同期相关证券市场代表性指数</w:t>
                        </w:r>
                      </w:p>
                    </w:tc>
                  </w:tr>
                </w:tbl>
                <w:p>
                  <w:pPr>
                    <w:pStyle w:val="BodyText"/>
                  </w:pPr>
                </w:p>
              </w:txbxContent>
            </v:textbox>
            <w10:wrap type="none"/>
          </v:shape>
        </w:pict>
      </w:r>
      <w:r>
        <w:rPr/>
        <w:t>投资评级说明</w:t>
      </w: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spacing w:before="4"/>
        <w:rPr>
          <w:rFonts w:ascii="Microsoft JhengHei"/>
          <w:b/>
          <w:sz w:val="17"/>
        </w:rPr>
      </w:pPr>
    </w:p>
    <w:p>
      <w:pPr>
        <w:spacing w:line="363" w:lineRule="exact" w:before="0"/>
        <w:ind w:left="753" w:right="0" w:firstLine="0"/>
        <w:jc w:val="left"/>
        <w:rPr>
          <w:rFonts w:ascii="Microsoft JhengHei" w:eastAsia="Microsoft JhengHei" w:hint="eastAsia"/>
          <w:b/>
          <w:sz w:val="21"/>
        </w:rPr>
      </w:pPr>
      <w:r>
        <w:rPr>
          <w:rFonts w:ascii="Microsoft JhengHei" w:eastAsia="Microsoft JhengHei" w:hint="eastAsia"/>
          <w:b/>
          <w:sz w:val="21"/>
        </w:rPr>
        <w:t>信息披露</w:t>
      </w:r>
    </w:p>
    <w:p>
      <w:pPr>
        <w:spacing w:line="207" w:lineRule="exact" w:before="0"/>
        <w:ind w:left="1114" w:right="0" w:firstLine="0"/>
        <w:jc w:val="left"/>
        <w:rPr>
          <w:sz w:val="18"/>
        </w:rPr>
      </w:pPr>
      <w:r>
        <w:rPr>
          <w:sz w:val="18"/>
        </w:rPr>
        <w:t>本公司在知晓的范围内履行信息披露义务。客户可登录 </w:t>
      </w:r>
      <w:hyperlink r:id="rId53">
        <w:r>
          <w:rPr>
            <w:rFonts w:ascii="楷体" w:eastAsia="楷体" w:hint="eastAsia"/>
            <w:sz w:val="18"/>
          </w:rPr>
          <w:t>www.xyzq.com.cn </w:t>
        </w:r>
      </w:hyperlink>
      <w:r>
        <w:rPr>
          <w:sz w:val="18"/>
        </w:rPr>
        <w:t>内幕交易防控栏内查询静默期安排和关联公司</w:t>
      </w:r>
    </w:p>
    <w:p>
      <w:pPr>
        <w:spacing w:line="186" w:lineRule="exact" w:before="9"/>
        <w:ind w:left="753" w:right="0" w:firstLine="0"/>
        <w:jc w:val="left"/>
        <w:rPr>
          <w:sz w:val="18"/>
        </w:rPr>
      </w:pPr>
      <w:r>
        <w:rPr>
          <w:sz w:val="18"/>
        </w:rPr>
        <w:t>持股情况。</w:t>
      </w:r>
    </w:p>
    <w:p>
      <w:pPr>
        <w:pStyle w:val="Heading3"/>
        <w:spacing w:line="318" w:lineRule="exact"/>
        <w:ind w:left="753"/>
      </w:pPr>
      <w:r>
        <w:rPr/>
        <w:t>使用本研究报告的风险提示及法律声明</w:t>
      </w:r>
    </w:p>
    <w:p>
      <w:pPr>
        <w:spacing w:line="207" w:lineRule="exact" w:before="0"/>
        <w:ind w:left="1114" w:right="0" w:firstLine="0"/>
        <w:jc w:val="left"/>
        <w:rPr>
          <w:sz w:val="18"/>
        </w:rPr>
      </w:pPr>
      <w:r>
        <w:rPr>
          <w:sz w:val="18"/>
        </w:rPr>
        <w:t>兴业证券股份有限公司经中国证券监督管理委员会批准，已具备证券投资咨询业务资格。</w:t>
      </w:r>
    </w:p>
    <w:p>
      <w:pPr>
        <w:spacing w:line="249" w:lineRule="auto" w:before="10"/>
        <w:ind w:left="753" w:right="788" w:firstLine="360"/>
        <w:jc w:val="left"/>
        <w:rPr>
          <w:sz w:val="18"/>
        </w:rPr>
      </w:pPr>
      <w:r>
        <w:rPr>
          <w:sz w:val="18"/>
        </w:rPr>
        <w:t>本报告仅供兴业证券股份有限公司（以下简称“本公司”）的客户使用，本公司不会因接收人收到本报告而视其为客 </w:t>
      </w:r>
      <w:r>
        <w:rPr>
          <w:spacing w:val="-1"/>
          <w:sz w:val="18"/>
        </w:rPr>
        <w:t>户。本报告中的信息、意见等均仅供客户参考，不构成所述证券买卖的出价或征价邀请或要约，投资者自主作出投资决策并自行承担投资风险，任何形式的分享证券投资收益或者分担证券投资损失的书面或口头承诺均为无效，任何有关本报告的摘要或节选都不代表本报告正式完整的观点，一切须以本公司向客户发布的本报告完整版本为准。该等信息、意见并未考虑到获取本报告人员的具体投资目的、财务状况以及特定需求，在任何时候均不构成对任何人的个人推荐。客户应当对本报告中的信息和意见进行独立评估，并应同时考量各自的投资目的、财务状况和特定需求，必要时就法律、商业、财务、税收等方</w:t>
      </w:r>
      <w:r>
        <w:rPr>
          <w:sz w:val="18"/>
        </w:rPr>
        <w:t>面咨询专家的意见。对依据或者使用本报告所造成的一切后果，本公司及</w:t>
      </w:r>
      <w:r>
        <w:rPr>
          <w:rFonts w:ascii="楷体" w:hAnsi="楷体" w:eastAsia="楷体" w:hint="eastAsia"/>
          <w:sz w:val="18"/>
        </w:rPr>
        <w:t>/</w:t>
      </w:r>
      <w:r>
        <w:rPr>
          <w:sz w:val="18"/>
        </w:rPr>
        <w:t>或其关联人员均不承担任何法律责任。</w:t>
      </w:r>
    </w:p>
    <w:p>
      <w:pPr>
        <w:spacing w:line="249" w:lineRule="auto" w:before="1"/>
        <w:ind w:left="753" w:right="790" w:firstLine="360"/>
        <w:jc w:val="left"/>
        <w:rPr>
          <w:sz w:val="18"/>
        </w:rPr>
      </w:pPr>
      <w:r>
        <w:rPr>
          <w:sz w:val="18"/>
        </w:rPr>
        <w:t>本报告所载资料的来源被认为是可靠的，但本公司不保证其准确性或完整性，也不保证所包含的信息和建议不会发生任何变更。本公司并不对使用本报告所包含的材料产生的任何直接或间接损失或与此相关的其他任何损失承担任何责任。</w:t>
      </w:r>
    </w:p>
    <w:p>
      <w:pPr>
        <w:spacing w:line="249" w:lineRule="auto" w:before="1"/>
        <w:ind w:left="753" w:right="789" w:firstLine="360"/>
        <w:jc w:val="left"/>
        <w:rPr>
          <w:sz w:val="18"/>
        </w:rPr>
      </w:pPr>
      <w:r>
        <w:rPr>
          <w:spacing w:val="-1"/>
          <w:sz w:val="18"/>
        </w:rPr>
        <w:t>本报告所载的资料、意见及推测仅反映本公司于发布本报告当日的判断，本报告所指的证券或投资标的的价格、价值及投资收入可升可跌，过往表现不应作为日后的表现依据；在不同时期，本公司可发出与本报告所载资料、意见及推测不一致</w:t>
      </w:r>
      <w:r>
        <w:rPr>
          <w:sz w:val="18"/>
        </w:rPr>
        <w:t>的报告；本公司不保证本报告所含信息保持在最新状态。同时，本公司对本报告所含信息可在不发出通知的情形下做出修 改，投资者应当自行关注相应的更新或修改。</w:t>
      </w:r>
    </w:p>
    <w:p>
      <w:pPr>
        <w:spacing w:line="249" w:lineRule="auto" w:before="0"/>
        <w:ind w:left="753" w:right="790" w:firstLine="360"/>
        <w:jc w:val="both"/>
        <w:rPr>
          <w:sz w:val="18"/>
        </w:rPr>
      </w:pPr>
      <w:r>
        <w:rPr>
          <w:sz w:val="18"/>
        </w:rPr>
        <w:t>除非另行说明，本报告中所引用的关于业绩的数据代表过往表现。过往的业绩表现亦不应作为日后回报的预示。我们不承诺也不保证，任何所预示的回报会得以实现。分析中所做的回报预测可能是基于相应的假设。任何假设的变化可能会显著地影响所预测的回报。</w:t>
      </w:r>
    </w:p>
    <w:p>
      <w:pPr>
        <w:spacing w:line="249" w:lineRule="auto" w:before="1"/>
        <w:ind w:left="753" w:right="790" w:firstLine="360"/>
        <w:jc w:val="left"/>
        <w:rPr>
          <w:sz w:val="18"/>
        </w:rPr>
      </w:pPr>
      <w:r>
        <w:rPr>
          <w:sz w:val="18"/>
        </w:rPr>
        <w:t>本公司的销售人员、交易人员以及其他专业人士可能会依据不同假设和标准、采用不同的分析方法而口头或书面发表与本报告意见及建议不一致的市场评论和</w:t>
      </w:r>
      <w:r>
        <w:rPr>
          <w:rFonts w:ascii="楷体" w:eastAsia="楷体" w:hint="eastAsia"/>
          <w:sz w:val="18"/>
        </w:rPr>
        <w:t>/</w:t>
      </w:r>
      <w:r>
        <w:rPr>
          <w:sz w:val="18"/>
        </w:rPr>
        <w:t>或交易观点。本公司没有将此意见及建议向报告所有接收者进行更新的义务。本公司的资产管理部门、自营部门以及其他投资业务部门可能独立做出与本报告中的意见或建议不一致的投资决策。</w:t>
      </w:r>
    </w:p>
    <w:p>
      <w:pPr>
        <w:spacing w:line="249" w:lineRule="auto" w:before="0"/>
        <w:ind w:left="695" w:right="743" w:firstLine="360"/>
        <w:jc w:val="right"/>
        <w:rPr>
          <w:sz w:val="18"/>
        </w:rPr>
      </w:pPr>
      <w:r>
        <w:rPr>
          <w:sz w:val="18"/>
        </w:rPr>
        <w:t>本报告并非针对或意图发送予或为任何就发送、发布、可得到或使用此报告而使兴业证券股份有限公司及其关联子公司等违反当地的法律或法规或可致使兴业证券股份有限公司受制于相关法律或法规的任何地区、国家或其他管辖区域的公民或居民，包括但不限于美国及美国公民（</w:t>
      </w:r>
      <w:r>
        <w:rPr>
          <w:rFonts w:ascii="楷体" w:eastAsia="楷体" w:hint="eastAsia"/>
          <w:sz w:val="18"/>
        </w:rPr>
        <w:t>1934 </w:t>
      </w:r>
      <w:r>
        <w:rPr>
          <w:spacing w:val="-5"/>
          <w:sz w:val="18"/>
        </w:rPr>
        <w:t>年美国《证券交易所》第 </w:t>
      </w:r>
      <w:r>
        <w:rPr>
          <w:rFonts w:ascii="楷体" w:eastAsia="楷体" w:hint="eastAsia"/>
          <w:sz w:val="18"/>
        </w:rPr>
        <w:t>15a-6 </w:t>
      </w:r>
      <w:r>
        <w:rPr>
          <w:spacing w:val="-1"/>
          <w:sz w:val="18"/>
        </w:rPr>
        <w:t>条例定义为本「主要美国机构投资者」除外</w:t>
      </w:r>
      <w:r>
        <w:rPr>
          <w:sz w:val="18"/>
        </w:rPr>
        <w:t>）</w:t>
      </w:r>
      <w:r>
        <w:rPr>
          <w:spacing w:val="-11"/>
          <w:sz w:val="18"/>
        </w:rPr>
        <w:t>。</w:t>
      </w:r>
      <w:r>
        <w:rPr>
          <w:sz w:val="18"/>
        </w:rPr>
        <w:t>本报告的版权归本公司所有。本公司对本报告保留一切权利。除非另有书面显示，否则本报告中的所有材料的版权均属</w:t>
      </w:r>
    </w:p>
    <w:p>
      <w:pPr>
        <w:spacing w:line="249" w:lineRule="auto" w:before="1"/>
        <w:ind w:left="753" w:right="790" w:firstLine="0"/>
        <w:jc w:val="left"/>
        <w:rPr>
          <w:sz w:val="18"/>
        </w:rPr>
      </w:pPr>
      <w:r>
        <w:rPr>
          <w:sz w:val="18"/>
        </w:rPr>
        <w:t>本公司。未经本公司事先书面授权，本报告的任何部分均不得以任何方式制作任何形式的拷贝、复印件或复制品，或再次分发给任何其他人，或以任何侵犯本公司版权的其他方式使用。未经授权的转载，本公司不承担任何转载责任。</w:t>
      </w:r>
    </w:p>
    <w:p>
      <w:pPr>
        <w:pStyle w:val="Heading3"/>
        <w:spacing w:line="264" w:lineRule="exact"/>
        <w:ind w:left="753"/>
      </w:pPr>
      <w:r>
        <w:rPr/>
        <w:t>特别声明</w:t>
      </w:r>
    </w:p>
    <w:p>
      <w:pPr>
        <w:spacing w:line="207" w:lineRule="exact" w:before="0"/>
        <w:ind w:left="1114" w:right="0" w:firstLine="0"/>
        <w:jc w:val="left"/>
        <w:rPr>
          <w:sz w:val="18"/>
        </w:rPr>
      </w:pPr>
      <w:r>
        <w:rPr>
          <w:sz w:val="18"/>
        </w:rPr>
        <w:t>在法律许可的情况下，兴业证券股份有限公司可能会持有本报告中提及公司所发行的证券头寸并进行交易，也可能为这</w:t>
      </w:r>
    </w:p>
    <w:p>
      <w:pPr>
        <w:spacing w:line="249" w:lineRule="auto" w:before="10"/>
        <w:ind w:left="753" w:right="691" w:firstLine="0"/>
        <w:jc w:val="left"/>
        <w:rPr>
          <w:sz w:val="18"/>
        </w:rPr>
      </w:pPr>
      <w:r>
        <w:rPr>
          <w:sz w:val="18"/>
        </w:rPr>
        <w:t>些公司提供或争取提供投资银行业务服务。因此，投资者应当考虑到兴业证券股份有限公司及</w:t>
      </w:r>
      <w:r>
        <w:rPr>
          <w:rFonts w:ascii="楷体" w:eastAsia="楷体" w:hint="eastAsia"/>
          <w:sz w:val="18"/>
        </w:rPr>
        <w:t>/</w:t>
      </w:r>
      <w:r>
        <w:rPr>
          <w:sz w:val="18"/>
        </w:rPr>
        <w:t>或其相关人员可能存在影响本报告观点客观性的潜在利益冲突。投资者请勿将本报告视为投资或其他决定的唯一信赖依据。</w:t>
      </w:r>
    </w:p>
    <w:p>
      <w:pPr>
        <w:pStyle w:val="Heading3"/>
        <w:spacing w:line="287" w:lineRule="exact"/>
        <w:ind w:left="753"/>
      </w:pPr>
      <w:r>
        <w:rPr/>
        <w:pict>
          <v:shape style="position:absolute;margin-left:42.720001pt;margin-top:11.415014pt;width:508.1pt;height:72.3pt;mso-position-horizontal-relative:page;mso-position-vertical-relative:paragraph;z-index:15768576"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40"/>
                    <w:gridCol w:w="3245"/>
                    <w:gridCol w:w="3222"/>
                    <w:gridCol w:w="3321"/>
                    <w:gridCol w:w="132"/>
                  </w:tblGrid>
                  <w:tr>
                    <w:trPr>
                      <w:trHeight w:val="241" w:hRule="atLeast"/>
                    </w:trPr>
                    <w:tc>
                      <w:tcPr>
                        <w:tcW w:w="240" w:type="dxa"/>
                      </w:tcPr>
                      <w:p>
                        <w:pPr>
                          <w:pStyle w:val="TableParagraph"/>
                          <w:rPr>
                            <w:rFonts w:ascii="Times New Roman"/>
                            <w:sz w:val="16"/>
                          </w:rPr>
                        </w:pPr>
                      </w:p>
                    </w:tc>
                    <w:tc>
                      <w:tcPr>
                        <w:tcW w:w="3245" w:type="dxa"/>
                        <w:tcBorders>
                          <w:top w:val="single" w:sz="4" w:space="0" w:color="000000"/>
                          <w:bottom w:val="single" w:sz="4" w:space="0" w:color="000000"/>
                        </w:tcBorders>
                      </w:tcPr>
                      <w:p>
                        <w:pPr>
                          <w:pStyle w:val="TableParagraph"/>
                          <w:spacing w:line="222" w:lineRule="exact"/>
                          <w:ind w:left="113"/>
                          <w:rPr>
                            <w:rFonts w:ascii="Microsoft JhengHei" w:eastAsia="Microsoft JhengHei" w:hint="eastAsia"/>
                            <w:b/>
                            <w:sz w:val="18"/>
                          </w:rPr>
                        </w:pPr>
                        <w:r>
                          <w:rPr>
                            <w:rFonts w:ascii="Microsoft JhengHei" w:eastAsia="Microsoft JhengHei" w:hint="eastAsia"/>
                            <w:b/>
                            <w:sz w:val="18"/>
                          </w:rPr>
                          <w:t>上 海</w:t>
                        </w:r>
                      </w:p>
                    </w:tc>
                    <w:tc>
                      <w:tcPr>
                        <w:tcW w:w="3222" w:type="dxa"/>
                        <w:tcBorders>
                          <w:top w:val="single" w:sz="4" w:space="0" w:color="000000"/>
                          <w:bottom w:val="single" w:sz="4" w:space="0" w:color="000000"/>
                        </w:tcBorders>
                      </w:tcPr>
                      <w:p>
                        <w:pPr>
                          <w:pStyle w:val="TableParagraph"/>
                          <w:spacing w:line="222" w:lineRule="exact"/>
                          <w:ind w:left="130"/>
                          <w:rPr>
                            <w:rFonts w:ascii="Microsoft JhengHei" w:eastAsia="Microsoft JhengHei" w:hint="eastAsia"/>
                            <w:b/>
                            <w:sz w:val="18"/>
                          </w:rPr>
                        </w:pPr>
                        <w:r>
                          <w:rPr>
                            <w:rFonts w:ascii="Microsoft JhengHei" w:eastAsia="Microsoft JhengHei" w:hint="eastAsia"/>
                            <w:b/>
                            <w:sz w:val="18"/>
                          </w:rPr>
                          <w:t>北 京</w:t>
                        </w:r>
                      </w:p>
                    </w:tc>
                    <w:tc>
                      <w:tcPr>
                        <w:tcW w:w="3321" w:type="dxa"/>
                        <w:tcBorders>
                          <w:top w:val="single" w:sz="4" w:space="0" w:color="000000"/>
                          <w:bottom w:val="single" w:sz="4" w:space="0" w:color="000000"/>
                        </w:tcBorders>
                      </w:tcPr>
                      <w:p>
                        <w:pPr>
                          <w:pStyle w:val="TableParagraph"/>
                          <w:spacing w:line="222" w:lineRule="exact"/>
                          <w:ind w:left="168"/>
                          <w:rPr>
                            <w:rFonts w:ascii="Microsoft JhengHei" w:eastAsia="Microsoft JhengHei" w:hint="eastAsia"/>
                            <w:b/>
                            <w:sz w:val="18"/>
                          </w:rPr>
                        </w:pPr>
                        <w:r>
                          <w:rPr>
                            <w:rFonts w:ascii="Microsoft JhengHei" w:eastAsia="Microsoft JhengHei" w:hint="eastAsia"/>
                            <w:b/>
                            <w:sz w:val="18"/>
                          </w:rPr>
                          <w:t>深 圳</w:t>
                        </w:r>
                      </w:p>
                    </w:tc>
                    <w:tc>
                      <w:tcPr>
                        <w:tcW w:w="132" w:type="dxa"/>
                      </w:tcPr>
                      <w:p>
                        <w:pPr>
                          <w:pStyle w:val="TableParagraph"/>
                          <w:rPr>
                            <w:rFonts w:ascii="Times New Roman"/>
                            <w:sz w:val="16"/>
                          </w:rPr>
                        </w:pPr>
                      </w:p>
                    </w:tc>
                  </w:tr>
                  <w:tr>
                    <w:trPr>
                      <w:trHeight w:val="960" w:hRule="atLeast"/>
                    </w:trPr>
                    <w:tc>
                      <w:tcPr>
                        <w:tcW w:w="240" w:type="dxa"/>
                      </w:tcPr>
                      <w:p>
                        <w:pPr>
                          <w:pStyle w:val="TableParagraph"/>
                          <w:rPr>
                            <w:rFonts w:ascii="Times New Roman"/>
                            <w:sz w:val="16"/>
                          </w:rPr>
                        </w:pPr>
                      </w:p>
                    </w:tc>
                    <w:tc>
                      <w:tcPr>
                        <w:tcW w:w="3245" w:type="dxa"/>
                        <w:tcBorders>
                          <w:top w:val="single" w:sz="4" w:space="0" w:color="000000"/>
                          <w:bottom w:val="single" w:sz="4" w:space="0" w:color="000000"/>
                        </w:tcBorders>
                      </w:tcPr>
                      <w:p>
                        <w:pPr>
                          <w:pStyle w:val="TableParagraph"/>
                          <w:spacing w:before="41"/>
                          <w:ind w:left="113"/>
                          <w:rPr>
                            <w:sz w:val="15"/>
                          </w:rPr>
                        </w:pPr>
                        <w:r>
                          <w:rPr>
                            <w:sz w:val="15"/>
                          </w:rPr>
                          <w:t>地址：上海浦东新区长柳路</w:t>
                        </w:r>
                        <w:r>
                          <w:rPr>
                            <w:rFonts w:ascii="楷体" w:eastAsia="楷体" w:hint="eastAsia"/>
                            <w:sz w:val="15"/>
                          </w:rPr>
                          <w:t>36</w:t>
                        </w:r>
                        <w:r>
                          <w:rPr>
                            <w:sz w:val="15"/>
                          </w:rPr>
                          <w:t>号兴业证券大厦</w:t>
                        </w:r>
                      </w:p>
                      <w:p>
                        <w:pPr>
                          <w:pStyle w:val="TableParagraph"/>
                          <w:spacing w:before="48"/>
                          <w:ind w:left="113"/>
                          <w:rPr>
                            <w:sz w:val="15"/>
                          </w:rPr>
                        </w:pPr>
                        <w:r>
                          <w:rPr>
                            <w:rFonts w:ascii="楷体" w:eastAsia="楷体" w:hint="eastAsia"/>
                            <w:sz w:val="15"/>
                          </w:rPr>
                          <w:t>15</w:t>
                        </w:r>
                        <w:r>
                          <w:rPr>
                            <w:sz w:val="15"/>
                          </w:rPr>
                          <w:t>层</w:t>
                        </w:r>
                      </w:p>
                      <w:p>
                        <w:pPr>
                          <w:pStyle w:val="TableParagraph"/>
                          <w:spacing w:before="48"/>
                          <w:ind w:left="113"/>
                          <w:rPr>
                            <w:rFonts w:ascii="楷体" w:eastAsia="楷体" w:hint="eastAsia"/>
                            <w:sz w:val="15"/>
                          </w:rPr>
                        </w:pPr>
                        <w:r>
                          <w:rPr>
                            <w:sz w:val="15"/>
                          </w:rPr>
                          <w:t>邮编：</w:t>
                        </w:r>
                        <w:r>
                          <w:rPr>
                            <w:rFonts w:ascii="楷体" w:eastAsia="楷体" w:hint="eastAsia"/>
                            <w:sz w:val="15"/>
                          </w:rPr>
                          <w:t>200135</w:t>
                        </w:r>
                      </w:p>
                      <w:p>
                        <w:pPr>
                          <w:pStyle w:val="TableParagraph"/>
                          <w:spacing w:line="178" w:lineRule="exact" w:before="48"/>
                          <w:ind w:left="113"/>
                          <w:rPr>
                            <w:rFonts w:ascii="楷体" w:eastAsia="楷体" w:hint="eastAsia"/>
                            <w:sz w:val="15"/>
                          </w:rPr>
                        </w:pPr>
                        <w:r>
                          <w:rPr>
                            <w:sz w:val="15"/>
                          </w:rPr>
                          <w:t>邮箱：</w:t>
                        </w:r>
                        <w:hyperlink r:id="rId54">
                          <w:r>
                            <w:rPr>
                              <w:rFonts w:ascii="楷体" w:eastAsia="楷体" w:hint="eastAsia"/>
                              <w:sz w:val="15"/>
                            </w:rPr>
                            <w:t>research@xyzq.com.cn</w:t>
                          </w:r>
                        </w:hyperlink>
                      </w:p>
                    </w:tc>
                    <w:tc>
                      <w:tcPr>
                        <w:tcW w:w="3222" w:type="dxa"/>
                        <w:tcBorders>
                          <w:top w:val="single" w:sz="4" w:space="0" w:color="000000"/>
                          <w:bottom w:val="single" w:sz="4" w:space="0" w:color="000000"/>
                        </w:tcBorders>
                      </w:tcPr>
                      <w:p>
                        <w:pPr>
                          <w:pStyle w:val="TableParagraph"/>
                          <w:spacing w:before="41"/>
                          <w:ind w:left="130"/>
                          <w:rPr>
                            <w:sz w:val="15"/>
                          </w:rPr>
                        </w:pPr>
                        <w:r>
                          <w:rPr>
                            <w:sz w:val="15"/>
                          </w:rPr>
                          <w:t>地址：北京市朝阳区建国门大街甲</w:t>
                        </w:r>
                        <w:r>
                          <w:rPr>
                            <w:rFonts w:ascii="楷体" w:eastAsia="楷体" w:hint="eastAsia"/>
                            <w:sz w:val="15"/>
                          </w:rPr>
                          <w:t>6</w:t>
                        </w:r>
                        <w:r>
                          <w:rPr>
                            <w:sz w:val="15"/>
                          </w:rPr>
                          <w:t>号</w:t>
                        </w:r>
                        <w:r>
                          <w:rPr>
                            <w:rFonts w:ascii="楷体" w:eastAsia="楷体" w:hint="eastAsia"/>
                            <w:sz w:val="15"/>
                          </w:rPr>
                          <w:t>SK</w:t>
                        </w:r>
                        <w:r>
                          <w:rPr>
                            <w:sz w:val="15"/>
                          </w:rPr>
                          <w:t>大厦</w:t>
                        </w:r>
                      </w:p>
                      <w:p>
                        <w:pPr>
                          <w:pStyle w:val="TableParagraph"/>
                          <w:spacing w:line="300" w:lineRule="auto" w:before="48"/>
                          <w:ind w:left="130" w:right="2115"/>
                          <w:rPr>
                            <w:rFonts w:ascii="楷体" w:eastAsia="楷体" w:hint="eastAsia"/>
                            <w:sz w:val="15"/>
                          </w:rPr>
                        </w:pPr>
                        <w:r>
                          <w:rPr>
                            <w:rFonts w:ascii="楷体" w:eastAsia="楷体" w:hint="eastAsia"/>
                            <w:sz w:val="15"/>
                          </w:rPr>
                          <w:t>32</w:t>
                        </w:r>
                        <w:r>
                          <w:rPr>
                            <w:sz w:val="15"/>
                          </w:rPr>
                          <w:t>层</w:t>
                        </w:r>
                        <w:r>
                          <w:rPr>
                            <w:rFonts w:ascii="楷体" w:eastAsia="楷体" w:hint="eastAsia"/>
                            <w:sz w:val="15"/>
                          </w:rPr>
                          <w:t>01-08</w:t>
                        </w:r>
                        <w:r>
                          <w:rPr>
                            <w:sz w:val="15"/>
                          </w:rPr>
                          <w:t>单元邮编：</w:t>
                        </w:r>
                        <w:r>
                          <w:rPr>
                            <w:rFonts w:ascii="楷体" w:eastAsia="楷体" w:hint="eastAsia"/>
                            <w:sz w:val="15"/>
                          </w:rPr>
                          <w:t>100020</w:t>
                        </w:r>
                      </w:p>
                      <w:p>
                        <w:pPr>
                          <w:pStyle w:val="TableParagraph"/>
                          <w:spacing w:line="178" w:lineRule="exact"/>
                          <w:ind w:left="130"/>
                          <w:rPr>
                            <w:rFonts w:ascii="楷体" w:eastAsia="楷体" w:hint="eastAsia"/>
                            <w:sz w:val="15"/>
                          </w:rPr>
                        </w:pPr>
                        <w:r>
                          <w:rPr>
                            <w:sz w:val="15"/>
                          </w:rPr>
                          <w:t>邮箱：</w:t>
                        </w:r>
                        <w:hyperlink r:id="rId54">
                          <w:r>
                            <w:rPr>
                              <w:rFonts w:ascii="楷体" w:eastAsia="楷体" w:hint="eastAsia"/>
                              <w:sz w:val="15"/>
                            </w:rPr>
                            <w:t>research@xyzq.com.cn</w:t>
                          </w:r>
                        </w:hyperlink>
                      </w:p>
                    </w:tc>
                    <w:tc>
                      <w:tcPr>
                        <w:tcW w:w="3321" w:type="dxa"/>
                        <w:tcBorders>
                          <w:top w:val="single" w:sz="4" w:space="0" w:color="000000"/>
                          <w:bottom w:val="single" w:sz="4" w:space="0" w:color="000000"/>
                        </w:tcBorders>
                      </w:tcPr>
                      <w:p>
                        <w:pPr>
                          <w:pStyle w:val="TableParagraph"/>
                          <w:spacing w:line="300" w:lineRule="auto" w:before="41"/>
                          <w:ind w:left="168" w:right="150"/>
                          <w:rPr>
                            <w:sz w:val="15"/>
                          </w:rPr>
                        </w:pPr>
                        <w:r>
                          <w:rPr>
                            <w:sz w:val="15"/>
                          </w:rPr>
                          <w:t>地址：深圳市福田区皇岗路</w:t>
                        </w:r>
                        <w:r>
                          <w:rPr>
                            <w:rFonts w:ascii="楷体" w:eastAsia="楷体" w:hint="eastAsia"/>
                            <w:sz w:val="15"/>
                          </w:rPr>
                          <w:t>5001</w:t>
                        </w:r>
                        <w:r>
                          <w:rPr>
                            <w:sz w:val="15"/>
                          </w:rPr>
                          <w:t>号深业上城</w:t>
                        </w:r>
                        <w:r>
                          <w:rPr>
                            <w:rFonts w:ascii="楷体" w:eastAsia="楷体" w:hint="eastAsia"/>
                            <w:sz w:val="15"/>
                          </w:rPr>
                          <w:t>T2 </w:t>
                        </w:r>
                        <w:r>
                          <w:rPr>
                            <w:sz w:val="15"/>
                          </w:rPr>
                          <w:t>座</w:t>
                        </w:r>
                        <w:r>
                          <w:rPr>
                            <w:rFonts w:ascii="楷体" w:eastAsia="楷体" w:hint="eastAsia"/>
                            <w:sz w:val="15"/>
                          </w:rPr>
                          <w:t>52</w:t>
                        </w:r>
                        <w:r>
                          <w:rPr>
                            <w:sz w:val="15"/>
                          </w:rPr>
                          <w:t>楼</w:t>
                        </w:r>
                      </w:p>
                      <w:p>
                        <w:pPr>
                          <w:pStyle w:val="TableParagraph"/>
                          <w:spacing w:line="192" w:lineRule="exact"/>
                          <w:ind w:left="168"/>
                          <w:rPr>
                            <w:rFonts w:ascii="楷体" w:eastAsia="楷体" w:hint="eastAsia"/>
                            <w:sz w:val="15"/>
                          </w:rPr>
                        </w:pPr>
                        <w:r>
                          <w:rPr>
                            <w:sz w:val="15"/>
                          </w:rPr>
                          <w:t>邮编：</w:t>
                        </w:r>
                        <w:r>
                          <w:rPr>
                            <w:rFonts w:ascii="楷体" w:eastAsia="楷体" w:hint="eastAsia"/>
                            <w:sz w:val="15"/>
                          </w:rPr>
                          <w:t>518035</w:t>
                        </w:r>
                      </w:p>
                      <w:p>
                        <w:pPr>
                          <w:pStyle w:val="TableParagraph"/>
                          <w:spacing w:line="178" w:lineRule="exact" w:before="49"/>
                          <w:ind w:left="168"/>
                          <w:rPr>
                            <w:rFonts w:ascii="楷体" w:eastAsia="楷体" w:hint="eastAsia"/>
                            <w:sz w:val="15"/>
                          </w:rPr>
                        </w:pPr>
                        <w:r>
                          <w:rPr>
                            <w:sz w:val="15"/>
                          </w:rPr>
                          <w:t>邮箱：</w:t>
                        </w:r>
                        <w:hyperlink r:id="rId54">
                          <w:r>
                            <w:rPr>
                              <w:rFonts w:ascii="楷体" w:eastAsia="楷体" w:hint="eastAsia"/>
                              <w:sz w:val="15"/>
                            </w:rPr>
                            <w:t>research@xyzq.com.cn</w:t>
                          </w:r>
                        </w:hyperlink>
                      </w:p>
                    </w:tc>
                    <w:tc>
                      <w:tcPr>
                        <w:tcW w:w="132" w:type="dxa"/>
                      </w:tcPr>
                      <w:p>
                        <w:pPr>
                          <w:pStyle w:val="TableParagraph"/>
                          <w:rPr>
                            <w:rFonts w:ascii="Times New Roman"/>
                            <w:sz w:val="16"/>
                          </w:rPr>
                        </w:pPr>
                      </w:p>
                    </w:tc>
                  </w:tr>
                  <w:tr>
                    <w:trPr>
                      <w:trHeight w:val="183" w:hRule="atLeast"/>
                    </w:trPr>
                    <w:tc>
                      <w:tcPr>
                        <w:tcW w:w="240" w:type="dxa"/>
                        <w:tcBorders>
                          <w:bottom w:val="single" w:sz="12" w:space="0" w:color="333366"/>
                        </w:tcBorders>
                      </w:tcPr>
                      <w:p>
                        <w:pPr>
                          <w:pStyle w:val="TableParagraph"/>
                          <w:rPr>
                            <w:rFonts w:ascii="Times New Roman"/>
                            <w:sz w:val="12"/>
                          </w:rPr>
                        </w:pPr>
                      </w:p>
                    </w:tc>
                    <w:tc>
                      <w:tcPr>
                        <w:tcW w:w="3245" w:type="dxa"/>
                        <w:tcBorders>
                          <w:top w:val="single" w:sz="4" w:space="0" w:color="000000"/>
                          <w:bottom w:val="single" w:sz="12" w:space="0" w:color="333366"/>
                        </w:tcBorders>
                      </w:tcPr>
                      <w:p>
                        <w:pPr>
                          <w:pStyle w:val="TableParagraph"/>
                          <w:rPr>
                            <w:rFonts w:ascii="Times New Roman"/>
                            <w:sz w:val="12"/>
                          </w:rPr>
                        </w:pPr>
                      </w:p>
                    </w:tc>
                    <w:tc>
                      <w:tcPr>
                        <w:tcW w:w="3222" w:type="dxa"/>
                        <w:tcBorders>
                          <w:top w:val="single" w:sz="4" w:space="0" w:color="000000"/>
                          <w:bottom w:val="single" w:sz="12" w:space="0" w:color="333366"/>
                        </w:tcBorders>
                      </w:tcPr>
                      <w:p>
                        <w:pPr>
                          <w:pStyle w:val="TableParagraph"/>
                          <w:rPr>
                            <w:rFonts w:ascii="Times New Roman"/>
                            <w:sz w:val="12"/>
                          </w:rPr>
                        </w:pPr>
                      </w:p>
                    </w:tc>
                    <w:tc>
                      <w:tcPr>
                        <w:tcW w:w="3321" w:type="dxa"/>
                        <w:tcBorders>
                          <w:top w:val="single" w:sz="4" w:space="0" w:color="000000"/>
                          <w:bottom w:val="single" w:sz="12" w:space="0" w:color="333366"/>
                        </w:tcBorders>
                      </w:tcPr>
                      <w:p>
                        <w:pPr>
                          <w:pStyle w:val="TableParagraph"/>
                          <w:rPr>
                            <w:rFonts w:ascii="Times New Roman"/>
                            <w:sz w:val="12"/>
                          </w:rPr>
                        </w:pPr>
                      </w:p>
                    </w:tc>
                    <w:tc>
                      <w:tcPr>
                        <w:tcW w:w="132" w:type="dxa"/>
                        <w:tcBorders>
                          <w:bottom w:val="single" w:sz="12" w:space="0" w:color="333366"/>
                        </w:tcBorders>
                      </w:tcPr>
                      <w:p>
                        <w:pPr>
                          <w:pStyle w:val="TableParagraph"/>
                          <w:rPr>
                            <w:rFonts w:ascii="Times New Roman"/>
                            <w:sz w:val="12"/>
                          </w:rPr>
                        </w:pPr>
                      </w:p>
                    </w:tc>
                  </w:tr>
                </w:tbl>
                <w:p>
                  <w:pPr>
                    <w:pStyle w:val="BodyText"/>
                  </w:pPr>
                </w:p>
              </w:txbxContent>
            </v:textbox>
            <w10:wrap type="none"/>
          </v:shape>
        </w:pict>
      </w:r>
      <w:r>
        <w:rPr/>
        <w:t>兴业证券研究</w:t>
      </w:r>
    </w:p>
    <w:sectPr>
      <w:headerReference w:type="default" r:id="rId51"/>
      <w:footerReference w:type="default" r:id="rId52"/>
      <w:pgSz w:w="11910" w:h="16840"/>
      <w:pgMar w:header="868" w:footer="1006" w:top="1400" w:bottom="1200" w:left="240" w:right="4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楷体">
    <w:altName w:val="楷体"/>
    <w:charset w:val="86"/>
    <w:family w:val="modern"/>
    <w:pitch w:val="fixed"/>
  </w:font>
  <w:font w:name="Wingdings">
    <w:altName w:val="Wingdings"/>
    <w:charset w:val="2"/>
    <w:family w:val="auto"/>
    <w:pitch w:val="variable"/>
  </w:font>
  <w:font w:name="Microsoft JhengHei">
    <w:altName w:val="Microsoft JhengHei"/>
    <w:charset w:val="0"/>
    <w:family w:val="swiss"/>
    <w:pitch w:val="variable"/>
  </w:font>
  <w:font w:name="宋体">
    <w:altName w:val="宋体"/>
    <w:charset w:val="86"/>
    <w:family w:val="auto"/>
    <w:pitch w:val="variable"/>
  </w:font>
  <w:font w:name="Calibri">
    <w:altName w:val="Calibri"/>
    <w:charset w:val="0"/>
    <w:family w:val="swiss"/>
    <w:pitch w:val="variable"/>
  </w:font>
  <w:font w:name="微软雅黑">
    <w:altName w:val="微软雅黑"/>
    <w:charset w:val="86"/>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209.889999pt;margin-top:770.665588pt;width:173.65pt;height:11pt;mso-position-horizontal-relative:page;mso-position-vertical-relative:page;z-index:-17894912" type="#_x0000_t202" filled="false" stroked="false">
          <v:textbox inset="0,0,0,0">
            <w:txbxContent>
              <w:p>
                <w:pPr>
                  <w:spacing w:line="220" w:lineRule="exact" w:before="0"/>
                  <w:ind w:left="20" w:right="0" w:firstLine="0"/>
                  <w:jc w:val="left"/>
                  <w:rPr>
                    <w:b/>
                    <w:sz w:val="18"/>
                  </w:rPr>
                </w:pPr>
                <w:r>
                  <w:rPr>
                    <w:b/>
                    <w:color w:val="333366"/>
                    <w:sz w:val="18"/>
                  </w:rPr>
                  <w:t>请务必阅读正文之后的信息披露和重要声明</w:t>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09.889999pt;margin-top:770.665588pt;width:173.65pt;height:11pt;mso-position-horizontal-relative:page;mso-position-vertical-relative:page;z-index:-17874432" type="#_x0000_t202" filled="false" stroked="false">
          <v:textbox inset="0,0,0,0">
            <w:txbxContent>
              <w:p>
                <w:pPr>
                  <w:spacing w:line="220" w:lineRule="exact" w:before="0"/>
                  <w:ind w:left="20" w:right="0" w:firstLine="0"/>
                  <w:jc w:val="left"/>
                  <w:rPr>
                    <w:b/>
                    <w:sz w:val="18"/>
                  </w:rPr>
                </w:pPr>
                <w:r>
                  <w:rPr>
                    <w:b/>
                    <w:color w:val="333366"/>
                    <w:sz w:val="18"/>
                  </w:rPr>
                  <w:t>请务必阅读正文之后的信息披露和重要声明</w:t>
                </w:r>
              </w:p>
            </w:txbxContent>
          </v:textbox>
          <w10:wrap type="none"/>
        </v:shape>
      </w:pict>
    </w:r>
    <w:r>
      <w:rPr/>
      <w:pict>
        <v:shape style="position:absolute;margin-left:524.460022pt;margin-top:781.419983pt;width:26.05pt;height:12pt;mso-position-horizontal-relative:page;mso-position-vertical-relative:page;z-index:-17873920" type="#_x0000_t202" filled="false" stroked="false">
          <v:textbox inset="0,0,0,0">
            <w:txbxContent>
              <w:p>
                <w:pPr>
                  <w:spacing w:before="12"/>
                  <w:ind w:left="20" w:right="0" w:firstLine="0"/>
                  <w:jc w:val="left"/>
                  <w:rPr>
                    <w:rFonts w:ascii="Times New Roman"/>
                    <w:sz w:val="18"/>
                  </w:rPr>
                </w:pPr>
                <w:r>
                  <w:rPr>
                    <w:rFonts w:ascii="Times New Roman"/>
                    <w:sz w:val="18"/>
                  </w:rPr>
                  <w:t>- 35 -</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42.720001pt;margin-top:767.880005pt;width:508.08pt;height:1.44pt;mso-position-horizontal-relative:page;mso-position-vertical-relative:page;z-index:-17893376" filled="true" fillcolor="#333366" stroked="false">
          <v:fill type="solid"/>
          <w10:wrap type="none"/>
        </v:rect>
      </w:pict>
    </w:r>
    <w:r>
      <w:rPr/>
      <w:pict>
        <v:shape style="position:absolute;margin-left:209.889999pt;margin-top:770.665588pt;width:173.65pt;height:11pt;mso-position-horizontal-relative:page;mso-position-vertical-relative:page;z-index:-17892864" type="#_x0000_t202" filled="false" stroked="false">
          <v:textbox inset="0,0,0,0">
            <w:txbxContent>
              <w:p>
                <w:pPr>
                  <w:spacing w:line="220" w:lineRule="exact" w:before="0"/>
                  <w:ind w:left="20" w:right="0" w:firstLine="0"/>
                  <w:jc w:val="left"/>
                  <w:rPr>
                    <w:b/>
                    <w:sz w:val="18"/>
                  </w:rPr>
                </w:pPr>
                <w:r>
                  <w:rPr>
                    <w:b/>
                    <w:color w:val="333366"/>
                    <w:sz w:val="18"/>
                  </w:rPr>
                  <w:t>请务必阅读正文之后的信息披露和重要声明</w:t>
                </w:r>
              </w:p>
            </w:txbxContent>
          </v:textbox>
          <w10:wrap type="none"/>
        </v:shape>
      </w:pict>
    </w:r>
    <w:r>
      <w:rPr/>
      <w:pict>
        <v:shape style="position:absolute;margin-left:529.020020pt;margin-top:781.419983pt;width:24.5pt;height:12pt;mso-position-horizontal-relative:page;mso-position-vertical-relative:page;z-index:-17892352" type="#_x0000_t202" filled="false" stroked="false">
          <v:textbox inset="0,0,0,0">
            <w:txbxContent>
              <w:p>
                <w:pPr>
                  <w:spacing w:before="12"/>
                  <w:ind w:left="20" w:right="0" w:firstLine="0"/>
                  <w:jc w:val="left"/>
                  <w:rPr>
                    <w:rFonts w:ascii="Times New Roman"/>
                    <w:sz w:val="18"/>
                  </w:rPr>
                </w:pPr>
                <w:r>
                  <w:rPr>
                    <w:rFonts w:ascii="Times New Roman"/>
                    <w:sz w:val="18"/>
                  </w:rPr>
                  <w:t>- </w:t>
                </w:r>
                <w:r>
                  <w:rPr/>
                  <w:fldChar w:fldCharType="begin"/>
                </w:r>
                <w:r>
                  <w:rPr>
                    <w:rFonts w:ascii="Times New Roman"/>
                    <w:sz w:val="18"/>
                  </w:rPr>
                  <w:instrText> PAGE </w:instrText>
                </w:r>
                <w:r>
                  <w:rPr/>
                  <w:fldChar w:fldCharType="separate"/>
                </w:r>
                <w:r>
                  <w:rPr/>
                  <w:t>2</w:t>
                </w:r>
                <w:r>
                  <w:rPr/>
                  <w:fldChar w:fldCharType="end"/>
                </w:r>
                <w:r>
                  <w:rPr>
                    <w:rFonts w:ascii="Times New Roman"/>
                    <w:sz w:val="18"/>
                  </w:rPr>
                  <w:t> -</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09.889999pt;margin-top:770.665588pt;width:173.65pt;height:11pt;mso-position-horizontal-relative:page;mso-position-vertical-relative:page;z-index:-17890816" type="#_x0000_t202" filled="false" stroked="false">
          <v:textbox inset="0,0,0,0">
            <w:txbxContent>
              <w:p>
                <w:pPr>
                  <w:spacing w:line="220" w:lineRule="exact" w:before="0"/>
                  <w:ind w:left="20" w:right="0" w:firstLine="0"/>
                  <w:jc w:val="left"/>
                  <w:rPr>
                    <w:b/>
                    <w:sz w:val="18"/>
                  </w:rPr>
                </w:pPr>
                <w:r>
                  <w:rPr>
                    <w:b/>
                    <w:color w:val="333366"/>
                    <w:sz w:val="18"/>
                  </w:rPr>
                  <w:t>请务必阅读正文之后的信息披露和重要声明</w:t>
                </w:r>
              </w:p>
            </w:txbxContent>
          </v:textbox>
          <w10:wrap type="none"/>
        </v:shape>
      </w:pict>
    </w:r>
    <w:r>
      <w:rPr/>
      <w:pict>
        <v:shape style="position:absolute;margin-left:529.020020pt;margin-top:781.419983pt;width:24.5pt;height:12pt;mso-position-horizontal-relative:page;mso-position-vertical-relative:page;z-index:-17890304" type="#_x0000_t202" filled="false" stroked="false">
          <v:textbox inset="0,0,0,0">
            <w:txbxContent>
              <w:p>
                <w:pPr>
                  <w:spacing w:before="12"/>
                  <w:ind w:left="20" w:right="0" w:firstLine="0"/>
                  <w:jc w:val="left"/>
                  <w:rPr>
                    <w:rFonts w:ascii="Times New Roman"/>
                    <w:sz w:val="18"/>
                  </w:rPr>
                </w:pPr>
                <w:r>
                  <w:rPr>
                    <w:rFonts w:ascii="Times New Roman"/>
                    <w:sz w:val="18"/>
                  </w:rPr>
                  <w:t>- </w:t>
                </w:r>
                <w:r>
                  <w:rPr/>
                  <w:fldChar w:fldCharType="begin"/>
                </w:r>
                <w:r>
                  <w:rPr>
                    <w:rFonts w:ascii="Times New Roman"/>
                    <w:sz w:val="18"/>
                  </w:rPr>
                  <w:instrText> PAGE </w:instrText>
                </w:r>
                <w:r>
                  <w:rPr/>
                  <w:fldChar w:fldCharType="separate"/>
                </w:r>
                <w:r>
                  <w:rPr/>
                  <w:t>4</w:t>
                </w:r>
                <w:r>
                  <w:rPr/>
                  <w:fldChar w:fldCharType="end"/>
                </w:r>
                <w:r>
                  <w:rPr>
                    <w:rFonts w:ascii="Times New Roman"/>
                    <w:sz w:val="18"/>
                  </w:rPr>
                  <w:t> -</w:t>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42.720001pt;margin-top:767.880005pt;width:508.08pt;height:1.44pt;mso-position-horizontal-relative:page;mso-position-vertical-relative:page;z-index:-17888768" filled="true" fillcolor="#333366" stroked="false">
          <v:fill type="solid"/>
          <w10:wrap type="none"/>
        </v:rect>
      </w:pict>
    </w:r>
    <w:r>
      <w:rPr/>
      <w:pict>
        <v:shape style="position:absolute;margin-left:209.889999pt;margin-top:770.665588pt;width:173.65pt;height:11pt;mso-position-horizontal-relative:page;mso-position-vertical-relative:page;z-index:-17888256" type="#_x0000_t202" filled="false" stroked="false">
          <v:textbox inset="0,0,0,0">
            <w:txbxContent>
              <w:p>
                <w:pPr>
                  <w:spacing w:line="220" w:lineRule="exact" w:before="0"/>
                  <w:ind w:left="20" w:right="0" w:firstLine="0"/>
                  <w:jc w:val="left"/>
                  <w:rPr>
                    <w:b/>
                    <w:sz w:val="18"/>
                  </w:rPr>
                </w:pPr>
                <w:r>
                  <w:rPr>
                    <w:b/>
                    <w:color w:val="333366"/>
                    <w:sz w:val="18"/>
                  </w:rPr>
                  <w:t>请务必阅读正文之后的信息披露和重要声明</w:t>
                </w:r>
              </w:p>
            </w:txbxContent>
          </v:textbox>
          <w10:wrap type="none"/>
        </v:shape>
      </w:pict>
    </w:r>
    <w:r>
      <w:rPr/>
      <w:pict>
        <v:shape style="position:absolute;margin-left:529.020020pt;margin-top:781.419983pt;width:24.5pt;height:12pt;mso-position-horizontal-relative:page;mso-position-vertical-relative:page;z-index:-17887744" type="#_x0000_t202" filled="false" stroked="false">
          <v:textbox inset="0,0,0,0">
            <w:txbxContent>
              <w:p>
                <w:pPr>
                  <w:spacing w:before="12"/>
                  <w:ind w:left="20" w:right="0" w:firstLine="0"/>
                  <w:jc w:val="left"/>
                  <w:rPr>
                    <w:rFonts w:ascii="Times New Roman"/>
                    <w:sz w:val="18"/>
                  </w:rPr>
                </w:pPr>
                <w:r>
                  <w:rPr>
                    <w:rFonts w:ascii="Times New Roman"/>
                    <w:sz w:val="18"/>
                  </w:rPr>
                  <w:t>- </w:t>
                </w:r>
                <w:r>
                  <w:rPr/>
                  <w:fldChar w:fldCharType="begin"/>
                </w:r>
                <w:r>
                  <w:rPr>
                    <w:rFonts w:ascii="Times New Roman"/>
                    <w:sz w:val="18"/>
                  </w:rPr>
                  <w:instrText> PAGE </w:instrText>
                </w:r>
                <w:r>
                  <w:rPr/>
                  <w:fldChar w:fldCharType="separate"/>
                </w:r>
                <w:r>
                  <w:rPr/>
                  <w:t>5</w:t>
                </w:r>
                <w:r>
                  <w:rPr/>
                  <w:fldChar w:fldCharType="end"/>
                </w:r>
                <w:r>
                  <w:rPr>
                    <w:rFonts w:ascii="Times New Roman"/>
                    <w:sz w:val="18"/>
                  </w:rPr>
                  <w:t> -</w:t>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42.720001pt;margin-top:767.880005pt;width:508.08pt;height:1.44pt;mso-position-horizontal-relative:page;mso-position-vertical-relative:page;z-index:-17886208" filled="true" fillcolor="#333366" stroked="false">
          <v:fill type="solid"/>
          <w10:wrap type="none"/>
        </v:rect>
      </w:pict>
    </w:r>
    <w:r>
      <w:rPr/>
      <w:pict>
        <v:shape style="position:absolute;margin-left:209.889999pt;margin-top:770.665588pt;width:173.65pt;height:11pt;mso-position-horizontal-relative:page;mso-position-vertical-relative:page;z-index:-17885696" type="#_x0000_t202" filled="false" stroked="false">
          <v:textbox inset="0,0,0,0">
            <w:txbxContent>
              <w:p>
                <w:pPr>
                  <w:spacing w:line="220" w:lineRule="exact" w:before="0"/>
                  <w:ind w:left="20" w:right="0" w:firstLine="0"/>
                  <w:jc w:val="left"/>
                  <w:rPr>
                    <w:b/>
                    <w:sz w:val="18"/>
                  </w:rPr>
                </w:pPr>
                <w:r>
                  <w:rPr>
                    <w:b/>
                    <w:color w:val="333366"/>
                    <w:sz w:val="18"/>
                  </w:rPr>
                  <w:t>请务必阅读正文之后的信息披露和重要声明</w:t>
                </w:r>
              </w:p>
            </w:txbxContent>
          </v:textbox>
          <w10:wrap type="none"/>
        </v:shape>
      </w:pict>
    </w:r>
    <w:r>
      <w:rPr/>
      <w:pict>
        <v:shape style="position:absolute;margin-left:524.460022pt;margin-top:781.419983pt;width:29.05pt;height:12pt;mso-position-horizontal-relative:page;mso-position-vertical-relative:page;z-index:-17885184" type="#_x0000_t202" filled="false" stroked="false">
          <v:textbox inset="0,0,0,0">
            <w:txbxContent>
              <w:p>
                <w:pPr>
                  <w:spacing w:before="12"/>
                  <w:ind w:left="20" w:right="0" w:firstLine="0"/>
                  <w:jc w:val="left"/>
                  <w:rPr>
                    <w:rFonts w:ascii="Times New Roman"/>
                    <w:sz w:val="18"/>
                  </w:rPr>
                </w:pPr>
                <w:r>
                  <w:rPr>
                    <w:rFonts w:ascii="Times New Roman"/>
                    <w:sz w:val="18"/>
                  </w:rPr>
                  <w:t>- </w:t>
                </w:r>
                <w:r>
                  <w:rPr/>
                  <w:fldChar w:fldCharType="begin"/>
                </w:r>
                <w:r>
                  <w:rPr>
                    <w:rFonts w:ascii="Times New Roman"/>
                    <w:sz w:val="18"/>
                  </w:rPr>
                  <w:instrText> PAGE </w:instrText>
                </w:r>
                <w:r>
                  <w:rPr/>
                  <w:fldChar w:fldCharType="separate"/>
                </w:r>
                <w:r>
                  <w:rPr/>
                  <w:t>10</w:t>
                </w:r>
                <w:r>
                  <w:rPr/>
                  <w:fldChar w:fldCharType="end"/>
                </w:r>
                <w:r>
                  <w:rPr>
                    <w:rFonts w:ascii="Times New Roman"/>
                    <w:sz w:val="18"/>
                  </w:rPr>
                  <w:t> -</w:t>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09.889999pt;margin-top:770.665588pt;width:173.65pt;height:11pt;mso-position-horizontal-relative:page;mso-position-vertical-relative:page;z-index:-17883648" type="#_x0000_t202" filled="false" stroked="false">
          <v:textbox inset="0,0,0,0">
            <w:txbxContent>
              <w:p>
                <w:pPr>
                  <w:spacing w:line="220" w:lineRule="exact" w:before="0"/>
                  <w:ind w:left="20" w:right="0" w:firstLine="0"/>
                  <w:jc w:val="left"/>
                  <w:rPr>
                    <w:b/>
                    <w:sz w:val="18"/>
                  </w:rPr>
                </w:pPr>
                <w:r>
                  <w:rPr>
                    <w:b/>
                    <w:color w:val="333366"/>
                    <w:sz w:val="18"/>
                  </w:rPr>
                  <w:t>请务必阅读正文之后的信息披露和重要声明</w:t>
                </w:r>
              </w:p>
            </w:txbxContent>
          </v:textbox>
          <w10:wrap type="none"/>
        </v:shape>
      </w:pict>
    </w:r>
    <w:r>
      <w:rPr/>
      <w:pict>
        <v:shape style="position:absolute;margin-left:524.460022pt;margin-top:781.419983pt;width:29.05pt;height:12pt;mso-position-horizontal-relative:page;mso-position-vertical-relative:page;z-index:-17883136" type="#_x0000_t202" filled="false" stroked="false">
          <v:textbox inset="0,0,0,0">
            <w:txbxContent>
              <w:p>
                <w:pPr>
                  <w:spacing w:before="12"/>
                  <w:ind w:left="20" w:right="0" w:firstLine="0"/>
                  <w:jc w:val="left"/>
                  <w:rPr>
                    <w:rFonts w:ascii="Times New Roman"/>
                    <w:sz w:val="18"/>
                  </w:rPr>
                </w:pPr>
                <w:r>
                  <w:rPr>
                    <w:rFonts w:ascii="Times New Roman"/>
                    <w:sz w:val="18"/>
                  </w:rPr>
                  <w:t>- </w:t>
                </w:r>
                <w:r>
                  <w:rPr/>
                  <w:fldChar w:fldCharType="begin"/>
                </w:r>
                <w:r>
                  <w:rPr>
                    <w:rFonts w:ascii="Times New Roman"/>
                    <w:sz w:val="18"/>
                  </w:rPr>
                  <w:instrText> PAGE </w:instrText>
                </w:r>
                <w:r>
                  <w:rPr/>
                  <w:fldChar w:fldCharType="separate"/>
                </w:r>
                <w:r>
                  <w:rPr/>
                  <w:t>12</w:t>
                </w:r>
                <w:r>
                  <w:rPr/>
                  <w:fldChar w:fldCharType="end"/>
                </w:r>
                <w:r>
                  <w:rPr>
                    <w:rFonts w:ascii="Times New Roman"/>
                    <w:sz w:val="18"/>
                  </w:rPr>
                  <w:t> -</w:t>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42.720001pt;margin-top:767.880005pt;width:508.08pt;height:1.44pt;mso-position-horizontal-relative:page;mso-position-vertical-relative:page;z-index:-17881600" filled="true" fillcolor="#333366" stroked="false">
          <v:fill type="solid"/>
          <w10:wrap type="none"/>
        </v:rect>
      </w:pict>
    </w:r>
    <w:r>
      <w:rPr/>
      <w:pict>
        <v:shape style="position:absolute;margin-left:209.889999pt;margin-top:770.665588pt;width:173.65pt;height:11pt;mso-position-horizontal-relative:page;mso-position-vertical-relative:page;z-index:-17881088" type="#_x0000_t202" filled="false" stroked="false">
          <v:textbox inset="0,0,0,0">
            <w:txbxContent>
              <w:p>
                <w:pPr>
                  <w:spacing w:line="220" w:lineRule="exact" w:before="0"/>
                  <w:ind w:left="20" w:right="0" w:firstLine="0"/>
                  <w:jc w:val="left"/>
                  <w:rPr>
                    <w:b/>
                    <w:sz w:val="18"/>
                  </w:rPr>
                </w:pPr>
                <w:r>
                  <w:rPr>
                    <w:b/>
                    <w:color w:val="333366"/>
                    <w:sz w:val="18"/>
                  </w:rPr>
                  <w:t>请务必阅读正文之后的信息披露和重要声明</w:t>
                </w:r>
              </w:p>
            </w:txbxContent>
          </v:textbox>
          <w10:wrap type="none"/>
        </v:shape>
      </w:pict>
    </w:r>
    <w:r>
      <w:rPr/>
      <w:pict>
        <v:shape style="position:absolute;margin-left:524.460022pt;margin-top:781.419983pt;width:29.05pt;height:12pt;mso-position-horizontal-relative:page;mso-position-vertical-relative:page;z-index:-17880576" type="#_x0000_t202" filled="false" stroked="false">
          <v:textbox inset="0,0,0,0">
            <w:txbxContent>
              <w:p>
                <w:pPr>
                  <w:spacing w:before="12"/>
                  <w:ind w:left="20" w:right="0" w:firstLine="0"/>
                  <w:jc w:val="left"/>
                  <w:rPr>
                    <w:rFonts w:ascii="Times New Roman"/>
                    <w:sz w:val="18"/>
                  </w:rPr>
                </w:pPr>
                <w:r>
                  <w:rPr>
                    <w:rFonts w:ascii="Times New Roman"/>
                    <w:sz w:val="18"/>
                  </w:rPr>
                  <w:t>- </w:t>
                </w:r>
                <w:r>
                  <w:rPr/>
                  <w:fldChar w:fldCharType="begin"/>
                </w:r>
                <w:r>
                  <w:rPr>
                    <w:rFonts w:ascii="Times New Roman"/>
                    <w:sz w:val="18"/>
                  </w:rPr>
                  <w:instrText> PAGE </w:instrText>
                </w:r>
                <w:r>
                  <w:rPr/>
                  <w:fldChar w:fldCharType="separate"/>
                </w:r>
                <w:r>
                  <w:rPr/>
                  <w:t>14</w:t>
                </w:r>
                <w:r>
                  <w:rPr/>
                  <w:fldChar w:fldCharType="end"/>
                </w:r>
                <w:r>
                  <w:rPr>
                    <w:rFonts w:ascii="Times New Roman"/>
                    <w:sz w:val="18"/>
                  </w:rPr>
                  <w:t> -</w:t>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09.889999pt;margin-top:770.665588pt;width:173.65pt;height:11pt;mso-position-horizontal-relative:page;mso-position-vertical-relative:page;z-index:-17879040" type="#_x0000_t202" filled="false" stroked="false">
          <v:textbox inset="0,0,0,0">
            <w:txbxContent>
              <w:p>
                <w:pPr>
                  <w:spacing w:line="220" w:lineRule="exact" w:before="0"/>
                  <w:ind w:left="20" w:right="0" w:firstLine="0"/>
                  <w:jc w:val="left"/>
                  <w:rPr>
                    <w:b/>
                    <w:sz w:val="18"/>
                  </w:rPr>
                </w:pPr>
                <w:r>
                  <w:rPr>
                    <w:b/>
                    <w:color w:val="333366"/>
                    <w:sz w:val="18"/>
                  </w:rPr>
                  <w:t>请务必阅读正文之后的信息披露和重要声明</w:t>
                </w:r>
              </w:p>
            </w:txbxContent>
          </v:textbox>
          <w10:wrap type="none"/>
        </v:shape>
      </w:pict>
    </w:r>
    <w:r>
      <w:rPr/>
      <w:pict>
        <v:shape style="position:absolute;margin-left:524.460022pt;margin-top:781.419983pt;width:29.05pt;height:12pt;mso-position-horizontal-relative:page;mso-position-vertical-relative:page;z-index:-17878528" type="#_x0000_t202" filled="false" stroked="false">
          <v:textbox inset="0,0,0,0">
            <w:txbxContent>
              <w:p>
                <w:pPr>
                  <w:spacing w:before="12"/>
                  <w:ind w:left="20" w:right="0" w:firstLine="0"/>
                  <w:jc w:val="left"/>
                  <w:rPr>
                    <w:rFonts w:ascii="Times New Roman"/>
                    <w:sz w:val="18"/>
                  </w:rPr>
                </w:pPr>
                <w:r>
                  <w:rPr>
                    <w:rFonts w:ascii="Times New Roman"/>
                    <w:sz w:val="18"/>
                  </w:rPr>
                  <w:t>- </w:t>
                </w:r>
                <w:r>
                  <w:rPr/>
                  <w:fldChar w:fldCharType="begin"/>
                </w:r>
                <w:r>
                  <w:rPr>
                    <w:rFonts w:ascii="Times New Roman"/>
                    <w:sz w:val="18"/>
                  </w:rPr>
                  <w:instrText> PAGE </w:instrText>
                </w:r>
                <w:r>
                  <w:rPr/>
                  <w:fldChar w:fldCharType="separate"/>
                </w:r>
                <w:r>
                  <w:rPr/>
                  <w:t>29</w:t>
                </w:r>
                <w:r>
                  <w:rPr/>
                  <w:fldChar w:fldCharType="end"/>
                </w:r>
                <w:r>
                  <w:rPr>
                    <w:rFonts w:ascii="Times New Roman"/>
                    <w:sz w:val="18"/>
                  </w:rPr>
                  <w:t> -</w:t>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42.720001pt;margin-top:767.880005pt;width:508.08pt;height:1.44pt;mso-position-horizontal-relative:page;mso-position-vertical-relative:page;z-index:-17876992" filled="true" fillcolor="#333366" stroked="false">
          <v:fill type="solid"/>
          <w10:wrap type="none"/>
        </v:rect>
      </w:pict>
    </w:r>
    <w:r>
      <w:rPr/>
      <w:pict>
        <v:shape style="position:absolute;margin-left:209.889999pt;margin-top:770.665588pt;width:173.65pt;height:11pt;mso-position-horizontal-relative:page;mso-position-vertical-relative:page;z-index:-17876480" type="#_x0000_t202" filled="false" stroked="false">
          <v:textbox inset="0,0,0,0">
            <w:txbxContent>
              <w:p>
                <w:pPr>
                  <w:spacing w:line="220" w:lineRule="exact" w:before="0"/>
                  <w:ind w:left="20" w:right="0" w:firstLine="0"/>
                  <w:jc w:val="left"/>
                  <w:rPr>
                    <w:b/>
                    <w:sz w:val="18"/>
                  </w:rPr>
                </w:pPr>
                <w:r>
                  <w:rPr>
                    <w:b/>
                    <w:color w:val="333366"/>
                    <w:sz w:val="18"/>
                  </w:rPr>
                  <w:t>请务必阅读正文之后的信息披露和重要声明</w:t>
                </w:r>
              </w:p>
            </w:txbxContent>
          </v:textbox>
          <w10:wrap type="none"/>
        </v:shape>
      </w:pict>
    </w:r>
    <w:r>
      <w:rPr/>
      <w:pict>
        <v:shape style="position:absolute;margin-left:524.460022pt;margin-top:781.419983pt;width:29.05pt;height:12pt;mso-position-horizontal-relative:page;mso-position-vertical-relative:page;z-index:-17875968" type="#_x0000_t202" filled="false" stroked="false">
          <v:textbox inset="0,0,0,0">
            <w:txbxContent>
              <w:p>
                <w:pPr>
                  <w:spacing w:before="12"/>
                  <w:ind w:left="20" w:right="0" w:firstLine="0"/>
                  <w:jc w:val="left"/>
                  <w:rPr>
                    <w:rFonts w:ascii="Times New Roman"/>
                    <w:sz w:val="18"/>
                  </w:rPr>
                </w:pPr>
                <w:r>
                  <w:rPr>
                    <w:rFonts w:ascii="Times New Roman"/>
                    <w:sz w:val="18"/>
                  </w:rPr>
                  <w:t>- </w:t>
                </w:r>
                <w:r>
                  <w:rPr/>
                  <w:fldChar w:fldCharType="begin"/>
                </w:r>
                <w:r>
                  <w:rPr>
                    <w:rFonts w:ascii="Times New Roman"/>
                    <w:sz w:val="18"/>
                  </w:rPr>
                  <w:instrText> PAGE </w:instrText>
                </w:r>
                <w:r>
                  <w:rPr/>
                  <w:fldChar w:fldCharType="separate"/>
                </w:r>
                <w:r>
                  <w:rPr/>
                  <w:t>30</w:t>
                </w:r>
                <w:r>
                  <w:rPr/>
                  <w:fldChar w:fldCharType="end"/>
                </w:r>
                <w:r>
                  <w:rPr>
                    <w:rFonts w:ascii="Times New Roman"/>
                    <w:sz w:val="18"/>
                  </w:rPr>
                  <w:t> -</w:t>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5422080">
          <wp:simplePos x="0" y="0"/>
          <wp:positionH relativeFrom="page">
            <wp:posOffset>5451323</wp:posOffset>
          </wp:positionH>
          <wp:positionV relativeFrom="page">
            <wp:posOffset>551149</wp:posOffset>
          </wp:positionV>
          <wp:extent cx="1490305" cy="345092"/>
          <wp:effectExtent l="0" t="0" r="0" b="0"/>
          <wp:wrapNone/>
          <wp:docPr id="1" name="image2.png"/>
          <wp:cNvGraphicFramePr>
            <a:graphicFrameLocks noChangeAspect="1"/>
          </wp:cNvGraphicFramePr>
          <a:graphic>
            <a:graphicData uri="http://schemas.openxmlformats.org/drawingml/2006/picture">
              <pic:pic>
                <pic:nvPicPr>
                  <pic:cNvPr id="2" name="image2.png"/>
                  <pic:cNvPicPr/>
                </pic:nvPicPr>
                <pic:blipFill>
                  <a:blip r:embed="rId1" cstate="print"/>
                  <a:stretch>
                    <a:fillRect/>
                  </a:stretch>
                </pic:blipFill>
                <pic:spPr>
                  <a:xfrm>
                    <a:off x="0" y="0"/>
                    <a:ext cx="1490305" cy="345092"/>
                  </a:xfrm>
                  <a:prstGeom prst="rect">
                    <a:avLst/>
                  </a:prstGeom>
                </pic:spPr>
              </pic:pic>
            </a:graphicData>
          </a:graphic>
        </wp:anchor>
      </w:drawing>
    </w:r>
    <w:r>
      <w:rPr/>
      <w:pict>
        <v:shape style="position:absolute;margin-left:44.360001pt;margin-top:57.364983pt;width:86.5pt;height:12.6pt;mso-position-horizontal-relative:page;mso-position-vertical-relative:page;z-index:-17893888" type="#_x0000_t202" filled="false" stroked="false">
          <v:textbox inset="0,0,0,0">
            <w:txbxContent>
              <w:p>
                <w:pPr>
                  <w:spacing w:line="251" w:lineRule="exact" w:before="0"/>
                  <w:ind w:left="20" w:right="0" w:firstLine="0"/>
                  <w:jc w:val="left"/>
                  <w:rPr>
                    <w:rFonts w:ascii="Microsoft JhengHei" w:eastAsia="Microsoft JhengHei" w:hint="eastAsia"/>
                    <w:b/>
                    <w:sz w:val="21"/>
                  </w:rPr>
                </w:pPr>
                <w:r>
                  <w:rPr>
                    <w:rFonts w:ascii="Microsoft JhengHei" w:eastAsia="Microsoft JhengHei" w:hint="eastAsia"/>
                    <w:b/>
                    <w:color w:val="333366"/>
                    <w:sz w:val="21"/>
                  </w:rPr>
                  <w:t>行业深度研究报告</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5424640">
          <wp:simplePos x="0" y="0"/>
          <wp:positionH relativeFrom="page">
            <wp:posOffset>5451323</wp:posOffset>
          </wp:positionH>
          <wp:positionV relativeFrom="page">
            <wp:posOffset>551149</wp:posOffset>
          </wp:positionV>
          <wp:extent cx="1490305" cy="345092"/>
          <wp:effectExtent l="0" t="0" r="0" b="0"/>
          <wp:wrapNone/>
          <wp:docPr id="3" name="image2.png"/>
          <wp:cNvGraphicFramePr>
            <a:graphicFrameLocks noChangeAspect="1"/>
          </wp:cNvGraphicFramePr>
          <a:graphic>
            <a:graphicData uri="http://schemas.openxmlformats.org/drawingml/2006/picture">
              <pic:pic>
                <pic:nvPicPr>
                  <pic:cNvPr id="4" name="image2.png"/>
                  <pic:cNvPicPr/>
                </pic:nvPicPr>
                <pic:blipFill>
                  <a:blip r:embed="rId1" cstate="print"/>
                  <a:stretch>
                    <a:fillRect/>
                  </a:stretch>
                </pic:blipFill>
                <pic:spPr>
                  <a:xfrm>
                    <a:off x="0" y="0"/>
                    <a:ext cx="1490305" cy="345092"/>
                  </a:xfrm>
                  <a:prstGeom prst="rect">
                    <a:avLst/>
                  </a:prstGeom>
                </pic:spPr>
              </pic:pic>
            </a:graphicData>
          </a:graphic>
        </wp:anchor>
      </w:drawing>
    </w:r>
    <w:r>
      <w:rPr/>
      <w:pict>
        <v:shape style="position:absolute;margin-left:44.360001pt;margin-top:57.364983pt;width:86.5pt;height:12.6pt;mso-position-horizontal-relative:page;mso-position-vertical-relative:page;z-index:-17891328" type="#_x0000_t202" filled="false" stroked="false">
          <v:textbox inset="0,0,0,0">
            <w:txbxContent>
              <w:p>
                <w:pPr>
                  <w:spacing w:line="251" w:lineRule="exact" w:before="0"/>
                  <w:ind w:left="20" w:right="0" w:firstLine="0"/>
                  <w:jc w:val="left"/>
                  <w:rPr>
                    <w:rFonts w:ascii="Microsoft JhengHei" w:eastAsia="Microsoft JhengHei" w:hint="eastAsia"/>
                    <w:b/>
                    <w:sz w:val="21"/>
                  </w:rPr>
                </w:pPr>
                <w:r>
                  <w:rPr>
                    <w:rFonts w:ascii="Microsoft JhengHei" w:eastAsia="Microsoft JhengHei" w:hint="eastAsia"/>
                    <w:b/>
                    <w:color w:val="333366"/>
                    <w:sz w:val="21"/>
                  </w:rPr>
                  <w:t>行业深度研究报告</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5426688">
          <wp:simplePos x="0" y="0"/>
          <wp:positionH relativeFrom="page">
            <wp:posOffset>5451323</wp:posOffset>
          </wp:positionH>
          <wp:positionV relativeFrom="page">
            <wp:posOffset>551149</wp:posOffset>
          </wp:positionV>
          <wp:extent cx="1490305" cy="345092"/>
          <wp:effectExtent l="0" t="0" r="0" b="0"/>
          <wp:wrapNone/>
          <wp:docPr id="5" name="image2.png"/>
          <wp:cNvGraphicFramePr>
            <a:graphicFrameLocks noChangeAspect="1"/>
          </wp:cNvGraphicFramePr>
          <a:graphic>
            <a:graphicData uri="http://schemas.openxmlformats.org/drawingml/2006/picture">
              <pic:pic>
                <pic:nvPicPr>
                  <pic:cNvPr id="6" name="image2.png"/>
                  <pic:cNvPicPr/>
                </pic:nvPicPr>
                <pic:blipFill>
                  <a:blip r:embed="rId1" cstate="print"/>
                  <a:stretch>
                    <a:fillRect/>
                  </a:stretch>
                </pic:blipFill>
                <pic:spPr>
                  <a:xfrm>
                    <a:off x="0" y="0"/>
                    <a:ext cx="1490305" cy="345092"/>
                  </a:xfrm>
                  <a:prstGeom prst="rect">
                    <a:avLst/>
                  </a:prstGeom>
                </pic:spPr>
              </pic:pic>
            </a:graphicData>
          </a:graphic>
        </wp:anchor>
      </w:drawing>
    </w:r>
    <w:r>
      <w:rPr/>
      <w:pict>
        <v:shape style="position:absolute;margin-left:44.360001pt;margin-top:57.364983pt;width:86.5pt;height:12.6pt;mso-position-horizontal-relative:page;mso-position-vertical-relative:page;z-index:-17889280" type="#_x0000_t202" filled="false" stroked="false">
          <v:textbox inset="0,0,0,0">
            <w:txbxContent>
              <w:p>
                <w:pPr>
                  <w:spacing w:line="251" w:lineRule="exact" w:before="0"/>
                  <w:ind w:left="20" w:right="0" w:firstLine="0"/>
                  <w:jc w:val="left"/>
                  <w:rPr>
                    <w:rFonts w:ascii="Microsoft JhengHei" w:eastAsia="Microsoft JhengHei" w:hint="eastAsia"/>
                    <w:b/>
                    <w:sz w:val="21"/>
                  </w:rPr>
                </w:pPr>
                <w:r>
                  <w:rPr>
                    <w:rFonts w:ascii="Microsoft JhengHei" w:eastAsia="Microsoft JhengHei" w:hint="eastAsia"/>
                    <w:b/>
                    <w:color w:val="333366"/>
                    <w:sz w:val="21"/>
                  </w:rPr>
                  <w:t>行业深度研究报告</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5429248">
          <wp:simplePos x="0" y="0"/>
          <wp:positionH relativeFrom="page">
            <wp:posOffset>5451323</wp:posOffset>
          </wp:positionH>
          <wp:positionV relativeFrom="page">
            <wp:posOffset>551149</wp:posOffset>
          </wp:positionV>
          <wp:extent cx="1490305" cy="345092"/>
          <wp:effectExtent l="0" t="0" r="0" b="0"/>
          <wp:wrapNone/>
          <wp:docPr id="21" name="image2.png"/>
          <wp:cNvGraphicFramePr>
            <a:graphicFrameLocks noChangeAspect="1"/>
          </wp:cNvGraphicFramePr>
          <a:graphic>
            <a:graphicData uri="http://schemas.openxmlformats.org/drawingml/2006/picture">
              <pic:pic>
                <pic:nvPicPr>
                  <pic:cNvPr id="22" name="image2.png"/>
                  <pic:cNvPicPr/>
                </pic:nvPicPr>
                <pic:blipFill>
                  <a:blip r:embed="rId1" cstate="print"/>
                  <a:stretch>
                    <a:fillRect/>
                  </a:stretch>
                </pic:blipFill>
                <pic:spPr>
                  <a:xfrm>
                    <a:off x="0" y="0"/>
                    <a:ext cx="1490305" cy="345092"/>
                  </a:xfrm>
                  <a:prstGeom prst="rect">
                    <a:avLst/>
                  </a:prstGeom>
                </pic:spPr>
              </pic:pic>
            </a:graphicData>
          </a:graphic>
        </wp:anchor>
      </w:drawing>
    </w:r>
    <w:r>
      <w:rPr/>
      <w:pict>
        <v:shape style="position:absolute;margin-left:44.360001pt;margin-top:57.364983pt;width:86.5pt;height:12.6pt;mso-position-horizontal-relative:page;mso-position-vertical-relative:page;z-index:-17886720" type="#_x0000_t202" filled="false" stroked="false">
          <v:textbox inset="0,0,0,0">
            <w:txbxContent>
              <w:p>
                <w:pPr>
                  <w:spacing w:line="251" w:lineRule="exact" w:before="0"/>
                  <w:ind w:left="20" w:right="0" w:firstLine="0"/>
                  <w:jc w:val="left"/>
                  <w:rPr>
                    <w:rFonts w:ascii="Microsoft JhengHei" w:eastAsia="Microsoft JhengHei" w:hint="eastAsia"/>
                    <w:b/>
                    <w:sz w:val="21"/>
                  </w:rPr>
                </w:pPr>
                <w:r>
                  <w:rPr>
                    <w:rFonts w:ascii="Microsoft JhengHei" w:eastAsia="Microsoft JhengHei" w:hint="eastAsia"/>
                    <w:b/>
                    <w:color w:val="333366"/>
                    <w:sz w:val="21"/>
                  </w:rPr>
                  <w:t>行业深度研究报告</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5431808">
          <wp:simplePos x="0" y="0"/>
          <wp:positionH relativeFrom="page">
            <wp:posOffset>5451323</wp:posOffset>
          </wp:positionH>
          <wp:positionV relativeFrom="page">
            <wp:posOffset>551149</wp:posOffset>
          </wp:positionV>
          <wp:extent cx="1490305" cy="345092"/>
          <wp:effectExtent l="0" t="0" r="0" b="0"/>
          <wp:wrapNone/>
          <wp:docPr id="23" name="image2.png"/>
          <wp:cNvGraphicFramePr>
            <a:graphicFrameLocks noChangeAspect="1"/>
          </wp:cNvGraphicFramePr>
          <a:graphic>
            <a:graphicData uri="http://schemas.openxmlformats.org/drawingml/2006/picture">
              <pic:pic>
                <pic:nvPicPr>
                  <pic:cNvPr id="24" name="image2.png"/>
                  <pic:cNvPicPr/>
                </pic:nvPicPr>
                <pic:blipFill>
                  <a:blip r:embed="rId1" cstate="print"/>
                  <a:stretch>
                    <a:fillRect/>
                  </a:stretch>
                </pic:blipFill>
                <pic:spPr>
                  <a:xfrm>
                    <a:off x="0" y="0"/>
                    <a:ext cx="1490305" cy="345092"/>
                  </a:xfrm>
                  <a:prstGeom prst="rect">
                    <a:avLst/>
                  </a:prstGeom>
                </pic:spPr>
              </pic:pic>
            </a:graphicData>
          </a:graphic>
        </wp:anchor>
      </w:drawing>
    </w:r>
    <w:r>
      <w:rPr/>
      <w:pict>
        <v:shape style="position:absolute;margin-left:44.360001pt;margin-top:57.364983pt;width:86.5pt;height:12.6pt;mso-position-horizontal-relative:page;mso-position-vertical-relative:page;z-index:-17884160" type="#_x0000_t202" filled="false" stroked="false">
          <v:textbox inset="0,0,0,0">
            <w:txbxContent>
              <w:p>
                <w:pPr>
                  <w:spacing w:line="251" w:lineRule="exact" w:before="0"/>
                  <w:ind w:left="20" w:right="0" w:firstLine="0"/>
                  <w:jc w:val="left"/>
                  <w:rPr>
                    <w:rFonts w:ascii="Microsoft JhengHei" w:eastAsia="Microsoft JhengHei" w:hint="eastAsia"/>
                    <w:b/>
                    <w:sz w:val="21"/>
                  </w:rPr>
                </w:pPr>
                <w:r>
                  <w:rPr>
                    <w:rFonts w:ascii="Microsoft JhengHei" w:eastAsia="Microsoft JhengHei" w:hint="eastAsia"/>
                    <w:b/>
                    <w:color w:val="333366"/>
                    <w:sz w:val="21"/>
                  </w:rPr>
                  <w:t>行业深度研究报告</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5433856">
          <wp:simplePos x="0" y="0"/>
          <wp:positionH relativeFrom="page">
            <wp:posOffset>5451323</wp:posOffset>
          </wp:positionH>
          <wp:positionV relativeFrom="page">
            <wp:posOffset>551149</wp:posOffset>
          </wp:positionV>
          <wp:extent cx="1490305" cy="345092"/>
          <wp:effectExtent l="0" t="0" r="0" b="0"/>
          <wp:wrapNone/>
          <wp:docPr id="25" name="image2.png"/>
          <wp:cNvGraphicFramePr>
            <a:graphicFrameLocks noChangeAspect="1"/>
          </wp:cNvGraphicFramePr>
          <a:graphic>
            <a:graphicData uri="http://schemas.openxmlformats.org/drawingml/2006/picture">
              <pic:pic>
                <pic:nvPicPr>
                  <pic:cNvPr id="26" name="image2.png"/>
                  <pic:cNvPicPr/>
                </pic:nvPicPr>
                <pic:blipFill>
                  <a:blip r:embed="rId1" cstate="print"/>
                  <a:stretch>
                    <a:fillRect/>
                  </a:stretch>
                </pic:blipFill>
                <pic:spPr>
                  <a:xfrm>
                    <a:off x="0" y="0"/>
                    <a:ext cx="1490305" cy="345092"/>
                  </a:xfrm>
                  <a:prstGeom prst="rect">
                    <a:avLst/>
                  </a:prstGeom>
                </pic:spPr>
              </pic:pic>
            </a:graphicData>
          </a:graphic>
        </wp:anchor>
      </w:drawing>
    </w:r>
    <w:r>
      <w:rPr/>
      <w:pict>
        <v:shape style="position:absolute;margin-left:44.360001pt;margin-top:57.364983pt;width:86.5pt;height:12.6pt;mso-position-horizontal-relative:page;mso-position-vertical-relative:page;z-index:-17882112" type="#_x0000_t202" filled="false" stroked="false">
          <v:textbox inset="0,0,0,0">
            <w:txbxContent>
              <w:p>
                <w:pPr>
                  <w:spacing w:line="251" w:lineRule="exact" w:before="0"/>
                  <w:ind w:left="20" w:right="0" w:firstLine="0"/>
                  <w:jc w:val="left"/>
                  <w:rPr>
                    <w:rFonts w:ascii="Microsoft JhengHei" w:eastAsia="Microsoft JhengHei" w:hint="eastAsia"/>
                    <w:b/>
                    <w:sz w:val="21"/>
                  </w:rPr>
                </w:pPr>
                <w:r>
                  <w:rPr>
                    <w:rFonts w:ascii="Microsoft JhengHei" w:eastAsia="Microsoft JhengHei" w:hint="eastAsia"/>
                    <w:b/>
                    <w:color w:val="333366"/>
                    <w:sz w:val="21"/>
                  </w:rPr>
                  <w:t>行业深度研究报告</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5436416">
          <wp:simplePos x="0" y="0"/>
          <wp:positionH relativeFrom="page">
            <wp:posOffset>5451323</wp:posOffset>
          </wp:positionH>
          <wp:positionV relativeFrom="page">
            <wp:posOffset>551149</wp:posOffset>
          </wp:positionV>
          <wp:extent cx="1490305" cy="345092"/>
          <wp:effectExtent l="0" t="0" r="0" b="0"/>
          <wp:wrapNone/>
          <wp:docPr id="51" name="image2.png"/>
          <wp:cNvGraphicFramePr>
            <a:graphicFrameLocks noChangeAspect="1"/>
          </wp:cNvGraphicFramePr>
          <a:graphic>
            <a:graphicData uri="http://schemas.openxmlformats.org/drawingml/2006/picture">
              <pic:pic>
                <pic:nvPicPr>
                  <pic:cNvPr id="52" name="image2.png"/>
                  <pic:cNvPicPr/>
                </pic:nvPicPr>
                <pic:blipFill>
                  <a:blip r:embed="rId1" cstate="print"/>
                  <a:stretch>
                    <a:fillRect/>
                  </a:stretch>
                </pic:blipFill>
                <pic:spPr>
                  <a:xfrm>
                    <a:off x="0" y="0"/>
                    <a:ext cx="1490305" cy="345092"/>
                  </a:xfrm>
                  <a:prstGeom prst="rect">
                    <a:avLst/>
                  </a:prstGeom>
                </pic:spPr>
              </pic:pic>
            </a:graphicData>
          </a:graphic>
        </wp:anchor>
      </w:drawing>
    </w:r>
    <w:r>
      <w:rPr/>
      <w:pict>
        <v:shape style="position:absolute;margin-left:44.360001pt;margin-top:57.364983pt;width:86.5pt;height:12.6pt;mso-position-horizontal-relative:page;mso-position-vertical-relative:page;z-index:-17879552" type="#_x0000_t202" filled="false" stroked="false">
          <v:textbox inset="0,0,0,0">
            <w:txbxContent>
              <w:p>
                <w:pPr>
                  <w:spacing w:line="251" w:lineRule="exact" w:before="0"/>
                  <w:ind w:left="20" w:right="0" w:firstLine="0"/>
                  <w:jc w:val="left"/>
                  <w:rPr>
                    <w:rFonts w:ascii="Microsoft JhengHei" w:eastAsia="Microsoft JhengHei" w:hint="eastAsia"/>
                    <w:b/>
                    <w:sz w:val="21"/>
                  </w:rPr>
                </w:pPr>
                <w:r>
                  <w:rPr>
                    <w:rFonts w:ascii="Microsoft JhengHei" w:eastAsia="Microsoft JhengHei" w:hint="eastAsia"/>
                    <w:b/>
                    <w:color w:val="333366"/>
                    <w:sz w:val="21"/>
                  </w:rPr>
                  <w:t>行业深度研究报告</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5438464">
          <wp:simplePos x="0" y="0"/>
          <wp:positionH relativeFrom="page">
            <wp:posOffset>5451323</wp:posOffset>
          </wp:positionH>
          <wp:positionV relativeFrom="page">
            <wp:posOffset>551149</wp:posOffset>
          </wp:positionV>
          <wp:extent cx="1490305" cy="345092"/>
          <wp:effectExtent l="0" t="0" r="0" b="0"/>
          <wp:wrapNone/>
          <wp:docPr id="53" name="image2.png"/>
          <wp:cNvGraphicFramePr>
            <a:graphicFrameLocks noChangeAspect="1"/>
          </wp:cNvGraphicFramePr>
          <a:graphic>
            <a:graphicData uri="http://schemas.openxmlformats.org/drawingml/2006/picture">
              <pic:pic>
                <pic:nvPicPr>
                  <pic:cNvPr id="54" name="image2.png"/>
                  <pic:cNvPicPr/>
                </pic:nvPicPr>
                <pic:blipFill>
                  <a:blip r:embed="rId1" cstate="print"/>
                  <a:stretch>
                    <a:fillRect/>
                  </a:stretch>
                </pic:blipFill>
                <pic:spPr>
                  <a:xfrm>
                    <a:off x="0" y="0"/>
                    <a:ext cx="1490305" cy="345092"/>
                  </a:xfrm>
                  <a:prstGeom prst="rect">
                    <a:avLst/>
                  </a:prstGeom>
                </pic:spPr>
              </pic:pic>
            </a:graphicData>
          </a:graphic>
        </wp:anchor>
      </w:drawing>
    </w:r>
    <w:r>
      <w:rPr/>
      <w:pict>
        <v:shape style="position:absolute;margin-left:44.360001pt;margin-top:57.364983pt;width:86.5pt;height:12.6pt;mso-position-horizontal-relative:page;mso-position-vertical-relative:page;z-index:-17877504" type="#_x0000_t202" filled="false" stroked="false">
          <v:textbox inset="0,0,0,0">
            <w:txbxContent>
              <w:p>
                <w:pPr>
                  <w:spacing w:line="251" w:lineRule="exact" w:before="0"/>
                  <w:ind w:left="20" w:right="0" w:firstLine="0"/>
                  <w:jc w:val="left"/>
                  <w:rPr>
                    <w:rFonts w:ascii="Microsoft JhengHei" w:eastAsia="Microsoft JhengHei" w:hint="eastAsia"/>
                    <w:b/>
                    <w:sz w:val="21"/>
                  </w:rPr>
                </w:pPr>
                <w:r>
                  <w:rPr>
                    <w:rFonts w:ascii="Microsoft JhengHei" w:eastAsia="Microsoft JhengHei" w:hint="eastAsia"/>
                    <w:b/>
                    <w:color w:val="333366"/>
                    <w:sz w:val="21"/>
                  </w:rPr>
                  <w:t>行业深度研究报告</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5441024">
          <wp:simplePos x="0" y="0"/>
          <wp:positionH relativeFrom="page">
            <wp:posOffset>5451323</wp:posOffset>
          </wp:positionH>
          <wp:positionV relativeFrom="page">
            <wp:posOffset>551149</wp:posOffset>
          </wp:positionV>
          <wp:extent cx="1490305" cy="345092"/>
          <wp:effectExtent l="0" t="0" r="0" b="0"/>
          <wp:wrapNone/>
          <wp:docPr id="57" name="image2.png"/>
          <wp:cNvGraphicFramePr>
            <a:graphicFrameLocks noChangeAspect="1"/>
          </wp:cNvGraphicFramePr>
          <a:graphic>
            <a:graphicData uri="http://schemas.openxmlformats.org/drawingml/2006/picture">
              <pic:pic>
                <pic:nvPicPr>
                  <pic:cNvPr id="58" name="image2.png"/>
                  <pic:cNvPicPr/>
                </pic:nvPicPr>
                <pic:blipFill>
                  <a:blip r:embed="rId1" cstate="print"/>
                  <a:stretch>
                    <a:fillRect/>
                  </a:stretch>
                </pic:blipFill>
                <pic:spPr>
                  <a:xfrm>
                    <a:off x="0" y="0"/>
                    <a:ext cx="1490305" cy="345092"/>
                  </a:xfrm>
                  <a:prstGeom prst="rect">
                    <a:avLst/>
                  </a:prstGeom>
                </pic:spPr>
              </pic:pic>
            </a:graphicData>
          </a:graphic>
        </wp:anchor>
      </w:drawing>
    </w:r>
    <w:r>
      <w:rPr/>
      <w:pict>
        <v:shape style="position:absolute;margin-left:44.360001pt;margin-top:57.364983pt;width:86.5pt;height:12.6pt;mso-position-horizontal-relative:page;mso-position-vertical-relative:page;z-index:-17874944" type="#_x0000_t202" filled="false" stroked="false">
          <v:textbox inset="0,0,0,0">
            <w:txbxContent>
              <w:p>
                <w:pPr>
                  <w:spacing w:line="251" w:lineRule="exact" w:before="0"/>
                  <w:ind w:left="20" w:right="0" w:firstLine="0"/>
                  <w:jc w:val="left"/>
                  <w:rPr>
                    <w:rFonts w:ascii="Microsoft JhengHei" w:eastAsia="Microsoft JhengHei" w:hint="eastAsia"/>
                    <w:b/>
                    <w:sz w:val="21"/>
                  </w:rPr>
                </w:pPr>
                <w:r>
                  <w:rPr>
                    <w:rFonts w:ascii="Microsoft JhengHei" w:eastAsia="Microsoft JhengHei" w:hint="eastAsia"/>
                    <w:b/>
                    <w:color w:val="333366"/>
                    <w:sz w:val="21"/>
                  </w:rPr>
                  <w:t>行业深度研究报告</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0">
    <w:multiLevelType w:val="hybridMultilevel"/>
    <w:lvl w:ilvl="0">
      <w:start w:val="5"/>
      <w:numFmt w:val="decimal"/>
      <w:lvlText w:val="%1)"/>
      <w:lvlJc w:val="left"/>
      <w:pPr>
        <w:ind w:left="3380" w:hanging="217"/>
        <w:jc w:val="left"/>
      </w:pPr>
      <w:rPr>
        <w:rFonts w:hint="default" w:ascii="Times New Roman" w:hAnsi="Times New Roman" w:eastAsia="Times New Roman" w:cs="Times New Roman"/>
        <w:b/>
        <w:bCs/>
        <w:w w:val="100"/>
        <w:sz w:val="21"/>
        <w:szCs w:val="21"/>
        <w:lang w:val="en-US" w:eastAsia="zh-CN" w:bidi="ar-SA"/>
      </w:rPr>
    </w:lvl>
    <w:lvl w:ilvl="1">
      <w:start w:val="0"/>
      <w:numFmt w:val="bullet"/>
      <w:lvlText w:val="•"/>
      <w:lvlJc w:val="left"/>
      <w:pPr>
        <w:ind w:left="4168" w:hanging="217"/>
      </w:pPr>
      <w:rPr>
        <w:rFonts w:hint="default"/>
        <w:lang w:val="en-US" w:eastAsia="zh-CN" w:bidi="ar-SA"/>
      </w:rPr>
    </w:lvl>
    <w:lvl w:ilvl="2">
      <w:start w:val="0"/>
      <w:numFmt w:val="bullet"/>
      <w:lvlText w:val="•"/>
      <w:lvlJc w:val="left"/>
      <w:pPr>
        <w:ind w:left="4957" w:hanging="217"/>
      </w:pPr>
      <w:rPr>
        <w:rFonts w:hint="default"/>
        <w:lang w:val="en-US" w:eastAsia="zh-CN" w:bidi="ar-SA"/>
      </w:rPr>
    </w:lvl>
    <w:lvl w:ilvl="3">
      <w:start w:val="0"/>
      <w:numFmt w:val="bullet"/>
      <w:lvlText w:val="•"/>
      <w:lvlJc w:val="left"/>
      <w:pPr>
        <w:ind w:left="5745" w:hanging="217"/>
      </w:pPr>
      <w:rPr>
        <w:rFonts w:hint="default"/>
        <w:lang w:val="en-US" w:eastAsia="zh-CN" w:bidi="ar-SA"/>
      </w:rPr>
    </w:lvl>
    <w:lvl w:ilvl="4">
      <w:start w:val="0"/>
      <w:numFmt w:val="bullet"/>
      <w:lvlText w:val="•"/>
      <w:lvlJc w:val="left"/>
      <w:pPr>
        <w:ind w:left="6534" w:hanging="217"/>
      </w:pPr>
      <w:rPr>
        <w:rFonts w:hint="default"/>
        <w:lang w:val="en-US" w:eastAsia="zh-CN" w:bidi="ar-SA"/>
      </w:rPr>
    </w:lvl>
    <w:lvl w:ilvl="5">
      <w:start w:val="0"/>
      <w:numFmt w:val="bullet"/>
      <w:lvlText w:val="•"/>
      <w:lvlJc w:val="left"/>
      <w:pPr>
        <w:ind w:left="7323" w:hanging="217"/>
      </w:pPr>
      <w:rPr>
        <w:rFonts w:hint="default"/>
        <w:lang w:val="en-US" w:eastAsia="zh-CN" w:bidi="ar-SA"/>
      </w:rPr>
    </w:lvl>
    <w:lvl w:ilvl="6">
      <w:start w:val="0"/>
      <w:numFmt w:val="bullet"/>
      <w:lvlText w:val="•"/>
      <w:lvlJc w:val="left"/>
      <w:pPr>
        <w:ind w:left="8111" w:hanging="217"/>
      </w:pPr>
      <w:rPr>
        <w:rFonts w:hint="default"/>
        <w:lang w:val="en-US" w:eastAsia="zh-CN" w:bidi="ar-SA"/>
      </w:rPr>
    </w:lvl>
    <w:lvl w:ilvl="7">
      <w:start w:val="0"/>
      <w:numFmt w:val="bullet"/>
      <w:lvlText w:val="•"/>
      <w:lvlJc w:val="left"/>
      <w:pPr>
        <w:ind w:left="8900" w:hanging="217"/>
      </w:pPr>
      <w:rPr>
        <w:rFonts w:hint="default"/>
        <w:lang w:val="en-US" w:eastAsia="zh-CN" w:bidi="ar-SA"/>
      </w:rPr>
    </w:lvl>
    <w:lvl w:ilvl="8">
      <w:start w:val="0"/>
      <w:numFmt w:val="bullet"/>
      <w:lvlText w:val="•"/>
      <w:lvlJc w:val="left"/>
      <w:pPr>
        <w:ind w:left="9689" w:hanging="217"/>
      </w:pPr>
      <w:rPr>
        <w:rFonts w:hint="default"/>
        <w:lang w:val="en-US" w:eastAsia="zh-CN" w:bidi="ar-SA"/>
      </w:rPr>
    </w:lvl>
  </w:abstractNum>
  <w:abstractNum w:abstractNumId="9">
    <w:multiLevelType w:val="hybridMultilevel"/>
    <w:lvl w:ilvl="0">
      <w:start w:val="2"/>
      <w:numFmt w:val="decimal"/>
      <w:lvlText w:val="%1)"/>
      <w:lvlJc w:val="left"/>
      <w:pPr>
        <w:ind w:left="3380" w:hanging="217"/>
        <w:jc w:val="left"/>
      </w:pPr>
      <w:rPr>
        <w:rFonts w:hint="default" w:ascii="Times New Roman" w:hAnsi="Times New Roman" w:eastAsia="Times New Roman" w:cs="Times New Roman"/>
        <w:b/>
        <w:bCs/>
        <w:w w:val="100"/>
        <w:sz w:val="21"/>
        <w:szCs w:val="21"/>
        <w:lang w:val="en-US" w:eastAsia="zh-CN" w:bidi="ar-SA"/>
      </w:rPr>
    </w:lvl>
    <w:lvl w:ilvl="1">
      <w:start w:val="0"/>
      <w:numFmt w:val="bullet"/>
      <w:lvlText w:val="•"/>
      <w:lvlJc w:val="left"/>
      <w:pPr>
        <w:ind w:left="4168" w:hanging="217"/>
      </w:pPr>
      <w:rPr>
        <w:rFonts w:hint="default"/>
        <w:lang w:val="en-US" w:eastAsia="zh-CN" w:bidi="ar-SA"/>
      </w:rPr>
    </w:lvl>
    <w:lvl w:ilvl="2">
      <w:start w:val="0"/>
      <w:numFmt w:val="bullet"/>
      <w:lvlText w:val="•"/>
      <w:lvlJc w:val="left"/>
      <w:pPr>
        <w:ind w:left="4957" w:hanging="217"/>
      </w:pPr>
      <w:rPr>
        <w:rFonts w:hint="default"/>
        <w:lang w:val="en-US" w:eastAsia="zh-CN" w:bidi="ar-SA"/>
      </w:rPr>
    </w:lvl>
    <w:lvl w:ilvl="3">
      <w:start w:val="0"/>
      <w:numFmt w:val="bullet"/>
      <w:lvlText w:val="•"/>
      <w:lvlJc w:val="left"/>
      <w:pPr>
        <w:ind w:left="5745" w:hanging="217"/>
      </w:pPr>
      <w:rPr>
        <w:rFonts w:hint="default"/>
        <w:lang w:val="en-US" w:eastAsia="zh-CN" w:bidi="ar-SA"/>
      </w:rPr>
    </w:lvl>
    <w:lvl w:ilvl="4">
      <w:start w:val="0"/>
      <w:numFmt w:val="bullet"/>
      <w:lvlText w:val="•"/>
      <w:lvlJc w:val="left"/>
      <w:pPr>
        <w:ind w:left="6534" w:hanging="217"/>
      </w:pPr>
      <w:rPr>
        <w:rFonts w:hint="default"/>
        <w:lang w:val="en-US" w:eastAsia="zh-CN" w:bidi="ar-SA"/>
      </w:rPr>
    </w:lvl>
    <w:lvl w:ilvl="5">
      <w:start w:val="0"/>
      <w:numFmt w:val="bullet"/>
      <w:lvlText w:val="•"/>
      <w:lvlJc w:val="left"/>
      <w:pPr>
        <w:ind w:left="7323" w:hanging="217"/>
      </w:pPr>
      <w:rPr>
        <w:rFonts w:hint="default"/>
        <w:lang w:val="en-US" w:eastAsia="zh-CN" w:bidi="ar-SA"/>
      </w:rPr>
    </w:lvl>
    <w:lvl w:ilvl="6">
      <w:start w:val="0"/>
      <w:numFmt w:val="bullet"/>
      <w:lvlText w:val="•"/>
      <w:lvlJc w:val="left"/>
      <w:pPr>
        <w:ind w:left="8111" w:hanging="217"/>
      </w:pPr>
      <w:rPr>
        <w:rFonts w:hint="default"/>
        <w:lang w:val="en-US" w:eastAsia="zh-CN" w:bidi="ar-SA"/>
      </w:rPr>
    </w:lvl>
    <w:lvl w:ilvl="7">
      <w:start w:val="0"/>
      <w:numFmt w:val="bullet"/>
      <w:lvlText w:val="•"/>
      <w:lvlJc w:val="left"/>
      <w:pPr>
        <w:ind w:left="8900" w:hanging="217"/>
      </w:pPr>
      <w:rPr>
        <w:rFonts w:hint="default"/>
        <w:lang w:val="en-US" w:eastAsia="zh-CN" w:bidi="ar-SA"/>
      </w:rPr>
    </w:lvl>
    <w:lvl w:ilvl="8">
      <w:start w:val="0"/>
      <w:numFmt w:val="bullet"/>
      <w:lvlText w:val="•"/>
      <w:lvlJc w:val="left"/>
      <w:pPr>
        <w:ind w:left="9689" w:hanging="217"/>
      </w:pPr>
      <w:rPr>
        <w:rFonts w:hint="default"/>
        <w:lang w:val="en-US" w:eastAsia="zh-CN" w:bidi="ar-SA"/>
      </w:rPr>
    </w:lvl>
  </w:abstractNum>
  <w:abstractNum w:abstractNumId="8">
    <w:multiLevelType w:val="hybridMultilevel"/>
    <w:lvl w:ilvl="0">
      <w:start w:val="1"/>
      <w:numFmt w:val="decimal"/>
      <w:lvlText w:val="（%1）"/>
      <w:lvlJc w:val="left"/>
      <w:pPr>
        <w:ind w:left="3163" w:hanging="530"/>
        <w:jc w:val="left"/>
      </w:pPr>
      <w:rPr>
        <w:rFonts w:hint="default" w:ascii="宋体" w:hAnsi="宋体" w:eastAsia="宋体" w:cs="宋体"/>
        <w:spacing w:val="-3"/>
        <w:w w:val="100"/>
        <w:sz w:val="19"/>
        <w:szCs w:val="19"/>
        <w:lang w:val="en-US" w:eastAsia="zh-CN" w:bidi="ar-SA"/>
      </w:rPr>
    </w:lvl>
    <w:lvl w:ilvl="1">
      <w:start w:val="0"/>
      <w:numFmt w:val="bullet"/>
      <w:lvlText w:val="•"/>
      <w:lvlJc w:val="left"/>
      <w:pPr>
        <w:ind w:left="3970" w:hanging="530"/>
      </w:pPr>
      <w:rPr>
        <w:rFonts w:hint="default"/>
        <w:lang w:val="en-US" w:eastAsia="zh-CN" w:bidi="ar-SA"/>
      </w:rPr>
    </w:lvl>
    <w:lvl w:ilvl="2">
      <w:start w:val="0"/>
      <w:numFmt w:val="bullet"/>
      <w:lvlText w:val="•"/>
      <w:lvlJc w:val="left"/>
      <w:pPr>
        <w:ind w:left="4781" w:hanging="530"/>
      </w:pPr>
      <w:rPr>
        <w:rFonts w:hint="default"/>
        <w:lang w:val="en-US" w:eastAsia="zh-CN" w:bidi="ar-SA"/>
      </w:rPr>
    </w:lvl>
    <w:lvl w:ilvl="3">
      <w:start w:val="0"/>
      <w:numFmt w:val="bullet"/>
      <w:lvlText w:val="•"/>
      <w:lvlJc w:val="left"/>
      <w:pPr>
        <w:ind w:left="5591" w:hanging="530"/>
      </w:pPr>
      <w:rPr>
        <w:rFonts w:hint="default"/>
        <w:lang w:val="en-US" w:eastAsia="zh-CN" w:bidi="ar-SA"/>
      </w:rPr>
    </w:lvl>
    <w:lvl w:ilvl="4">
      <w:start w:val="0"/>
      <w:numFmt w:val="bullet"/>
      <w:lvlText w:val="•"/>
      <w:lvlJc w:val="left"/>
      <w:pPr>
        <w:ind w:left="6402" w:hanging="530"/>
      </w:pPr>
      <w:rPr>
        <w:rFonts w:hint="default"/>
        <w:lang w:val="en-US" w:eastAsia="zh-CN" w:bidi="ar-SA"/>
      </w:rPr>
    </w:lvl>
    <w:lvl w:ilvl="5">
      <w:start w:val="0"/>
      <w:numFmt w:val="bullet"/>
      <w:lvlText w:val="•"/>
      <w:lvlJc w:val="left"/>
      <w:pPr>
        <w:ind w:left="7213" w:hanging="530"/>
      </w:pPr>
      <w:rPr>
        <w:rFonts w:hint="default"/>
        <w:lang w:val="en-US" w:eastAsia="zh-CN" w:bidi="ar-SA"/>
      </w:rPr>
    </w:lvl>
    <w:lvl w:ilvl="6">
      <w:start w:val="0"/>
      <w:numFmt w:val="bullet"/>
      <w:lvlText w:val="•"/>
      <w:lvlJc w:val="left"/>
      <w:pPr>
        <w:ind w:left="8023" w:hanging="530"/>
      </w:pPr>
      <w:rPr>
        <w:rFonts w:hint="default"/>
        <w:lang w:val="en-US" w:eastAsia="zh-CN" w:bidi="ar-SA"/>
      </w:rPr>
    </w:lvl>
    <w:lvl w:ilvl="7">
      <w:start w:val="0"/>
      <w:numFmt w:val="bullet"/>
      <w:lvlText w:val="•"/>
      <w:lvlJc w:val="left"/>
      <w:pPr>
        <w:ind w:left="8834" w:hanging="530"/>
      </w:pPr>
      <w:rPr>
        <w:rFonts w:hint="default"/>
        <w:lang w:val="en-US" w:eastAsia="zh-CN" w:bidi="ar-SA"/>
      </w:rPr>
    </w:lvl>
    <w:lvl w:ilvl="8">
      <w:start w:val="0"/>
      <w:numFmt w:val="bullet"/>
      <w:lvlText w:val="•"/>
      <w:lvlJc w:val="left"/>
      <w:pPr>
        <w:ind w:left="9645" w:hanging="530"/>
      </w:pPr>
      <w:rPr>
        <w:rFonts w:hint="default"/>
        <w:lang w:val="en-US" w:eastAsia="zh-CN" w:bidi="ar-SA"/>
      </w:rPr>
    </w:lvl>
  </w:abstractNum>
  <w:abstractNum w:abstractNumId="7">
    <w:multiLevelType w:val="hybridMultilevel"/>
    <w:lvl w:ilvl="0">
      <w:start w:val="1"/>
      <w:numFmt w:val="decimal"/>
      <w:lvlText w:val="%1）"/>
      <w:lvlJc w:val="left"/>
      <w:pPr>
        <w:ind w:left="3163" w:hanging="319"/>
        <w:jc w:val="left"/>
      </w:pPr>
      <w:rPr>
        <w:rFonts w:hint="default" w:ascii="Times New Roman" w:hAnsi="Times New Roman" w:eastAsia="Times New Roman" w:cs="Times New Roman"/>
        <w:w w:val="100"/>
        <w:sz w:val="19"/>
        <w:szCs w:val="19"/>
        <w:lang w:val="en-US" w:eastAsia="zh-CN" w:bidi="ar-SA"/>
      </w:rPr>
    </w:lvl>
    <w:lvl w:ilvl="1">
      <w:start w:val="0"/>
      <w:numFmt w:val="bullet"/>
      <w:lvlText w:val="•"/>
      <w:lvlJc w:val="left"/>
      <w:pPr>
        <w:ind w:left="3970" w:hanging="319"/>
      </w:pPr>
      <w:rPr>
        <w:rFonts w:hint="default"/>
        <w:lang w:val="en-US" w:eastAsia="zh-CN" w:bidi="ar-SA"/>
      </w:rPr>
    </w:lvl>
    <w:lvl w:ilvl="2">
      <w:start w:val="0"/>
      <w:numFmt w:val="bullet"/>
      <w:lvlText w:val="•"/>
      <w:lvlJc w:val="left"/>
      <w:pPr>
        <w:ind w:left="4781" w:hanging="319"/>
      </w:pPr>
      <w:rPr>
        <w:rFonts w:hint="default"/>
        <w:lang w:val="en-US" w:eastAsia="zh-CN" w:bidi="ar-SA"/>
      </w:rPr>
    </w:lvl>
    <w:lvl w:ilvl="3">
      <w:start w:val="0"/>
      <w:numFmt w:val="bullet"/>
      <w:lvlText w:val="•"/>
      <w:lvlJc w:val="left"/>
      <w:pPr>
        <w:ind w:left="5591" w:hanging="319"/>
      </w:pPr>
      <w:rPr>
        <w:rFonts w:hint="default"/>
        <w:lang w:val="en-US" w:eastAsia="zh-CN" w:bidi="ar-SA"/>
      </w:rPr>
    </w:lvl>
    <w:lvl w:ilvl="4">
      <w:start w:val="0"/>
      <w:numFmt w:val="bullet"/>
      <w:lvlText w:val="•"/>
      <w:lvlJc w:val="left"/>
      <w:pPr>
        <w:ind w:left="6402" w:hanging="319"/>
      </w:pPr>
      <w:rPr>
        <w:rFonts w:hint="default"/>
        <w:lang w:val="en-US" w:eastAsia="zh-CN" w:bidi="ar-SA"/>
      </w:rPr>
    </w:lvl>
    <w:lvl w:ilvl="5">
      <w:start w:val="0"/>
      <w:numFmt w:val="bullet"/>
      <w:lvlText w:val="•"/>
      <w:lvlJc w:val="left"/>
      <w:pPr>
        <w:ind w:left="7213" w:hanging="319"/>
      </w:pPr>
      <w:rPr>
        <w:rFonts w:hint="default"/>
        <w:lang w:val="en-US" w:eastAsia="zh-CN" w:bidi="ar-SA"/>
      </w:rPr>
    </w:lvl>
    <w:lvl w:ilvl="6">
      <w:start w:val="0"/>
      <w:numFmt w:val="bullet"/>
      <w:lvlText w:val="•"/>
      <w:lvlJc w:val="left"/>
      <w:pPr>
        <w:ind w:left="8023" w:hanging="319"/>
      </w:pPr>
      <w:rPr>
        <w:rFonts w:hint="default"/>
        <w:lang w:val="en-US" w:eastAsia="zh-CN" w:bidi="ar-SA"/>
      </w:rPr>
    </w:lvl>
    <w:lvl w:ilvl="7">
      <w:start w:val="0"/>
      <w:numFmt w:val="bullet"/>
      <w:lvlText w:val="•"/>
      <w:lvlJc w:val="left"/>
      <w:pPr>
        <w:ind w:left="8834" w:hanging="319"/>
      </w:pPr>
      <w:rPr>
        <w:rFonts w:hint="default"/>
        <w:lang w:val="en-US" w:eastAsia="zh-CN" w:bidi="ar-SA"/>
      </w:rPr>
    </w:lvl>
    <w:lvl w:ilvl="8">
      <w:start w:val="0"/>
      <w:numFmt w:val="bullet"/>
      <w:lvlText w:val="•"/>
      <w:lvlJc w:val="left"/>
      <w:pPr>
        <w:ind w:left="9645" w:hanging="319"/>
      </w:pPr>
      <w:rPr>
        <w:rFonts w:hint="default"/>
        <w:lang w:val="en-US" w:eastAsia="zh-CN" w:bidi="ar-SA"/>
      </w:rPr>
    </w:lvl>
  </w:abstractNum>
  <w:abstractNum w:abstractNumId="6">
    <w:multiLevelType w:val="hybridMultilevel"/>
    <w:lvl w:ilvl="0">
      <w:start w:val="1"/>
      <w:numFmt w:val="decimal"/>
      <w:lvlText w:val="%1）"/>
      <w:lvlJc w:val="left"/>
      <w:pPr>
        <w:ind w:left="3163" w:hanging="316"/>
        <w:jc w:val="left"/>
      </w:pPr>
      <w:rPr>
        <w:rFonts w:hint="default" w:ascii="Times New Roman" w:hAnsi="Times New Roman" w:eastAsia="Times New Roman" w:cs="Times New Roman"/>
        <w:b/>
        <w:bCs/>
        <w:spacing w:val="-36"/>
        <w:w w:val="100"/>
        <w:sz w:val="19"/>
        <w:szCs w:val="19"/>
        <w:lang w:val="en-US" w:eastAsia="zh-CN" w:bidi="ar-SA"/>
      </w:rPr>
    </w:lvl>
    <w:lvl w:ilvl="1">
      <w:start w:val="0"/>
      <w:numFmt w:val="bullet"/>
      <w:lvlText w:val="•"/>
      <w:lvlJc w:val="left"/>
      <w:pPr>
        <w:ind w:left="3970" w:hanging="316"/>
      </w:pPr>
      <w:rPr>
        <w:rFonts w:hint="default"/>
        <w:lang w:val="en-US" w:eastAsia="zh-CN" w:bidi="ar-SA"/>
      </w:rPr>
    </w:lvl>
    <w:lvl w:ilvl="2">
      <w:start w:val="0"/>
      <w:numFmt w:val="bullet"/>
      <w:lvlText w:val="•"/>
      <w:lvlJc w:val="left"/>
      <w:pPr>
        <w:ind w:left="4781" w:hanging="316"/>
      </w:pPr>
      <w:rPr>
        <w:rFonts w:hint="default"/>
        <w:lang w:val="en-US" w:eastAsia="zh-CN" w:bidi="ar-SA"/>
      </w:rPr>
    </w:lvl>
    <w:lvl w:ilvl="3">
      <w:start w:val="0"/>
      <w:numFmt w:val="bullet"/>
      <w:lvlText w:val="•"/>
      <w:lvlJc w:val="left"/>
      <w:pPr>
        <w:ind w:left="5591" w:hanging="316"/>
      </w:pPr>
      <w:rPr>
        <w:rFonts w:hint="default"/>
        <w:lang w:val="en-US" w:eastAsia="zh-CN" w:bidi="ar-SA"/>
      </w:rPr>
    </w:lvl>
    <w:lvl w:ilvl="4">
      <w:start w:val="0"/>
      <w:numFmt w:val="bullet"/>
      <w:lvlText w:val="•"/>
      <w:lvlJc w:val="left"/>
      <w:pPr>
        <w:ind w:left="6402" w:hanging="316"/>
      </w:pPr>
      <w:rPr>
        <w:rFonts w:hint="default"/>
        <w:lang w:val="en-US" w:eastAsia="zh-CN" w:bidi="ar-SA"/>
      </w:rPr>
    </w:lvl>
    <w:lvl w:ilvl="5">
      <w:start w:val="0"/>
      <w:numFmt w:val="bullet"/>
      <w:lvlText w:val="•"/>
      <w:lvlJc w:val="left"/>
      <w:pPr>
        <w:ind w:left="7213" w:hanging="316"/>
      </w:pPr>
      <w:rPr>
        <w:rFonts w:hint="default"/>
        <w:lang w:val="en-US" w:eastAsia="zh-CN" w:bidi="ar-SA"/>
      </w:rPr>
    </w:lvl>
    <w:lvl w:ilvl="6">
      <w:start w:val="0"/>
      <w:numFmt w:val="bullet"/>
      <w:lvlText w:val="•"/>
      <w:lvlJc w:val="left"/>
      <w:pPr>
        <w:ind w:left="8023" w:hanging="316"/>
      </w:pPr>
      <w:rPr>
        <w:rFonts w:hint="default"/>
        <w:lang w:val="en-US" w:eastAsia="zh-CN" w:bidi="ar-SA"/>
      </w:rPr>
    </w:lvl>
    <w:lvl w:ilvl="7">
      <w:start w:val="0"/>
      <w:numFmt w:val="bullet"/>
      <w:lvlText w:val="•"/>
      <w:lvlJc w:val="left"/>
      <w:pPr>
        <w:ind w:left="8834" w:hanging="316"/>
      </w:pPr>
      <w:rPr>
        <w:rFonts w:hint="default"/>
        <w:lang w:val="en-US" w:eastAsia="zh-CN" w:bidi="ar-SA"/>
      </w:rPr>
    </w:lvl>
    <w:lvl w:ilvl="8">
      <w:start w:val="0"/>
      <w:numFmt w:val="bullet"/>
      <w:lvlText w:val="•"/>
      <w:lvlJc w:val="left"/>
      <w:pPr>
        <w:ind w:left="9645" w:hanging="316"/>
      </w:pPr>
      <w:rPr>
        <w:rFonts w:hint="default"/>
        <w:lang w:val="en-US" w:eastAsia="zh-CN" w:bidi="ar-SA"/>
      </w:rPr>
    </w:lvl>
  </w:abstractNum>
  <w:abstractNum w:abstractNumId="5">
    <w:multiLevelType w:val="hybridMultilevel"/>
    <w:lvl w:ilvl="0">
      <w:start w:val="1"/>
      <w:numFmt w:val="decimal"/>
      <w:lvlText w:val="%1)"/>
      <w:lvlJc w:val="left"/>
      <w:pPr>
        <w:ind w:left="3445" w:hanging="282"/>
        <w:jc w:val="left"/>
      </w:pPr>
      <w:rPr>
        <w:rFonts w:hint="default" w:ascii="Times New Roman" w:hAnsi="Times New Roman" w:eastAsia="Times New Roman" w:cs="Times New Roman"/>
        <w:w w:val="100"/>
        <w:sz w:val="21"/>
        <w:szCs w:val="21"/>
        <w:lang w:val="en-US" w:eastAsia="zh-CN" w:bidi="ar-SA"/>
      </w:rPr>
    </w:lvl>
    <w:lvl w:ilvl="1">
      <w:start w:val="0"/>
      <w:numFmt w:val="bullet"/>
      <w:lvlText w:val="•"/>
      <w:lvlJc w:val="left"/>
      <w:pPr>
        <w:ind w:left="4222" w:hanging="282"/>
      </w:pPr>
      <w:rPr>
        <w:rFonts w:hint="default"/>
        <w:lang w:val="en-US" w:eastAsia="zh-CN" w:bidi="ar-SA"/>
      </w:rPr>
    </w:lvl>
    <w:lvl w:ilvl="2">
      <w:start w:val="0"/>
      <w:numFmt w:val="bullet"/>
      <w:lvlText w:val="•"/>
      <w:lvlJc w:val="left"/>
      <w:pPr>
        <w:ind w:left="5005" w:hanging="282"/>
      </w:pPr>
      <w:rPr>
        <w:rFonts w:hint="default"/>
        <w:lang w:val="en-US" w:eastAsia="zh-CN" w:bidi="ar-SA"/>
      </w:rPr>
    </w:lvl>
    <w:lvl w:ilvl="3">
      <w:start w:val="0"/>
      <w:numFmt w:val="bullet"/>
      <w:lvlText w:val="•"/>
      <w:lvlJc w:val="left"/>
      <w:pPr>
        <w:ind w:left="5787" w:hanging="282"/>
      </w:pPr>
      <w:rPr>
        <w:rFonts w:hint="default"/>
        <w:lang w:val="en-US" w:eastAsia="zh-CN" w:bidi="ar-SA"/>
      </w:rPr>
    </w:lvl>
    <w:lvl w:ilvl="4">
      <w:start w:val="0"/>
      <w:numFmt w:val="bullet"/>
      <w:lvlText w:val="•"/>
      <w:lvlJc w:val="left"/>
      <w:pPr>
        <w:ind w:left="6570" w:hanging="282"/>
      </w:pPr>
      <w:rPr>
        <w:rFonts w:hint="default"/>
        <w:lang w:val="en-US" w:eastAsia="zh-CN" w:bidi="ar-SA"/>
      </w:rPr>
    </w:lvl>
    <w:lvl w:ilvl="5">
      <w:start w:val="0"/>
      <w:numFmt w:val="bullet"/>
      <w:lvlText w:val="•"/>
      <w:lvlJc w:val="left"/>
      <w:pPr>
        <w:ind w:left="7353" w:hanging="282"/>
      </w:pPr>
      <w:rPr>
        <w:rFonts w:hint="default"/>
        <w:lang w:val="en-US" w:eastAsia="zh-CN" w:bidi="ar-SA"/>
      </w:rPr>
    </w:lvl>
    <w:lvl w:ilvl="6">
      <w:start w:val="0"/>
      <w:numFmt w:val="bullet"/>
      <w:lvlText w:val="•"/>
      <w:lvlJc w:val="left"/>
      <w:pPr>
        <w:ind w:left="8135" w:hanging="282"/>
      </w:pPr>
      <w:rPr>
        <w:rFonts w:hint="default"/>
        <w:lang w:val="en-US" w:eastAsia="zh-CN" w:bidi="ar-SA"/>
      </w:rPr>
    </w:lvl>
    <w:lvl w:ilvl="7">
      <w:start w:val="0"/>
      <w:numFmt w:val="bullet"/>
      <w:lvlText w:val="•"/>
      <w:lvlJc w:val="left"/>
      <w:pPr>
        <w:ind w:left="8918" w:hanging="282"/>
      </w:pPr>
      <w:rPr>
        <w:rFonts w:hint="default"/>
        <w:lang w:val="en-US" w:eastAsia="zh-CN" w:bidi="ar-SA"/>
      </w:rPr>
    </w:lvl>
    <w:lvl w:ilvl="8">
      <w:start w:val="0"/>
      <w:numFmt w:val="bullet"/>
      <w:lvlText w:val="•"/>
      <w:lvlJc w:val="left"/>
      <w:pPr>
        <w:ind w:left="9701" w:hanging="282"/>
      </w:pPr>
      <w:rPr>
        <w:rFonts w:hint="default"/>
        <w:lang w:val="en-US" w:eastAsia="zh-CN" w:bidi="ar-SA"/>
      </w:rPr>
    </w:lvl>
  </w:abstractNum>
  <w:abstractNum w:abstractNumId="4">
    <w:multiLevelType w:val="hybridMultilevel"/>
    <w:lvl w:ilvl="0">
      <w:start w:val="1"/>
      <w:numFmt w:val="decimal"/>
      <w:lvlText w:val="%1）"/>
      <w:lvlJc w:val="left"/>
      <w:pPr>
        <w:ind w:left="3163" w:hanging="319"/>
        <w:jc w:val="left"/>
      </w:pPr>
      <w:rPr>
        <w:rFonts w:hint="default" w:ascii="Times New Roman" w:hAnsi="Times New Roman" w:eastAsia="Times New Roman" w:cs="Times New Roman"/>
        <w:b/>
        <w:bCs/>
        <w:w w:val="100"/>
        <w:sz w:val="19"/>
        <w:szCs w:val="19"/>
        <w:lang w:val="en-US" w:eastAsia="zh-CN" w:bidi="ar-SA"/>
      </w:rPr>
    </w:lvl>
    <w:lvl w:ilvl="1">
      <w:start w:val="0"/>
      <w:numFmt w:val="bullet"/>
      <w:lvlText w:val="•"/>
      <w:lvlJc w:val="left"/>
      <w:pPr>
        <w:ind w:left="3970" w:hanging="319"/>
      </w:pPr>
      <w:rPr>
        <w:rFonts w:hint="default"/>
        <w:lang w:val="en-US" w:eastAsia="zh-CN" w:bidi="ar-SA"/>
      </w:rPr>
    </w:lvl>
    <w:lvl w:ilvl="2">
      <w:start w:val="0"/>
      <w:numFmt w:val="bullet"/>
      <w:lvlText w:val="•"/>
      <w:lvlJc w:val="left"/>
      <w:pPr>
        <w:ind w:left="4781" w:hanging="319"/>
      </w:pPr>
      <w:rPr>
        <w:rFonts w:hint="default"/>
        <w:lang w:val="en-US" w:eastAsia="zh-CN" w:bidi="ar-SA"/>
      </w:rPr>
    </w:lvl>
    <w:lvl w:ilvl="3">
      <w:start w:val="0"/>
      <w:numFmt w:val="bullet"/>
      <w:lvlText w:val="•"/>
      <w:lvlJc w:val="left"/>
      <w:pPr>
        <w:ind w:left="5591" w:hanging="319"/>
      </w:pPr>
      <w:rPr>
        <w:rFonts w:hint="default"/>
        <w:lang w:val="en-US" w:eastAsia="zh-CN" w:bidi="ar-SA"/>
      </w:rPr>
    </w:lvl>
    <w:lvl w:ilvl="4">
      <w:start w:val="0"/>
      <w:numFmt w:val="bullet"/>
      <w:lvlText w:val="•"/>
      <w:lvlJc w:val="left"/>
      <w:pPr>
        <w:ind w:left="6402" w:hanging="319"/>
      </w:pPr>
      <w:rPr>
        <w:rFonts w:hint="default"/>
        <w:lang w:val="en-US" w:eastAsia="zh-CN" w:bidi="ar-SA"/>
      </w:rPr>
    </w:lvl>
    <w:lvl w:ilvl="5">
      <w:start w:val="0"/>
      <w:numFmt w:val="bullet"/>
      <w:lvlText w:val="•"/>
      <w:lvlJc w:val="left"/>
      <w:pPr>
        <w:ind w:left="7213" w:hanging="319"/>
      </w:pPr>
      <w:rPr>
        <w:rFonts w:hint="default"/>
        <w:lang w:val="en-US" w:eastAsia="zh-CN" w:bidi="ar-SA"/>
      </w:rPr>
    </w:lvl>
    <w:lvl w:ilvl="6">
      <w:start w:val="0"/>
      <w:numFmt w:val="bullet"/>
      <w:lvlText w:val="•"/>
      <w:lvlJc w:val="left"/>
      <w:pPr>
        <w:ind w:left="8023" w:hanging="319"/>
      </w:pPr>
      <w:rPr>
        <w:rFonts w:hint="default"/>
        <w:lang w:val="en-US" w:eastAsia="zh-CN" w:bidi="ar-SA"/>
      </w:rPr>
    </w:lvl>
    <w:lvl w:ilvl="7">
      <w:start w:val="0"/>
      <w:numFmt w:val="bullet"/>
      <w:lvlText w:val="•"/>
      <w:lvlJc w:val="left"/>
      <w:pPr>
        <w:ind w:left="8834" w:hanging="319"/>
      </w:pPr>
      <w:rPr>
        <w:rFonts w:hint="default"/>
        <w:lang w:val="en-US" w:eastAsia="zh-CN" w:bidi="ar-SA"/>
      </w:rPr>
    </w:lvl>
    <w:lvl w:ilvl="8">
      <w:start w:val="0"/>
      <w:numFmt w:val="bullet"/>
      <w:lvlText w:val="•"/>
      <w:lvlJc w:val="left"/>
      <w:pPr>
        <w:ind w:left="9645" w:hanging="319"/>
      </w:pPr>
      <w:rPr>
        <w:rFonts w:hint="default"/>
        <w:lang w:val="en-US" w:eastAsia="zh-CN" w:bidi="ar-SA"/>
      </w:rPr>
    </w:lvl>
  </w:abstractNum>
  <w:abstractNum w:abstractNumId="3">
    <w:multiLevelType w:val="hybridMultilevel"/>
    <w:lvl w:ilvl="0">
      <w:start w:val="1"/>
      <w:numFmt w:val="decimal"/>
      <w:lvlText w:val="%1）"/>
      <w:lvlJc w:val="left"/>
      <w:pPr>
        <w:ind w:left="3464" w:hanging="421"/>
        <w:jc w:val="left"/>
      </w:pPr>
      <w:rPr>
        <w:rFonts w:hint="default" w:ascii="Times New Roman" w:hAnsi="Times New Roman" w:eastAsia="Times New Roman" w:cs="Times New Roman"/>
        <w:w w:val="100"/>
        <w:sz w:val="21"/>
        <w:szCs w:val="21"/>
        <w:lang w:val="en-US" w:eastAsia="zh-CN" w:bidi="ar-SA"/>
      </w:rPr>
    </w:lvl>
    <w:lvl w:ilvl="1">
      <w:start w:val="0"/>
      <w:numFmt w:val="bullet"/>
      <w:lvlText w:val="•"/>
      <w:lvlJc w:val="left"/>
      <w:pPr>
        <w:ind w:left="4240" w:hanging="421"/>
      </w:pPr>
      <w:rPr>
        <w:rFonts w:hint="default"/>
        <w:lang w:val="en-US" w:eastAsia="zh-CN" w:bidi="ar-SA"/>
      </w:rPr>
    </w:lvl>
    <w:lvl w:ilvl="2">
      <w:start w:val="0"/>
      <w:numFmt w:val="bullet"/>
      <w:lvlText w:val="•"/>
      <w:lvlJc w:val="left"/>
      <w:pPr>
        <w:ind w:left="5021" w:hanging="421"/>
      </w:pPr>
      <w:rPr>
        <w:rFonts w:hint="default"/>
        <w:lang w:val="en-US" w:eastAsia="zh-CN" w:bidi="ar-SA"/>
      </w:rPr>
    </w:lvl>
    <w:lvl w:ilvl="3">
      <w:start w:val="0"/>
      <w:numFmt w:val="bullet"/>
      <w:lvlText w:val="•"/>
      <w:lvlJc w:val="left"/>
      <w:pPr>
        <w:ind w:left="5801" w:hanging="421"/>
      </w:pPr>
      <w:rPr>
        <w:rFonts w:hint="default"/>
        <w:lang w:val="en-US" w:eastAsia="zh-CN" w:bidi="ar-SA"/>
      </w:rPr>
    </w:lvl>
    <w:lvl w:ilvl="4">
      <w:start w:val="0"/>
      <w:numFmt w:val="bullet"/>
      <w:lvlText w:val="•"/>
      <w:lvlJc w:val="left"/>
      <w:pPr>
        <w:ind w:left="6582" w:hanging="421"/>
      </w:pPr>
      <w:rPr>
        <w:rFonts w:hint="default"/>
        <w:lang w:val="en-US" w:eastAsia="zh-CN" w:bidi="ar-SA"/>
      </w:rPr>
    </w:lvl>
    <w:lvl w:ilvl="5">
      <w:start w:val="0"/>
      <w:numFmt w:val="bullet"/>
      <w:lvlText w:val="•"/>
      <w:lvlJc w:val="left"/>
      <w:pPr>
        <w:ind w:left="7363" w:hanging="421"/>
      </w:pPr>
      <w:rPr>
        <w:rFonts w:hint="default"/>
        <w:lang w:val="en-US" w:eastAsia="zh-CN" w:bidi="ar-SA"/>
      </w:rPr>
    </w:lvl>
    <w:lvl w:ilvl="6">
      <w:start w:val="0"/>
      <w:numFmt w:val="bullet"/>
      <w:lvlText w:val="•"/>
      <w:lvlJc w:val="left"/>
      <w:pPr>
        <w:ind w:left="8143" w:hanging="421"/>
      </w:pPr>
      <w:rPr>
        <w:rFonts w:hint="default"/>
        <w:lang w:val="en-US" w:eastAsia="zh-CN" w:bidi="ar-SA"/>
      </w:rPr>
    </w:lvl>
    <w:lvl w:ilvl="7">
      <w:start w:val="0"/>
      <w:numFmt w:val="bullet"/>
      <w:lvlText w:val="•"/>
      <w:lvlJc w:val="left"/>
      <w:pPr>
        <w:ind w:left="8924" w:hanging="421"/>
      </w:pPr>
      <w:rPr>
        <w:rFonts w:hint="default"/>
        <w:lang w:val="en-US" w:eastAsia="zh-CN" w:bidi="ar-SA"/>
      </w:rPr>
    </w:lvl>
    <w:lvl w:ilvl="8">
      <w:start w:val="0"/>
      <w:numFmt w:val="bullet"/>
      <w:lvlText w:val="•"/>
      <w:lvlJc w:val="left"/>
      <w:pPr>
        <w:ind w:left="9705" w:hanging="421"/>
      </w:pPr>
      <w:rPr>
        <w:rFonts w:hint="default"/>
        <w:lang w:val="en-US" w:eastAsia="zh-CN" w:bidi="ar-SA"/>
      </w:rPr>
    </w:lvl>
  </w:abstractNum>
  <w:abstractNum w:abstractNumId="2">
    <w:multiLevelType w:val="hybridMultilevel"/>
    <w:lvl w:ilvl="0">
      <w:start w:val="1"/>
      <w:numFmt w:val="decimal"/>
      <w:lvlText w:val="%1."/>
      <w:lvlJc w:val="left"/>
      <w:pPr>
        <w:ind w:left="3452" w:hanging="289"/>
        <w:jc w:val="left"/>
      </w:pPr>
      <w:rPr>
        <w:rFonts w:hint="default" w:ascii="Times New Roman" w:hAnsi="Times New Roman" w:eastAsia="Times New Roman" w:cs="Times New Roman"/>
        <w:b/>
        <w:bCs/>
        <w:color w:val="333366"/>
        <w:spacing w:val="0"/>
        <w:w w:val="100"/>
        <w:sz w:val="28"/>
        <w:szCs w:val="28"/>
        <w:lang w:val="en-US" w:eastAsia="zh-CN" w:bidi="ar-SA"/>
      </w:rPr>
    </w:lvl>
    <w:lvl w:ilvl="1">
      <w:start w:val="1"/>
      <w:numFmt w:val="decimal"/>
      <w:lvlText w:val="%1.%2."/>
      <w:lvlJc w:val="left"/>
      <w:pPr>
        <w:ind w:left="3713" w:hanging="551"/>
        <w:jc w:val="left"/>
      </w:pPr>
      <w:rPr>
        <w:rFonts w:hint="default" w:ascii="Microsoft JhengHei" w:hAnsi="Microsoft JhengHei" w:eastAsia="Microsoft JhengHei" w:cs="Microsoft JhengHei"/>
        <w:b/>
        <w:bCs/>
        <w:color w:val="333366"/>
        <w:spacing w:val="0"/>
        <w:w w:val="83"/>
        <w:sz w:val="24"/>
        <w:szCs w:val="24"/>
        <w:lang w:val="en-US" w:eastAsia="zh-CN" w:bidi="ar-SA"/>
      </w:rPr>
    </w:lvl>
    <w:lvl w:ilvl="2">
      <w:start w:val="1"/>
      <w:numFmt w:val="decimal"/>
      <w:lvlText w:val="%1.%2.%3."/>
      <w:lvlJc w:val="left"/>
      <w:pPr>
        <w:ind w:left="3956" w:hanging="793"/>
        <w:jc w:val="left"/>
      </w:pPr>
      <w:rPr>
        <w:rFonts w:hint="default"/>
        <w:b/>
        <w:bCs/>
        <w:spacing w:val="0"/>
        <w:w w:val="83"/>
        <w:lang w:val="en-US" w:eastAsia="zh-CN" w:bidi="ar-SA"/>
      </w:rPr>
    </w:lvl>
    <w:lvl w:ilvl="3">
      <w:start w:val="1"/>
      <w:numFmt w:val="decimal"/>
      <w:lvlText w:val="%1.%2.%3.%4"/>
      <w:lvlJc w:val="left"/>
      <w:pPr>
        <w:ind w:left="3848" w:hanging="685"/>
        <w:jc w:val="left"/>
      </w:pPr>
      <w:rPr>
        <w:rFonts w:hint="default" w:ascii="Times New Roman" w:hAnsi="Times New Roman" w:eastAsia="Times New Roman" w:cs="Times New Roman"/>
        <w:b/>
        <w:bCs/>
        <w:w w:val="100"/>
        <w:sz w:val="21"/>
        <w:szCs w:val="21"/>
        <w:lang w:val="en-US" w:eastAsia="zh-CN" w:bidi="ar-SA"/>
      </w:rPr>
    </w:lvl>
    <w:lvl w:ilvl="4">
      <w:start w:val="0"/>
      <w:numFmt w:val="bullet"/>
      <w:lvlText w:val="•"/>
      <w:lvlJc w:val="left"/>
      <w:pPr>
        <w:ind w:left="3960" w:hanging="685"/>
      </w:pPr>
      <w:rPr>
        <w:rFonts w:hint="default"/>
        <w:lang w:val="en-US" w:eastAsia="zh-CN" w:bidi="ar-SA"/>
      </w:rPr>
    </w:lvl>
    <w:lvl w:ilvl="5">
      <w:start w:val="0"/>
      <w:numFmt w:val="bullet"/>
      <w:lvlText w:val="•"/>
      <w:lvlJc w:val="left"/>
      <w:pPr>
        <w:ind w:left="5177" w:hanging="685"/>
      </w:pPr>
      <w:rPr>
        <w:rFonts w:hint="default"/>
        <w:lang w:val="en-US" w:eastAsia="zh-CN" w:bidi="ar-SA"/>
      </w:rPr>
    </w:lvl>
    <w:lvl w:ilvl="6">
      <w:start w:val="0"/>
      <w:numFmt w:val="bullet"/>
      <w:lvlText w:val="•"/>
      <w:lvlJc w:val="left"/>
      <w:pPr>
        <w:ind w:left="6395" w:hanging="685"/>
      </w:pPr>
      <w:rPr>
        <w:rFonts w:hint="default"/>
        <w:lang w:val="en-US" w:eastAsia="zh-CN" w:bidi="ar-SA"/>
      </w:rPr>
    </w:lvl>
    <w:lvl w:ilvl="7">
      <w:start w:val="0"/>
      <w:numFmt w:val="bullet"/>
      <w:lvlText w:val="•"/>
      <w:lvlJc w:val="left"/>
      <w:pPr>
        <w:ind w:left="7613" w:hanging="685"/>
      </w:pPr>
      <w:rPr>
        <w:rFonts w:hint="default"/>
        <w:lang w:val="en-US" w:eastAsia="zh-CN" w:bidi="ar-SA"/>
      </w:rPr>
    </w:lvl>
    <w:lvl w:ilvl="8">
      <w:start w:val="0"/>
      <w:numFmt w:val="bullet"/>
      <w:lvlText w:val="•"/>
      <w:lvlJc w:val="left"/>
      <w:pPr>
        <w:ind w:left="8830" w:hanging="685"/>
      </w:pPr>
      <w:rPr>
        <w:rFonts w:hint="default"/>
        <w:lang w:val="en-US" w:eastAsia="zh-CN" w:bidi="ar-SA"/>
      </w:rPr>
    </w:lvl>
  </w:abstractNum>
  <w:abstractNum w:abstractNumId="1">
    <w:multiLevelType w:val="hybridMultilevel"/>
    <w:lvl w:ilvl="0">
      <w:start w:val="0"/>
      <w:numFmt w:val="bullet"/>
      <w:lvlText w:val=""/>
      <w:lvlJc w:val="left"/>
      <w:pPr>
        <w:ind w:left="1274" w:hanging="420"/>
      </w:pPr>
      <w:rPr>
        <w:rFonts w:hint="default" w:ascii="Wingdings" w:hAnsi="Wingdings" w:eastAsia="Wingdings" w:cs="Wingdings"/>
        <w:w w:val="99"/>
        <w:sz w:val="20"/>
        <w:szCs w:val="20"/>
        <w:lang w:val="en-US" w:eastAsia="zh-CN" w:bidi="ar-SA"/>
      </w:rPr>
    </w:lvl>
    <w:lvl w:ilvl="1">
      <w:start w:val="1"/>
      <w:numFmt w:val="decimal"/>
      <w:lvlText w:val="%2."/>
      <w:lvlJc w:val="left"/>
      <w:pPr>
        <w:ind w:left="3428" w:hanging="265"/>
        <w:jc w:val="left"/>
      </w:pPr>
      <w:rPr>
        <w:rFonts w:hint="default" w:ascii="Times New Roman" w:hAnsi="Times New Roman" w:eastAsia="Times New Roman" w:cs="Times New Roman"/>
        <w:w w:val="100"/>
        <w:sz w:val="21"/>
        <w:szCs w:val="21"/>
        <w:lang w:val="en-US" w:eastAsia="zh-CN" w:bidi="ar-SA"/>
      </w:rPr>
    </w:lvl>
    <w:lvl w:ilvl="2">
      <w:start w:val="0"/>
      <w:numFmt w:val="bullet"/>
      <w:lvlText w:val="•"/>
      <w:lvlJc w:val="left"/>
      <w:pPr>
        <w:ind w:left="3969" w:hanging="265"/>
      </w:pPr>
      <w:rPr>
        <w:rFonts w:hint="default"/>
        <w:lang w:val="en-US" w:eastAsia="zh-CN" w:bidi="ar-SA"/>
      </w:rPr>
    </w:lvl>
    <w:lvl w:ilvl="3">
      <w:start w:val="0"/>
      <w:numFmt w:val="bullet"/>
      <w:lvlText w:val="•"/>
      <w:lvlJc w:val="left"/>
      <w:pPr>
        <w:ind w:left="4518" w:hanging="265"/>
      </w:pPr>
      <w:rPr>
        <w:rFonts w:hint="default"/>
        <w:lang w:val="en-US" w:eastAsia="zh-CN" w:bidi="ar-SA"/>
      </w:rPr>
    </w:lvl>
    <w:lvl w:ilvl="4">
      <w:start w:val="0"/>
      <w:numFmt w:val="bullet"/>
      <w:lvlText w:val="•"/>
      <w:lvlJc w:val="left"/>
      <w:pPr>
        <w:ind w:left="5067" w:hanging="265"/>
      </w:pPr>
      <w:rPr>
        <w:rFonts w:hint="default"/>
        <w:lang w:val="en-US" w:eastAsia="zh-CN" w:bidi="ar-SA"/>
      </w:rPr>
    </w:lvl>
    <w:lvl w:ilvl="5">
      <w:start w:val="0"/>
      <w:numFmt w:val="bullet"/>
      <w:lvlText w:val="•"/>
      <w:lvlJc w:val="left"/>
      <w:pPr>
        <w:ind w:left="5617" w:hanging="265"/>
      </w:pPr>
      <w:rPr>
        <w:rFonts w:hint="default"/>
        <w:lang w:val="en-US" w:eastAsia="zh-CN" w:bidi="ar-SA"/>
      </w:rPr>
    </w:lvl>
    <w:lvl w:ilvl="6">
      <w:start w:val="0"/>
      <w:numFmt w:val="bullet"/>
      <w:lvlText w:val="•"/>
      <w:lvlJc w:val="left"/>
      <w:pPr>
        <w:ind w:left="6166" w:hanging="265"/>
      </w:pPr>
      <w:rPr>
        <w:rFonts w:hint="default"/>
        <w:lang w:val="en-US" w:eastAsia="zh-CN" w:bidi="ar-SA"/>
      </w:rPr>
    </w:lvl>
    <w:lvl w:ilvl="7">
      <w:start w:val="0"/>
      <w:numFmt w:val="bullet"/>
      <w:lvlText w:val="•"/>
      <w:lvlJc w:val="left"/>
      <w:pPr>
        <w:ind w:left="6715" w:hanging="265"/>
      </w:pPr>
      <w:rPr>
        <w:rFonts w:hint="default"/>
        <w:lang w:val="en-US" w:eastAsia="zh-CN" w:bidi="ar-SA"/>
      </w:rPr>
    </w:lvl>
    <w:lvl w:ilvl="8">
      <w:start w:val="0"/>
      <w:numFmt w:val="bullet"/>
      <w:lvlText w:val="•"/>
      <w:lvlJc w:val="left"/>
      <w:pPr>
        <w:ind w:left="7265" w:hanging="265"/>
      </w:pPr>
      <w:rPr>
        <w:rFonts w:hint="default"/>
        <w:lang w:val="en-US" w:eastAsia="zh-CN" w:bidi="ar-SA"/>
      </w:rPr>
    </w:lvl>
  </w:abstractNum>
  <w:abstractNum w:abstractNumId="0">
    <w:multiLevelType w:val="hybridMultilevel"/>
    <w:lvl w:ilvl="0">
      <w:start w:val="0"/>
      <w:numFmt w:val="bullet"/>
      <w:lvlText w:val=""/>
      <w:lvlJc w:val="left"/>
      <w:pPr>
        <w:ind w:left="4177" w:hanging="420"/>
      </w:pPr>
      <w:rPr>
        <w:rFonts w:hint="default" w:ascii="Wingdings" w:hAnsi="Wingdings" w:eastAsia="Wingdings" w:cs="Wingdings"/>
        <w:w w:val="99"/>
        <w:sz w:val="20"/>
        <w:szCs w:val="20"/>
        <w:lang w:val="en-US" w:eastAsia="zh-CN" w:bidi="ar-SA"/>
      </w:rPr>
    </w:lvl>
    <w:lvl w:ilvl="1">
      <w:start w:val="0"/>
      <w:numFmt w:val="bullet"/>
      <w:lvlText w:val="•"/>
      <w:lvlJc w:val="left"/>
      <w:pPr>
        <w:ind w:left="4888" w:hanging="420"/>
      </w:pPr>
      <w:rPr>
        <w:rFonts w:hint="default"/>
        <w:lang w:val="en-US" w:eastAsia="zh-CN" w:bidi="ar-SA"/>
      </w:rPr>
    </w:lvl>
    <w:lvl w:ilvl="2">
      <w:start w:val="0"/>
      <w:numFmt w:val="bullet"/>
      <w:lvlText w:val="•"/>
      <w:lvlJc w:val="left"/>
      <w:pPr>
        <w:ind w:left="5597" w:hanging="420"/>
      </w:pPr>
      <w:rPr>
        <w:rFonts w:hint="default"/>
        <w:lang w:val="en-US" w:eastAsia="zh-CN" w:bidi="ar-SA"/>
      </w:rPr>
    </w:lvl>
    <w:lvl w:ilvl="3">
      <w:start w:val="0"/>
      <w:numFmt w:val="bullet"/>
      <w:lvlText w:val="•"/>
      <w:lvlJc w:val="left"/>
      <w:pPr>
        <w:ind w:left="6305" w:hanging="420"/>
      </w:pPr>
      <w:rPr>
        <w:rFonts w:hint="default"/>
        <w:lang w:val="en-US" w:eastAsia="zh-CN" w:bidi="ar-SA"/>
      </w:rPr>
    </w:lvl>
    <w:lvl w:ilvl="4">
      <w:start w:val="0"/>
      <w:numFmt w:val="bullet"/>
      <w:lvlText w:val="•"/>
      <w:lvlJc w:val="left"/>
      <w:pPr>
        <w:ind w:left="7014" w:hanging="420"/>
      </w:pPr>
      <w:rPr>
        <w:rFonts w:hint="default"/>
        <w:lang w:val="en-US" w:eastAsia="zh-CN" w:bidi="ar-SA"/>
      </w:rPr>
    </w:lvl>
    <w:lvl w:ilvl="5">
      <w:start w:val="0"/>
      <w:numFmt w:val="bullet"/>
      <w:lvlText w:val="•"/>
      <w:lvlJc w:val="left"/>
      <w:pPr>
        <w:ind w:left="7723" w:hanging="420"/>
      </w:pPr>
      <w:rPr>
        <w:rFonts w:hint="default"/>
        <w:lang w:val="en-US" w:eastAsia="zh-CN" w:bidi="ar-SA"/>
      </w:rPr>
    </w:lvl>
    <w:lvl w:ilvl="6">
      <w:start w:val="0"/>
      <w:numFmt w:val="bullet"/>
      <w:lvlText w:val="•"/>
      <w:lvlJc w:val="left"/>
      <w:pPr>
        <w:ind w:left="8431" w:hanging="420"/>
      </w:pPr>
      <w:rPr>
        <w:rFonts w:hint="default"/>
        <w:lang w:val="en-US" w:eastAsia="zh-CN" w:bidi="ar-SA"/>
      </w:rPr>
    </w:lvl>
    <w:lvl w:ilvl="7">
      <w:start w:val="0"/>
      <w:numFmt w:val="bullet"/>
      <w:lvlText w:val="•"/>
      <w:lvlJc w:val="left"/>
      <w:pPr>
        <w:ind w:left="9140" w:hanging="420"/>
      </w:pPr>
      <w:rPr>
        <w:rFonts w:hint="default"/>
        <w:lang w:val="en-US" w:eastAsia="zh-CN" w:bidi="ar-SA"/>
      </w:rPr>
    </w:lvl>
    <w:lvl w:ilvl="8">
      <w:start w:val="0"/>
      <w:numFmt w:val="bullet"/>
      <w:lvlText w:val="•"/>
      <w:lvlJc w:val="left"/>
      <w:pPr>
        <w:ind w:left="9849" w:hanging="420"/>
      </w:pPr>
      <w:rPr>
        <w:rFonts w:hint="default"/>
        <w:lang w:val="en-US" w:eastAsia="zh-CN" w:bidi="ar-SA"/>
      </w:rPr>
    </w:lvl>
  </w:abstract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宋体" w:hAnsi="宋体" w:eastAsia="宋体" w:cs="宋体"/>
      <w:lang w:val="en-US" w:eastAsia="zh-CN" w:bidi="ar-SA"/>
    </w:rPr>
  </w:style>
  <w:style w:styleId="BodyText" w:type="paragraph">
    <w:name w:val="Body Text"/>
    <w:basedOn w:val="Normal"/>
    <w:uiPriority w:val="1"/>
    <w:qFormat/>
    <w:pPr/>
    <w:rPr>
      <w:rFonts w:ascii="宋体" w:hAnsi="宋体" w:eastAsia="宋体" w:cs="宋体"/>
      <w:sz w:val="21"/>
      <w:szCs w:val="21"/>
      <w:lang w:val="en-US" w:eastAsia="zh-CN" w:bidi="ar-SA"/>
    </w:rPr>
  </w:style>
  <w:style w:styleId="Heading1" w:type="paragraph">
    <w:name w:val="Heading 1"/>
    <w:basedOn w:val="Normal"/>
    <w:uiPriority w:val="1"/>
    <w:qFormat/>
    <w:pPr>
      <w:ind w:left="3452"/>
      <w:outlineLvl w:val="1"/>
    </w:pPr>
    <w:rPr>
      <w:rFonts w:ascii="Microsoft JhengHei" w:hAnsi="Microsoft JhengHei" w:eastAsia="Microsoft JhengHei" w:cs="Microsoft JhengHei"/>
      <w:b/>
      <w:bCs/>
      <w:sz w:val="28"/>
      <w:szCs w:val="28"/>
      <w:lang w:val="en-US" w:eastAsia="zh-CN" w:bidi="ar-SA"/>
    </w:rPr>
  </w:style>
  <w:style w:styleId="Heading2" w:type="paragraph">
    <w:name w:val="Heading 2"/>
    <w:basedOn w:val="Normal"/>
    <w:uiPriority w:val="1"/>
    <w:qFormat/>
    <w:pPr>
      <w:ind w:left="3713" w:hanging="551"/>
      <w:outlineLvl w:val="2"/>
    </w:pPr>
    <w:rPr>
      <w:rFonts w:ascii="Microsoft JhengHei" w:hAnsi="Microsoft JhengHei" w:eastAsia="Microsoft JhengHei" w:cs="Microsoft JhengHei"/>
      <w:b/>
      <w:bCs/>
      <w:sz w:val="24"/>
      <w:szCs w:val="24"/>
      <w:lang w:val="en-US" w:eastAsia="zh-CN" w:bidi="ar-SA"/>
    </w:rPr>
  </w:style>
  <w:style w:styleId="Heading3" w:type="paragraph">
    <w:name w:val="Heading 3"/>
    <w:basedOn w:val="Normal"/>
    <w:uiPriority w:val="1"/>
    <w:qFormat/>
    <w:pPr>
      <w:ind w:left="3857"/>
      <w:outlineLvl w:val="3"/>
    </w:pPr>
    <w:rPr>
      <w:rFonts w:ascii="Microsoft JhengHei" w:hAnsi="Microsoft JhengHei" w:eastAsia="Microsoft JhengHei" w:cs="Microsoft JhengHei"/>
      <w:b/>
      <w:bCs/>
      <w:sz w:val="21"/>
      <w:szCs w:val="21"/>
      <w:lang w:val="en-US" w:eastAsia="zh-CN" w:bidi="ar-SA"/>
    </w:rPr>
  </w:style>
  <w:style w:styleId="Title" w:type="paragraph">
    <w:name w:val="Title"/>
    <w:basedOn w:val="Normal"/>
    <w:uiPriority w:val="1"/>
    <w:qFormat/>
    <w:pPr>
      <w:ind w:left="3127" w:right="472" w:hanging="3013"/>
    </w:pPr>
    <w:rPr>
      <w:rFonts w:ascii="Microsoft JhengHei" w:hAnsi="Microsoft JhengHei" w:eastAsia="Microsoft JhengHei" w:cs="Microsoft JhengHei"/>
      <w:b/>
      <w:bCs/>
      <w:sz w:val="30"/>
      <w:szCs w:val="30"/>
      <w:lang w:val="en-US" w:eastAsia="zh-CN" w:bidi="ar-SA"/>
    </w:rPr>
  </w:style>
  <w:style w:styleId="ListParagraph" w:type="paragraph">
    <w:name w:val="List Paragraph"/>
    <w:basedOn w:val="Normal"/>
    <w:uiPriority w:val="1"/>
    <w:qFormat/>
    <w:pPr>
      <w:ind w:left="3163"/>
    </w:pPr>
    <w:rPr>
      <w:rFonts w:ascii="宋体" w:hAnsi="宋体" w:eastAsia="宋体" w:cs="宋体"/>
      <w:lang w:val="en-US" w:eastAsia="zh-CN" w:bidi="ar-SA"/>
    </w:rPr>
  </w:style>
  <w:style w:styleId="TableParagraph" w:type="paragraph">
    <w:name w:val="Table Paragraph"/>
    <w:basedOn w:val="Normal"/>
    <w:uiPriority w:val="1"/>
    <w:qFormat/>
    <w:pPr/>
    <w:rPr>
      <w:rFonts w:ascii="宋体" w:hAnsi="宋体" w:eastAsia="宋体" w:cs="宋体"/>
      <w:lang w:val="en-US" w:eastAsia="zh-CN"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hyperlink" Target="mailto:sunyuanyuan@xyzq.com.cn" TargetMode="External"/><Relationship Id="rId7" Type="http://schemas.openxmlformats.org/officeDocument/2006/relationships/hyperlink" Target="mailto:huanghanyang@xyzq.com.cn" TargetMode="External"/><Relationship Id="rId8" Type="http://schemas.openxmlformats.org/officeDocument/2006/relationships/image" Target="media/image1.png"/><Relationship Id="rId9" Type="http://schemas.openxmlformats.org/officeDocument/2006/relationships/hyperlink" Target="mailto:yangxicheng@xyzq.com.cn" TargetMode="External"/><Relationship Id="rId10" Type="http://schemas.openxmlformats.org/officeDocument/2006/relationships/header" Target="header1.xml"/><Relationship Id="rId11" Type="http://schemas.openxmlformats.org/officeDocument/2006/relationships/footer" Target="footer2.xml"/><Relationship Id="rId12" Type="http://schemas.openxmlformats.org/officeDocument/2006/relationships/header" Target="header2.xml"/><Relationship Id="rId13" Type="http://schemas.openxmlformats.org/officeDocument/2006/relationships/footer" Target="footer3.xml"/><Relationship Id="rId14" Type="http://schemas.openxmlformats.org/officeDocument/2006/relationships/header" Target="header3.xml"/><Relationship Id="rId15" Type="http://schemas.openxmlformats.org/officeDocument/2006/relationships/footer" Target="footer4.xml"/><Relationship Id="rId16" Type="http://schemas.openxmlformats.org/officeDocument/2006/relationships/image" Target="media/image3.jpeg"/><Relationship Id="rId17" Type="http://schemas.openxmlformats.org/officeDocument/2006/relationships/image" Target="media/image4.jpeg"/><Relationship Id="rId18" Type="http://schemas.openxmlformats.org/officeDocument/2006/relationships/image" Target="media/image5.png"/><Relationship Id="rId19" Type="http://schemas.openxmlformats.org/officeDocument/2006/relationships/image" Target="media/image6.png"/><Relationship Id="rId20" Type="http://schemas.openxmlformats.org/officeDocument/2006/relationships/image" Target="media/image7.jpeg"/><Relationship Id="rId21" Type="http://schemas.openxmlformats.org/officeDocument/2006/relationships/image" Target="media/image8.jpeg"/><Relationship Id="rId22" Type="http://schemas.openxmlformats.org/officeDocument/2006/relationships/image" Target="media/image9.jpeg"/><Relationship Id="rId23" Type="http://schemas.openxmlformats.org/officeDocument/2006/relationships/image" Target="media/image10.jpeg"/><Relationship Id="rId24" Type="http://schemas.openxmlformats.org/officeDocument/2006/relationships/image" Target="media/image11.jpeg"/><Relationship Id="rId25" Type="http://schemas.openxmlformats.org/officeDocument/2006/relationships/image" Target="media/image12.jpeg"/><Relationship Id="rId26" Type="http://schemas.openxmlformats.org/officeDocument/2006/relationships/header" Target="header4.xml"/><Relationship Id="rId27" Type="http://schemas.openxmlformats.org/officeDocument/2006/relationships/footer" Target="footer5.xml"/><Relationship Id="rId28" Type="http://schemas.openxmlformats.org/officeDocument/2006/relationships/image" Target="media/image13.png"/><Relationship Id="rId29" Type="http://schemas.openxmlformats.org/officeDocument/2006/relationships/header" Target="header5.xml"/><Relationship Id="rId30" Type="http://schemas.openxmlformats.org/officeDocument/2006/relationships/footer" Target="footer6.xml"/><Relationship Id="rId31" Type="http://schemas.openxmlformats.org/officeDocument/2006/relationships/header" Target="header6.xml"/><Relationship Id="rId32" Type="http://schemas.openxmlformats.org/officeDocument/2006/relationships/footer" Target="footer7.xml"/><Relationship Id="rId33" Type="http://schemas.openxmlformats.org/officeDocument/2006/relationships/image" Target="media/image14.jpeg"/><Relationship Id="rId34" Type="http://schemas.openxmlformats.org/officeDocument/2006/relationships/image" Target="media/image15.jpeg"/><Relationship Id="rId35" Type="http://schemas.openxmlformats.org/officeDocument/2006/relationships/image" Target="media/image16.jpeg"/><Relationship Id="rId36" Type="http://schemas.openxmlformats.org/officeDocument/2006/relationships/image" Target="media/image17.jpeg"/><Relationship Id="rId37" Type="http://schemas.openxmlformats.org/officeDocument/2006/relationships/image" Target="media/image18.jpeg"/><Relationship Id="rId38" Type="http://schemas.openxmlformats.org/officeDocument/2006/relationships/hyperlink" Target="http://www.baidu.com/link?url=USC4wcpcQrp4DxFq6Kc_IriRyTuxMVCLnj7DTyj3iIYu21UBjTEDOuKTIdQOkGz7" TargetMode="External"/><Relationship Id="rId39" Type="http://schemas.openxmlformats.org/officeDocument/2006/relationships/image" Target="media/image19.jpeg"/><Relationship Id="rId40" Type="http://schemas.openxmlformats.org/officeDocument/2006/relationships/image" Target="media/image20.jpeg"/><Relationship Id="rId41" Type="http://schemas.openxmlformats.org/officeDocument/2006/relationships/image" Target="media/image21.jpeg"/><Relationship Id="rId42" Type="http://schemas.openxmlformats.org/officeDocument/2006/relationships/image" Target="media/image22.jpeg"/><Relationship Id="rId43" Type="http://schemas.openxmlformats.org/officeDocument/2006/relationships/image" Target="media/image23.jpeg"/><Relationship Id="rId44" Type="http://schemas.openxmlformats.org/officeDocument/2006/relationships/image" Target="media/image24.jpeg"/><Relationship Id="rId45" Type="http://schemas.openxmlformats.org/officeDocument/2006/relationships/image" Target="media/image25.jpeg"/><Relationship Id="rId46" Type="http://schemas.openxmlformats.org/officeDocument/2006/relationships/header" Target="header7.xml"/><Relationship Id="rId47" Type="http://schemas.openxmlformats.org/officeDocument/2006/relationships/footer" Target="footer8.xml"/><Relationship Id="rId48" Type="http://schemas.openxmlformats.org/officeDocument/2006/relationships/header" Target="header8.xml"/><Relationship Id="rId49" Type="http://schemas.openxmlformats.org/officeDocument/2006/relationships/footer" Target="footer9.xml"/><Relationship Id="rId50" Type="http://schemas.openxmlformats.org/officeDocument/2006/relationships/image" Target="media/image26.jpeg"/><Relationship Id="rId51" Type="http://schemas.openxmlformats.org/officeDocument/2006/relationships/header" Target="header9.xml"/><Relationship Id="rId52" Type="http://schemas.openxmlformats.org/officeDocument/2006/relationships/footer" Target="footer10.xml"/><Relationship Id="rId53" Type="http://schemas.openxmlformats.org/officeDocument/2006/relationships/hyperlink" Target="http://www.xyzq.com.cn/" TargetMode="External"/><Relationship Id="rId54" Type="http://schemas.openxmlformats.org/officeDocument/2006/relationships/hyperlink" Target="mailto:research@xyzq.com.cn" TargetMode="External"/><Relationship Id="rId55"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_rels/header9.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兴业证券-医药生物行业阿尔茨海默病深度报告：诊疗终现双突破，蓝海市场正起航-230731.pdf</dc:title>
  <dcterms:created xsi:type="dcterms:W3CDTF">2023-08-14T15:32:38Z</dcterms:created>
  <dcterms:modified xsi:type="dcterms:W3CDTF">2023-08-14T15:32:38Z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2023-08-14T00:00:00Z</vt:filetime>
  </property>
  <property fmtid="{D5CDD505-2E9C-101B-9397-08002B2CF9AE}" pid="3" name="LastSaved">
    <vt:filetime>2023-08-14T00:00:00Z</vt:filetime>
  </property>
</Properties>
</file>