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C536A1">
          <w:pPr>
            <w:pStyle w:val="NoSpacing"/>
            <w:rPr>
              <w:rFonts w:asciiTheme="majorHAnsi" w:eastAsiaTheme="majorEastAsia" w:hAnsiTheme="majorHAnsi" w:cstheme="majorBidi"/>
              <w:sz w:val="40"/>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12-07T00:00:00Z">
              <w:dateFormat w:val="M/d/yyyy"/>
              <w:lid w:val="en-US"/>
              <w:storeMappedDataAs w:val="dateTime"/>
              <w:calendar w:val="gregorian"/>
            </w:date>
          </w:sdtPr>
          <w:sdtEndPr/>
          <w:sdtContent>
            <w:p w:rsidR="00F23772" w:rsidRDefault="001D6C09">
              <w:pPr>
                <w:pStyle w:val="NoSpacing"/>
              </w:pPr>
              <w:r>
                <w:t>12/7/2022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1D6C09">
              <w:pPr>
                <w:pStyle w:val="NoSpacing"/>
              </w:pPr>
              <w:r>
                <w:t>Chandra</w:t>
              </w:r>
            </w:p>
          </w:sdtContent>
        </w:sdt>
        <w:p w:rsidR="00F23772" w:rsidRDefault="00C536A1"/>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282C6C">
        <w:t>12/07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1D6C09">
        <w:t>12/07/2022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3F1B81" w:rsidP="0065646B">
            <w:pPr>
              <w:pStyle w:val="Tableheading"/>
              <w:spacing w:after="0" w:line="240" w:lineRule="auto"/>
              <w:ind w:left="0"/>
              <w:jc w:val="center"/>
              <w:rPr>
                <w:b w:val="0"/>
              </w:rPr>
            </w:pPr>
            <w:r>
              <w:rPr>
                <w:b w:val="0"/>
              </w:rPr>
              <w:t>1</w:t>
            </w:r>
            <w:r w:rsidR="00552141" w:rsidRPr="0065646B">
              <w:rPr>
                <w:b w:val="0"/>
              </w:rPr>
              <w:t>2</w:t>
            </w:r>
            <w:r w:rsidR="00F73D0D" w:rsidRPr="0065646B">
              <w:rPr>
                <w:b w:val="0"/>
              </w:rPr>
              <w:t>/</w:t>
            </w:r>
            <w:r w:rsidR="00282C6C">
              <w:rPr>
                <w:b w:val="0"/>
              </w:rPr>
              <w:t>07</w:t>
            </w:r>
            <w:r>
              <w:rPr>
                <w:b w:val="0"/>
              </w:rPr>
              <w:t>/2022</w:t>
            </w:r>
          </w:p>
        </w:tc>
        <w:tc>
          <w:tcPr>
            <w:tcW w:w="2700" w:type="dxa"/>
            <w:vAlign w:val="center"/>
          </w:tcPr>
          <w:p w:rsidR="008A7359" w:rsidRPr="0065646B" w:rsidRDefault="003F1B81" w:rsidP="00321BEC">
            <w:pPr>
              <w:pStyle w:val="Tableheading"/>
              <w:spacing w:after="0" w:line="240" w:lineRule="auto"/>
              <w:ind w:left="0"/>
              <w:rPr>
                <w:b w:val="0"/>
              </w:rPr>
            </w:pPr>
            <w:r>
              <w:rPr>
                <w:b w:val="0"/>
              </w:rPr>
              <w:t>Chandra</w:t>
            </w:r>
          </w:p>
        </w:tc>
        <w:tc>
          <w:tcPr>
            <w:tcW w:w="4230" w:type="dxa"/>
            <w:vAlign w:val="center"/>
          </w:tcPr>
          <w:p w:rsidR="008A7359" w:rsidRPr="0065646B" w:rsidRDefault="002473B9" w:rsidP="00282C6C">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17"/>
        <w:gridCol w:w="582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C536A1">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536A1">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536A1">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536A1">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536A1">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536A1">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C536A1">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536A1">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536A1">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536A1">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536A1">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536A1">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536A1">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536A1">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536A1">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536A1">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536A1">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536A1">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536A1">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536A1">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C536A1">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C536A1">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C536A1">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536A1">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536A1">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536A1">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C536A1">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C536A1">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C536A1">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C536A1">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C536A1">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536A1">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536A1">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536A1">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536A1">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536A1">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282C6C">
        <w:t>Banking Application</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002D23D5">
        <w:t>A banking app made for Android using Android Studio. No real money is involved. The application is developed using MVC approach, using proper programming conventions, including documentation, error/exception handling, thorough program structure and memory efficiency.</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0F5DD9">
        <w:t>Banking Application</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6B40D8">
        <w:t>Mobile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3644CD">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167506"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lastRenderedPageBreak/>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2" w:name="_MON_1439303832"/>
    <w:bookmarkEnd w:id="22"/>
    <w:p w:rsidR="000C4808" w:rsidRPr="0053377B" w:rsidRDefault="00023E77" w:rsidP="00D956EF">
      <w:pPr>
        <w:ind w:left="1710"/>
      </w:pPr>
      <w:r>
        <w:object w:dxaOrig="2556" w:dyaOrig="1600">
          <v:shape id="_x0000_i1026" type="#_x0000_t75" style="width:77.25pt;height:48.75pt" o:ole="">
            <v:imagedata r:id="rId16" o:title=""/>
          </v:shape>
          <o:OLEObject Type="Embed" ProgID="Excel.Sheet.12" ShapeID="_x0000_i1026" DrawAspect="Icon" ObjectID="_1719167507" r:id="rId17"/>
        </w:objec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023E77" w:rsidP="006052D5">
      <w:pPr>
        <w:pStyle w:val="Heading1"/>
      </w:pPr>
      <w:r w:rsidRPr="00D14ACB">
        <w:object w:dxaOrig="2556" w:dyaOrig="1600">
          <v:shape id="_x0000_i1027" type="#_x0000_t75" style="width:78pt;height:49.5pt" o:ole="">
            <v:imagedata r:id="rId18" o:title=""/>
          </v:shape>
          <o:OLEObject Type="Embed" ProgID="Excel.Sheet.12" ShapeID="_x0000_i1027" DrawAspect="Icon" ObjectID="_1719167508"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Test Closure Memo completed and signed off</w:t>
            </w:r>
          </w:p>
        </w:tc>
        <w:tc>
          <w:tcPr>
            <w:tcW w:w="1051" w:type="dxa"/>
            <w:tcBorders>
              <w:bottom w:val="single" w:sz="4" w:space="0" w:color="auto"/>
            </w:tcBorders>
            <w:vAlign w:val="center"/>
          </w:tcPr>
          <w:p w:rsidR="008A7359" w:rsidRDefault="008A7359" w:rsidP="00321BEC">
            <w:pPr>
              <w:ind w:left="0"/>
              <w:jc w:val="left"/>
            </w:pPr>
            <w:bookmarkStart w:id="29" w:name="_GoBack"/>
            <w:bookmarkEnd w:id="29"/>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C536A1"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It causes an abnormal return to the operating system (crash or a </w:t>
            </w:r>
            <w:r w:rsidRPr="0085672D">
              <w:rPr>
                <w:rFonts w:asciiTheme="minorHAnsi" w:eastAsiaTheme="minorHAnsi" w:hAnsiTheme="minorHAnsi" w:cstheme="minorBidi"/>
                <w:szCs w:val="22"/>
                <w:lang w:val="en-US"/>
              </w:rPr>
              <w:lastRenderedPageBreak/>
              <w:t>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lastRenderedPageBreak/>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t>Test Execution Process</w:t>
      </w:r>
      <w:bookmarkEnd w:id="39"/>
      <w:bookmarkEnd w:id="40"/>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lastRenderedPageBreak/>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7272EB" w:rsidP="004222D9">
            <w:pPr>
              <w:pStyle w:val="GDCQMSBodyTextLevel2"/>
              <w:ind w:left="0"/>
              <w:rPr>
                <w:rFonts w:asciiTheme="minorHAnsi" w:hAnsiTheme="minorHAnsi"/>
              </w:rPr>
            </w:pPr>
            <w:r>
              <w:rPr>
                <w:rFonts w:asciiTheme="minorHAnsi" w:hAnsiTheme="minorHAnsi"/>
              </w:rPr>
              <w:t>Chandra</w:t>
            </w:r>
          </w:p>
        </w:tc>
        <w:tc>
          <w:tcPr>
            <w:tcW w:w="2700" w:type="dxa"/>
          </w:tcPr>
          <w:p w:rsidR="00D124AA" w:rsidRPr="001776A2" w:rsidRDefault="00BB5A72" w:rsidP="007272EB">
            <w:pPr>
              <w:pStyle w:val="GDCQMSBodyTextLevel2"/>
              <w:ind w:left="0"/>
              <w:rPr>
                <w:rFonts w:asciiTheme="minorHAnsi" w:hAnsiTheme="minorHAnsi"/>
              </w:rPr>
            </w:pPr>
            <w:r>
              <w:rPr>
                <w:rFonts w:asciiTheme="minorHAnsi" w:hAnsiTheme="minorHAnsi"/>
              </w:rPr>
              <w:t>chandrafirst67@gmail.com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BB5A72"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sidR="00282677">
        <w:rPr>
          <w:rFonts w:ascii="Arial" w:hAnsi="Arial" w:cs="Arial"/>
          <w:color w:val="000000"/>
          <w:sz w:val="20"/>
          <w:szCs w:val="20"/>
        </w:rPr>
        <w:t xml:space="preserve"> –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BB5A72"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Banking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6A1" w:rsidRDefault="00C536A1" w:rsidP="008D58A3">
      <w:pPr>
        <w:spacing w:after="0" w:line="240" w:lineRule="auto"/>
      </w:pPr>
      <w:r>
        <w:separator/>
      </w:r>
    </w:p>
  </w:endnote>
  <w:endnote w:type="continuationSeparator" w:id="0">
    <w:p w:rsidR="00C536A1" w:rsidRDefault="00C536A1"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Default="001D76C9" w:rsidP="00321BEC">
    <w:pPr>
      <w:pStyle w:val="Footer"/>
    </w:pPr>
  </w:p>
  <w:p w:rsidR="001D76C9" w:rsidRDefault="001D76C9" w:rsidP="00321BEC">
    <w:pPr>
      <w:pStyle w:val="Footer"/>
    </w:pPr>
  </w:p>
  <w:p w:rsidR="001D76C9" w:rsidRPr="00176193" w:rsidRDefault="001D76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6B188E">
      <w:rPr>
        <w:rStyle w:val="PageNumber"/>
        <w:noProof/>
      </w:rPr>
      <w:t>10</w:t>
    </w:r>
    <w:r>
      <w:rPr>
        <w:rStyle w:val="PageNumber"/>
      </w:rPr>
      <w:fldChar w:fldCharType="end"/>
    </w:r>
  </w:p>
  <w:p w:rsidR="001D76C9" w:rsidRPr="00176193" w:rsidRDefault="001D76C9" w:rsidP="00321BEC">
    <w:pPr>
      <w:pStyle w:val="Footer"/>
    </w:pPr>
  </w:p>
  <w:p w:rsidR="001D76C9" w:rsidRDefault="001D76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6A1" w:rsidRDefault="00C536A1" w:rsidP="008D58A3">
      <w:pPr>
        <w:spacing w:after="0" w:line="240" w:lineRule="auto"/>
      </w:pPr>
      <w:r>
        <w:separator/>
      </w:r>
    </w:p>
  </w:footnote>
  <w:footnote w:type="continuationSeparator" w:id="0">
    <w:p w:rsidR="00C536A1" w:rsidRDefault="00C536A1"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1D76C9" w:rsidTr="00454D36">
      <w:trPr>
        <w:trHeight w:val="492"/>
      </w:trPr>
      <w:tc>
        <w:tcPr>
          <w:tcW w:w="8655" w:type="dxa"/>
        </w:tcPr>
        <w:p w:rsidR="001D76C9" w:rsidRPr="00D223DD" w:rsidRDefault="00DD46B2"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76C9" w:rsidRDefault="001D76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Pr="00767C34" w:rsidRDefault="001D76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23E77"/>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5DD9"/>
    <w:rsid w:val="00115B0F"/>
    <w:rsid w:val="00121B3B"/>
    <w:rsid w:val="00121F4F"/>
    <w:rsid w:val="00136E2C"/>
    <w:rsid w:val="00151715"/>
    <w:rsid w:val="001628DC"/>
    <w:rsid w:val="00162B74"/>
    <w:rsid w:val="00172039"/>
    <w:rsid w:val="001776A2"/>
    <w:rsid w:val="0018603D"/>
    <w:rsid w:val="00186533"/>
    <w:rsid w:val="00187EF3"/>
    <w:rsid w:val="001A3C89"/>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73B9"/>
    <w:rsid w:val="00263E33"/>
    <w:rsid w:val="00282677"/>
    <w:rsid w:val="00282C6C"/>
    <w:rsid w:val="0029286E"/>
    <w:rsid w:val="002964FB"/>
    <w:rsid w:val="002A1C45"/>
    <w:rsid w:val="002A295C"/>
    <w:rsid w:val="002A5953"/>
    <w:rsid w:val="002B55C0"/>
    <w:rsid w:val="002D23D5"/>
    <w:rsid w:val="002E1249"/>
    <w:rsid w:val="002E5E6E"/>
    <w:rsid w:val="002F0DB1"/>
    <w:rsid w:val="00306BB3"/>
    <w:rsid w:val="003108E0"/>
    <w:rsid w:val="00316A14"/>
    <w:rsid w:val="00321BEC"/>
    <w:rsid w:val="00344EBA"/>
    <w:rsid w:val="0034731B"/>
    <w:rsid w:val="00351EE5"/>
    <w:rsid w:val="003527BA"/>
    <w:rsid w:val="00360851"/>
    <w:rsid w:val="003644CD"/>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51F5C"/>
    <w:rsid w:val="00454D36"/>
    <w:rsid w:val="00456046"/>
    <w:rsid w:val="0046426D"/>
    <w:rsid w:val="0048654D"/>
    <w:rsid w:val="00491C5A"/>
    <w:rsid w:val="00492CB0"/>
    <w:rsid w:val="004A6387"/>
    <w:rsid w:val="004D3D9D"/>
    <w:rsid w:val="004F29D7"/>
    <w:rsid w:val="004F527C"/>
    <w:rsid w:val="00503645"/>
    <w:rsid w:val="005044A2"/>
    <w:rsid w:val="0050714C"/>
    <w:rsid w:val="00525BE7"/>
    <w:rsid w:val="005276BC"/>
    <w:rsid w:val="0053377B"/>
    <w:rsid w:val="0054411A"/>
    <w:rsid w:val="00547495"/>
    <w:rsid w:val="00552141"/>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A55AA"/>
    <w:rsid w:val="006B115E"/>
    <w:rsid w:val="006B188E"/>
    <w:rsid w:val="006B40D8"/>
    <w:rsid w:val="006C7B4B"/>
    <w:rsid w:val="006E0670"/>
    <w:rsid w:val="006E566E"/>
    <w:rsid w:val="006F1913"/>
    <w:rsid w:val="006F214F"/>
    <w:rsid w:val="00702273"/>
    <w:rsid w:val="007124CF"/>
    <w:rsid w:val="00714669"/>
    <w:rsid w:val="0072602E"/>
    <w:rsid w:val="007272EB"/>
    <w:rsid w:val="00746E15"/>
    <w:rsid w:val="00750078"/>
    <w:rsid w:val="00761D6C"/>
    <w:rsid w:val="00767C34"/>
    <w:rsid w:val="007763FB"/>
    <w:rsid w:val="00786D4D"/>
    <w:rsid w:val="007A2B20"/>
    <w:rsid w:val="007A702D"/>
    <w:rsid w:val="007A746C"/>
    <w:rsid w:val="007C299E"/>
    <w:rsid w:val="007D0545"/>
    <w:rsid w:val="007D3A02"/>
    <w:rsid w:val="007D4BEB"/>
    <w:rsid w:val="007E1538"/>
    <w:rsid w:val="007F5FD4"/>
    <w:rsid w:val="00810C6E"/>
    <w:rsid w:val="00811588"/>
    <w:rsid w:val="00846CAF"/>
    <w:rsid w:val="00851893"/>
    <w:rsid w:val="0085672D"/>
    <w:rsid w:val="00884947"/>
    <w:rsid w:val="00893ABD"/>
    <w:rsid w:val="008A7359"/>
    <w:rsid w:val="008B4A74"/>
    <w:rsid w:val="008B5651"/>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B28D5"/>
    <w:rsid w:val="00BB5A72"/>
    <w:rsid w:val="00BC4AE6"/>
    <w:rsid w:val="00BE19AC"/>
    <w:rsid w:val="00BE72FE"/>
    <w:rsid w:val="00BF14EE"/>
    <w:rsid w:val="00C05C2E"/>
    <w:rsid w:val="00C064D8"/>
    <w:rsid w:val="00C14D1B"/>
    <w:rsid w:val="00C34663"/>
    <w:rsid w:val="00C41115"/>
    <w:rsid w:val="00C45C90"/>
    <w:rsid w:val="00C536A1"/>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DE35"/>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335411"/>
    <w:rsid w:val="003B7597"/>
    <w:rsid w:val="005160FD"/>
    <w:rsid w:val="00554D8C"/>
    <w:rsid w:val="005955DB"/>
    <w:rsid w:val="00B93562"/>
    <w:rsid w:val="00C11D3A"/>
    <w:rsid w:val="00C33E5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B0628-680E-4466-AD2E-3BC81097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Chandra</dc:creator>
  <cp:lastModifiedBy>Management Trainee Technology Head Office (Chandra)</cp:lastModifiedBy>
  <cp:revision>84</cp:revision>
  <dcterms:created xsi:type="dcterms:W3CDTF">2014-02-05T10:15:00Z</dcterms:created>
  <dcterms:modified xsi:type="dcterms:W3CDTF">2022-07-12T14:45:00Z</dcterms:modified>
</cp:coreProperties>
</file>