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Custom Scalable Data Quality Framework</w:t>
      </w:r>
    </w:p>
    <w:p>
      <w:pPr>
        <w:jc w:val="center"/>
      </w:pPr>
      <w:r>
        <w:rPr>
          <w:b/>
          <w:sz w:val="26"/>
        </w:rPr>
        <w:t>Technical Assignment - Design &amp; Implementation</w:t>
      </w:r>
    </w:p>
    <w:p>
      <w:pPr>
        <w:jc w:val="center"/>
      </w:pPr>
      <w:r>
        <w:t>Candidate: Chadrashekhar  |  September 2026</w:t>
      </w:r>
    </w:p>
    <w:p/>
    <w:p>
      <w:pPr>
        <w:pStyle w:val="Heading1"/>
      </w:pPr>
      <w:r>
        <w:t>1. Executive Summary</w:t>
      </w:r>
    </w:p>
    <w:p>
      <w:r>
        <w:t>This solution implements a metadata/configuration-driven Data Quality (DQ) framework that validates multiple datasets and data sources while keeping dataset-specific logic outside the core execution engine. New datasets are onboarded through YAML configuration, while new validation capabilities and source types are introduced through small rule and connector interfaces. This keeps the design reusable, testable, maintainable, and suitable for incremental extension.</w:t>
      </w:r>
    </w:p>
    <w:p>
      <w:pPr>
        <w:pStyle w:val="Heading1"/>
      </w:pPr>
      <w:r>
        <w:t>2. Requirements Addressed</w:t>
      </w:r>
    </w:p>
    <w:p>
      <w:pPr>
        <w:pStyle w:val="ListBullet"/>
      </w:pPr>
      <w:r>
        <w:t>Validate multiple datasets through reusable configuration.</w:t>
      </w:r>
    </w:p>
    <w:p>
      <w:pPr>
        <w:pStyle w:val="ListBullet"/>
      </w:pPr>
      <w:r>
        <w:t>Support multiple source types through connector abstraction.</w:t>
      </w:r>
    </w:p>
    <w:p>
      <w:pPr>
        <w:pStyle w:val="ListBullet"/>
      </w:pPr>
      <w:r>
        <w:t>Avoid dataset-specific changes to the core DQ engine.</w:t>
      </w:r>
    </w:p>
    <w:p>
      <w:pPr>
        <w:pStyle w:val="ListBullet"/>
      </w:pPr>
      <w:r>
        <w:t>Make validation metadata/configuration-driven.</w:t>
      </w:r>
    </w:p>
    <w:p>
      <w:pPr>
        <w:pStyle w:val="ListBullet"/>
      </w:pPr>
      <w:r>
        <w:t>Allow new rules to be added independently.</w:t>
      </w:r>
    </w:p>
    <w:p>
      <w:pPr>
        <w:pStyle w:val="ListBullet"/>
      </w:pPr>
      <w:r>
        <w:t>Produce auditable rule-level PASS/FAIL results and failure counts.</w:t>
      </w:r>
    </w:p>
    <w:p>
      <w:pPr>
        <w:pStyle w:val="ListBullet"/>
      </w:pPr>
      <w:r>
        <w:t>Provide a design that can evolve toward distributed execution for large datasets.</w:t>
      </w:r>
    </w:p>
    <w:p>
      <w:pPr>
        <w:pStyle w:val="Heading1"/>
      </w:pPr>
      <w:r>
        <w:t>3. Architecture</w:t>
      </w:r>
    </w:p>
    <w:tbl>
      <w:tblPr>
        <w:tblStyle w:val="TableGrid"/>
        <w:tblW w:type="auto" w:w="0"/>
        <w:jc w:val="center"/>
        <w:tblLook w:firstColumn="1" w:firstRow="1" w:lastColumn="0" w:lastRow="0" w:noHBand="0" w:noVBand="1" w:val="04A0"/>
      </w:tblPr>
      <w:tblGrid>
        <w:gridCol w:w="10080"/>
      </w:tblGrid>
      <w:tr>
        <w:tc>
          <w:tcPr>
            <w:tcW w:type="dxa" w:w="10080"/>
            <w:vAlign w:val="center"/>
          </w:tcPr>
          <w:p>
            <w:pPr>
              <w:jc w:val="center"/>
            </w:pPr>
            <w:r>
              <w:rPr>
                <w:b/>
              </w:rPr>
              <w:t>YAML Metadata / Dataset Configuration</w:t>
            </w:r>
          </w:p>
        </w:tc>
      </w:tr>
      <w:tr>
        <w:tc>
          <w:tcPr>
            <w:tcW w:type="dxa" w:w="10080"/>
            <w:vAlign w:val="center"/>
          </w:tcPr>
          <w:p>
            <w:pPr>
              <w:jc w:val="center"/>
            </w:pPr>
            <w:r>
              <w:t>↓</w:t>
            </w:r>
          </w:p>
        </w:tc>
      </w:tr>
      <w:tr>
        <w:tc>
          <w:tcPr>
            <w:tcW w:type="dxa" w:w="10080"/>
            <w:vAlign w:val="center"/>
          </w:tcPr>
          <w:p>
            <w:pPr>
              <w:jc w:val="center"/>
            </w:pPr>
            <w:r>
              <w:rPr>
                <w:b/>
              </w:rPr>
              <w:t>Configuration Loader</w:t>
            </w:r>
          </w:p>
        </w:tc>
      </w:tr>
      <w:tr>
        <w:tc>
          <w:tcPr>
            <w:tcW w:type="dxa" w:w="10080"/>
            <w:vAlign w:val="center"/>
          </w:tcPr>
          <w:p>
            <w:pPr>
              <w:jc w:val="center"/>
            </w:pPr>
            <w:r>
              <w:t>↓</w:t>
            </w:r>
          </w:p>
        </w:tc>
      </w:tr>
      <w:tr>
        <w:tc>
          <w:tcPr>
            <w:tcW w:type="dxa" w:w="10080"/>
            <w:vAlign w:val="center"/>
          </w:tcPr>
          <w:p>
            <w:pPr>
              <w:jc w:val="center"/>
            </w:pPr>
            <w:r>
              <w:rPr>
                <w:b/>
              </w:rPr>
              <w:t>DQ Engine → Connector Factory + Rule Factory</w:t>
            </w:r>
          </w:p>
        </w:tc>
      </w:tr>
      <w:tr>
        <w:tc>
          <w:tcPr>
            <w:tcW w:type="dxa" w:w="10080"/>
            <w:vAlign w:val="center"/>
          </w:tcPr>
          <w:p>
            <w:pPr>
              <w:jc w:val="center"/>
            </w:pPr>
            <w:r>
              <w:t>↓</w:t>
            </w:r>
          </w:p>
        </w:tc>
      </w:tr>
      <w:tr>
        <w:tc>
          <w:tcPr>
            <w:tcW w:type="dxa" w:w="10080"/>
            <w:vAlign w:val="center"/>
          </w:tcPr>
          <w:p>
            <w:pPr>
              <w:jc w:val="center"/>
            </w:pPr>
            <w:r>
              <w:rPr>
                <w:b/>
              </w:rPr>
              <w:t>Validation Results → Console / JSON Report</w:t>
            </w:r>
          </w:p>
        </w:tc>
      </w:tr>
    </w:tbl>
    <w:p>
      <w:r>
        <w:t>The DQ engine only orchestrates the workflow: load configuration, obtain data from a connector, instantiate configured rules, execute them, and send results to reporting. It does not know the business meaning of customers, orders, or future datasets.</w:t>
      </w:r>
    </w:p>
    <w:p>
      <w:pPr>
        <w:pStyle w:val="Heading1"/>
      </w:pPr>
      <w:r>
        <w:t>4. Configuration-Driven Design</w:t>
      </w:r>
    </w:p>
    <w:p>
      <w:r>
        <w:t>Example dataset configuration:</w:t>
      </w:r>
    </w:p>
    <w:p>
      <w:r>
        <w:rPr>
          <w:rFonts w:ascii="Consolas" w:hAnsi="Consolas"/>
          <w:sz w:val="18"/>
        </w:rPr>
        <w:t>dataset: customers</w:t>
        <w:br/>
        <w:t>source:</w:t>
        <w:br/>
        <w:t xml:space="preserve">  type: csv</w:t>
        <w:br/>
        <w:t xml:space="preserve">  path: sample_data/customers.csv</w:t>
        <w:br/>
        <w:br/>
        <w:t>rules:</w:t>
        <w:br/>
        <w:t xml:space="preserve">  - type: not_null</w:t>
        <w:br/>
        <w:t xml:space="preserve">    column: customer_id</w:t>
        <w:br/>
        <w:t xml:space="preserve">  - type: range</w:t>
        <w:br/>
        <w:t xml:space="preserve">    column: age</w:t>
        <w:br/>
        <w:t xml:space="preserve">    min: 18</w:t>
        <w:br/>
        <w:t xml:space="preserve">    max: 100</w:t>
      </w:r>
    </w:p>
    <w:p>
      <w:r>
        <w:t>To onboard another dataset, a user adds another configuration file. The core engine remains unchanged. This separates operational metadata from execution code and avoids copy-paste pipelines.</w:t>
      </w:r>
    </w:p>
    <w:p>
      <w:pPr>
        <w:pStyle w:val="Heading1"/>
      </w:pPr>
      <w:r>
        <w:t>5. Component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Component</w:t>
            </w:r>
          </w:p>
        </w:tc>
        <w:tc>
          <w:tcPr>
            <w:tcW w:type="dxa" w:w="3360"/>
          </w:tcPr>
          <w:p>
            <w:r>
              <w:rPr>
                <w:b/>
              </w:rPr>
              <w:t>Responsibility</w:t>
            </w:r>
          </w:p>
        </w:tc>
        <w:tc>
          <w:tcPr>
            <w:tcW w:type="dxa" w:w="3360"/>
          </w:tcPr>
          <w:p>
            <w:r>
              <w:rPr>
                <w:b/>
              </w:rPr>
              <w:t>Extension Approach</w:t>
            </w:r>
          </w:p>
        </w:tc>
      </w:tr>
      <w:tr>
        <w:tc>
          <w:tcPr>
            <w:tcW w:type="dxa" w:w="3360"/>
          </w:tcPr>
          <w:p>
            <w:r>
              <w:t>Config Loader</w:t>
            </w:r>
          </w:p>
        </w:tc>
        <w:tc>
          <w:tcPr>
            <w:tcW w:type="dxa" w:w="3360"/>
          </w:tcPr>
          <w:p>
            <w:r>
              <w:t>Loads and validates YAML metadata.</w:t>
            </w:r>
          </w:p>
        </w:tc>
        <w:tc>
          <w:tcPr>
            <w:tcW w:type="dxa" w:w="3360"/>
          </w:tcPr>
          <w:p>
            <w:r>
              <w:t>Add metadata fields without dataset-specific engine code.</w:t>
            </w:r>
          </w:p>
        </w:tc>
      </w:tr>
      <w:tr>
        <w:tc>
          <w:tcPr>
            <w:tcW w:type="dxa" w:w="3360"/>
          </w:tcPr>
          <w:p>
            <w:r>
              <w:t>Connector Layer</w:t>
            </w:r>
          </w:p>
        </w:tc>
        <w:tc>
          <w:tcPr>
            <w:tcW w:type="dxa" w:w="3360"/>
          </w:tcPr>
          <w:p>
            <w:r>
              <w:t>Reads data from CSV or SQL sources.</w:t>
            </w:r>
          </w:p>
        </w:tc>
        <w:tc>
          <w:tcPr>
            <w:tcW w:type="dxa" w:w="3360"/>
          </w:tcPr>
          <w:p>
            <w:r>
              <w:t>Implement BaseConnector for BigQuery, Snowflake, Spark, etc.</w:t>
            </w:r>
          </w:p>
        </w:tc>
      </w:tr>
      <w:tr>
        <w:tc>
          <w:tcPr>
            <w:tcW w:type="dxa" w:w="3360"/>
          </w:tcPr>
          <w:p>
            <w:r>
              <w:t>Rule Layer</w:t>
            </w:r>
          </w:p>
        </w:tc>
        <w:tc>
          <w:tcPr>
            <w:tcW w:type="dxa" w:w="3360"/>
          </w:tcPr>
          <w:p>
            <w:r>
              <w:t>Contains individual DQ checks.</w:t>
            </w:r>
          </w:p>
        </w:tc>
        <w:tc>
          <w:tcPr>
            <w:tcW w:type="dxa" w:w="3360"/>
          </w:tcPr>
          <w:p>
            <w:r>
              <w:t>Implement BaseRule and register the rule type.</w:t>
            </w:r>
          </w:p>
        </w:tc>
      </w:tr>
      <w:tr>
        <w:tc>
          <w:tcPr>
            <w:tcW w:type="dxa" w:w="3360"/>
          </w:tcPr>
          <w:p>
            <w:r>
              <w:t>DQ Engine</w:t>
            </w:r>
          </w:p>
        </w:tc>
        <w:tc>
          <w:tcPr>
            <w:tcW w:type="dxa" w:w="3360"/>
          </w:tcPr>
          <w:p>
            <w:r>
              <w:t>Coordinates loading, execution, and results.</w:t>
            </w:r>
          </w:p>
        </w:tc>
        <w:tc>
          <w:tcPr>
            <w:tcW w:type="dxa" w:w="3360"/>
          </w:tcPr>
          <w:p>
            <w:r>
              <w:t>Stable orchestration layer.</w:t>
            </w:r>
          </w:p>
        </w:tc>
      </w:tr>
      <w:tr>
        <w:tc>
          <w:tcPr>
            <w:tcW w:type="dxa" w:w="3360"/>
          </w:tcPr>
          <w:p>
            <w:r>
              <w:t>Reporter</w:t>
            </w:r>
          </w:p>
        </w:tc>
        <w:tc>
          <w:tcPr>
            <w:tcW w:type="dxa" w:w="3360"/>
          </w:tcPr>
          <w:p>
            <w:r>
              <w:t>Outputs rule status, failure counts, and details.</w:t>
            </w:r>
          </w:p>
        </w:tc>
        <w:tc>
          <w:tcPr>
            <w:tcW w:type="dxa" w:w="3360"/>
          </w:tcPr>
          <w:p>
            <w:r>
              <w:t>Add database/dashboard/alert sinks independently.</w:t>
            </w:r>
          </w:p>
        </w:tc>
      </w:tr>
    </w:tbl>
    <w:p>
      <w:pPr>
        <w:pStyle w:val="Heading1"/>
      </w:pPr>
      <w:r>
        <w:t>6. Implemented Data Quality Rules</w:t>
      </w:r>
    </w:p>
    <w:p>
      <w:pPr>
        <w:pStyle w:val="ListBullet"/>
      </w:pPr>
      <w:r>
        <w:t>Not Null - detects missing mandatory values.</w:t>
      </w:r>
    </w:p>
    <w:p>
      <w:pPr>
        <w:pStyle w:val="ListBullet"/>
      </w:pPr>
      <w:r>
        <w:t>Unique - detects duplicate key values.</w:t>
      </w:r>
    </w:p>
    <w:p>
      <w:pPr>
        <w:pStyle w:val="ListBullet"/>
      </w:pPr>
      <w:r>
        <w:t>Range - validates numeric boundaries.</w:t>
      </w:r>
    </w:p>
    <w:p>
      <w:pPr>
        <w:pStyle w:val="ListBullet"/>
      </w:pPr>
      <w:r>
        <w:t>Accepted Values - validates domain/enumeration values.</w:t>
      </w:r>
    </w:p>
    <w:p>
      <w:pPr>
        <w:pStyle w:val="ListBullet"/>
      </w:pPr>
      <w:r>
        <w:t>Row Count - checks expected dataset volume.</w:t>
      </w:r>
    </w:p>
    <w:p>
      <w:pPr>
        <w:pStyle w:val="ListBullet"/>
      </w:pPr>
      <w:r>
        <w:t>Freshness - checks whether timestamped data is recent enough.</w:t>
      </w:r>
    </w:p>
    <w:p>
      <w:pPr>
        <w:pStyle w:val="ListBullet"/>
      </w:pPr>
      <w:r>
        <w:t>Referential Integrity - verifies that foreign-key values exist in a reference dataset.</w:t>
      </w:r>
    </w:p>
    <w:p>
      <w:pPr>
        <w:pStyle w:val="Heading1"/>
      </w:pPr>
      <w:r>
        <w:t>7. Multiple Data Sources</w:t>
      </w:r>
    </w:p>
    <w:p>
      <w:r>
        <w:t>The sample implementation includes CSV and SQLAlchemy-based database connectors. Source-specific logic is isolated behind BaseConnector. A production implementation can add BigQuery, Snowflake, Spark/Databricks, cloud object storage, or API connectors without putting source-specific code inside the DQ engine.</w:t>
      </w:r>
    </w:p>
    <w:p>
      <w:pPr>
        <w:pStyle w:val="Heading1"/>
      </w:pPr>
      <w:r>
        <w:t>8. Extensibility Example</w:t>
      </w:r>
    </w:p>
    <w:p>
      <w:r>
        <w:t>If an email-format validation is required, a new EmailFormatRule can implement BaseRule and be registered with the rule factory. Existing rules, connectors, dataset configurations, and the engine do not need to be rewritten. The same principle applies to adding a new source connector.</w:t>
      </w:r>
    </w:p>
    <w:p>
      <w:pPr>
        <w:pStyle w:val="Heading1"/>
      </w:pPr>
      <w:r>
        <w:t>9. Scalability Strategy</w:t>
      </w:r>
    </w:p>
    <w:p>
      <w:pPr>
        <w:pStyle w:val="ListBullet"/>
      </w:pPr>
      <w:r>
        <w:t>Keep rules stateless and independently executable so they can be parallelized.</w:t>
      </w:r>
    </w:p>
    <w:p>
      <w:pPr>
        <w:pStyle w:val="ListBullet"/>
      </w:pPr>
      <w:r>
        <w:t>Push validation down to the source where appropriate instead of collecting large datasets into application memory.</w:t>
      </w:r>
    </w:p>
    <w:p>
      <w:pPr>
        <w:pStyle w:val="ListBullet"/>
      </w:pPr>
      <w:r>
        <w:t>For distributed data, implement the connector/rule interfaces with Spark or warehouse-native SQL.</w:t>
      </w:r>
    </w:p>
    <w:p>
      <w:pPr>
        <w:pStyle w:val="ListBullet"/>
      </w:pPr>
      <w:r>
        <w:t>Validate incrementally by partition/date for high-volume datasets.</w:t>
      </w:r>
    </w:p>
    <w:p>
      <w:pPr>
        <w:pStyle w:val="ListBullet"/>
      </w:pPr>
      <w:r>
        <w:t>Store metadata centrally and maintain historical DQ results for trend/SLA monitoring.</w:t>
      </w:r>
    </w:p>
    <w:p>
      <w:pPr>
        <w:pStyle w:val="ListBullet"/>
      </w:pPr>
      <w:r>
        <w:t>Use orchestration to run independent dataset validations concurrently and retry transient failures.</w:t>
      </w:r>
    </w:p>
    <w:p>
      <w:pPr>
        <w:pStyle w:val="Heading1"/>
      </w:pPr>
      <w:r>
        <w:t>10. Error Handling and Observability</w:t>
      </w:r>
    </w:p>
    <w:p>
      <w:r>
        <w:t>A failure in one rule is captured as a rule-level failure instead of terminating the entire validation run. Results include rule name, type, severity, status, failed count, and diagnostic details. In production, the reporter can be extended to persist execution IDs, timestamps, dataset versions, thresholds, rejected-row locations, and alerts.</w:t>
      </w:r>
    </w:p>
    <w:p>
      <w:pPr>
        <w:pStyle w:val="Heading1"/>
      </w:pPr>
      <w:r>
        <w:t>11. Testing</w:t>
      </w:r>
    </w:p>
    <w:p>
      <w:r>
        <w:t>Unit tests cover individual validation behavior. The repository includes tests for null, uniqueness, and range checks. The design supports additional connector tests, configuration validation tests, integration tests, and regression tests as the framework grows.</w:t>
      </w:r>
    </w:p>
    <w:p>
      <w:pPr>
        <w:pStyle w:val="Heading1"/>
      </w:pPr>
      <w:r>
        <w:t>12. Sample Execution</w:t>
      </w:r>
    </w:p>
    <w:p>
      <w:r>
        <w:rPr>
          <w:rFonts w:ascii="Consolas" w:hAnsi="Consolas"/>
          <w:sz w:val="18"/>
        </w:rPr>
        <w:t>pip install -r requirements.txt</w:t>
        <w:br/>
        <w:t>python main.py --config configs/customers.yaml</w:t>
        <w:br/>
        <w:t>python main.py --config configs/orders.yaml</w:t>
        <w:br/>
        <w:t>pytest -q</w:t>
      </w:r>
    </w:p>
    <w:p>
      <w:pPr>
        <w:pStyle w:val="Heading1"/>
      </w:pPr>
      <w:r>
        <w:t>13. Production Roadmap</w:t>
      </w:r>
    </w:p>
    <w:p>
      <w:r>
        <w:t>The submitted version intentionally keeps the runtime small and reviewable while preserving production-style separation of concerns. Natural next steps are schema validation, regex/custom SQL rules, severity-based quality gates, rule thresholds, rejected-record quarantine, centralized metadata/results storage, Spark or warehouse-native execution, alerting, orchestration, and a historical quality dashboard.</w:t>
      </w:r>
    </w:p>
    <w:p>
      <w:pPr>
        <w:pStyle w:val="Heading1"/>
      </w:pPr>
      <w:r>
        <w:t>14. Design Decision Summary</w:t>
      </w:r>
    </w:p>
    <w:p>
      <w:r>
        <w:t>The central design decision is to keep the engine stable and move variation to configuration and plug-in interfaces. Dataset growth is handled by metadata, source growth by connectors, rule growth by rule classes, and output growth by reporters. This directly addresses the requirement for a scalable, extendable framework without repeated changes to the existing core.</w:t>
      </w:r>
    </w:p>
    <w:p>
      <w:pPr>
        <w:pStyle w:val="Heading1"/>
      </w:pPr>
      <w:r>
        <w:t>Implemented Extensibility Demonstration</w:t>
      </w:r>
    </w:p>
    <w:p>
      <w:r>
        <w:t>A RegexRule plug-in was added using the existing BaseRule contract and registered in the rule factory. Customer YAML metadata now configures email validation. The core engine was not modified. Customer and order reports use separate JSON filenames.</w:t>
      </w:r>
    </w:p>
    <w:p>
      <w:r>
        <w:t>The sample includes an intentionally invalid email. Four unit tests pass, including the new regex test. The current implementation demonstrates local Pandas execution; distributed processing, warehouse pushdown, and enterprise-scale benchmarking remain proposed extensions.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