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653E" w14:textId="77777777" w:rsidR="00496ADD" w:rsidRDefault="00496ADD" w:rsidP="00BB5244">
      <w:pPr>
        <w:pStyle w:val="NoSpacing"/>
        <w:rPr>
          <w:rStyle w:val="IntenseEmphasis"/>
        </w:rPr>
      </w:pPr>
    </w:p>
    <w:p w14:paraId="41F863D4" w14:textId="765F633F" w:rsidR="008E6432" w:rsidRDefault="008E6432" w:rsidP="00BB5244">
      <w:pPr>
        <w:pStyle w:val="NoSpacing"/>
        <w:rPr>
          <w:rStyle w:val="IntenseEmphasis"/>
        </w:rPr>
      </w:pPr>
      <w:bookmarkStart w:id="0" w:name="_GoBack"/>
      <w:bookmarkEnd w:id="0"/>
      <w:r w:rsidRPr="00A73234">
        <w:rPr>
          <w:rStyle w:val="IntenseEmphasis"/>
        </w:rPr>
        <w:t>Golf Shooting Average</w:t>
      </w:r>
    </w:p>
    <w:p w14:paraId="49D7FE6B" w14:textId="5B637953" w:rsidR="00106393" w:rsidRPr="00A73234" w:rsidRDefault="00106393" w:rsidP="00BB5244">
      <w:pPr>
        <w:pStyle w:val="NoSpacing"/>
        <w:rPr>
          <w:rStyle w:val="IntenseEmphasis"/>
        </w:rPr>
      </w:pPr>
      <w:r>
        <w:rPr>
          <w:rStyle w:val="IntenseEmphasis"/>
        </w:rPr>
        <w:t>Chandra Kent</w:t>
      </w:r>
    </w:p>
    <w:p w14:paraId="61A56BC5" w14:textId="2D111B64" w:rsidR="008E6432" w:rsidRPr="00A73234" w:rsidRDefault="008E6432" w:rsidP="00BB5244">
      <w:pPr>
        <w:pStyle w:val="NoSpacing"/>
        <w:rPr>
          <w:rStyle w:val="IntenseEmphasis"/>
        </w:rPr>
      </w:pPr>
      <w:r w:rsidRPr="00A73234">
        <w:rPr>
          <w:rStyle w:val="IntenseEmphasis"/>
        </w:rPr>
        <w:t>Assignment 1</w:t>
      </w:r>
    </w:p>
    <w:p w14:paraId="3B31F610" w14:textId="77777777" w:rsidR="00A73234" w:rsidRPr="008E6432" w:rsidRDefault="00A73234" w:rsidP="008E6432">
      <w:pPr>
        <w:jc w:val="center"/>
        <w:rPr>
          <w:sz w:val="36"/>
          <w:szCs w:val="36"/>
        </w:rPr>
      </w:pPr>
    </w:p>
    <w:p w14:paraId="33021681" w14:textId="0AB0A957" w:rsidR="005507FF" w:rsidRDefault="00EF433F" w:rsidP="00A73234">
      <w:pPr>
        <w:jc w:val="center"/>
      </w:pPr>
      <w:r>
        <w:rPr>
          <w:noProof/>
        </w:rPr>
        <w:drawing>
          <wp:inline distT="0" distB="0" distL="0" distR="0" wp14:anchorId="39F89338" wp14:editId="4153D8A9">
            <wp:extent cx="5360724" cy="3042745"/>
            <wp:effectExtent l="0" t="0" r="1143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5D1C3D" w14:textId="77777777" w:rsidR="00A73234" w:rsidRDefault="00A73234" w:rsidP="00A73234">
      <w:pPr>
        <w:jc w:val="center"/>
      </w:pPr>
    </w:p>
    <w:p w14:paraId="5178DADC" w14:textId="2434AD7E" w:rsidR="008E6432" w:rsidRDefault="00A73234" w:rsidP="00A73234">
      <w:pPr>
        <w:jc w:val="center"/>
      </w:pPr>
      <w:r>
        <w:rPr>
          <w:noProof/>
        </w:rPr>
        <w:drawing>
          <wp:inline distT="0" distB="0" distL="0" distR="0" wp14:anchorId="13F07333" wp14:editId="79F4D73A">
            <wp:extent cx="5406325" cy="3200400"/>
            <wp:effectExtent l="0" t="0" r="444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1EA77" w14:textId="7F8CA946" w:rsidR="008E6432" w:rsidRDefault="008E6432"/>
    <w:p w14:paraId="2066D53D" w14:textId="12902109" w:rsidR="00441061" w:rsidRDefault="00D7634E" w:rsidP="00A73234">
      <w:pPr>
        <w:jc w:val="center"/>
      </w:pPr>
      <w:r>
        <w:rPr>
          <w:noProof/>
        </w:rPr>
        <w:lastRenderedPageBreak/>
        <w:drawing>
          <wp:inline distT="0" distB="0" distL="0" distR="0" wp14:anchorId="74AE8825" wp14:editId="4B3976A2">
            <wp:extent cx="5533697" cy="3499945"/>
            <wp:effectExtent l="0" t="0" r="1016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5002B4" w14:textId="77777777" w:rsidR="00D12933" w:rsidRDefault="00D12933" w:rsidP="00A73234">
      <w:pPr>
        <w:jc w:val="center"/>
      </w:pPr>
    </w:p>
    <w:p w14:paraId="2ACA4D21" w14:textId="4ECCCC1E" w:rsidR="00441061" w:rsidRDefault="00F14DAB" w:rsidP="00A73234">
      <w:pPr>
        <w:jc w:val="center"/>
      </w:pPr>
      <w:r>
        <w:rPr>
          <w:noProof/>
        </w:rPr>
        <w:drawing>
          <wp:inline distT="0" distB="0" distL="0" distR="0" wp14:anchorId="67C0D24B" wp14:editId="399E8CE6">
            <wp:extent cx="5565227" cy="3547241"/>
            <wp:effectExtent l="0" t="0" r="1651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BF6DEC" w14:textId="5F9CC965" w:rsidR="00D12933" w:rsidRDefault="00D12933" w:rsidP="00A73234">
      <w:pPr>
        <w:jc w:val="center"/>
      </w:pPr>
      <w:r>
        <w:rPr>
          <w:noProof/>
        </w:rPr>
        <w:lastRenderedPageBreak/>
        <w:drawing>
          <wp:inline distT="0" distB="0" distL="0" distR="0" wp14:anchorId="1CE72187" wp14:editId="34C43F38">
            <wp:extent cx="5817476" cy="3799490"/>
            <wp:effectExtent l="0" t="0" r="12065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F"/>
    <w:rsid w:val="00106393"/>
    <w:rsid w:val="00441061"/>
    <w:rsid w:val="00455834"/>
    <w:rsid w:val="00496ADD"/>
    <w:rsid w:val="005507FF"/>
    <w:rsid w:val="00606CA1"/>
    <w:rsid w:val="006261E2"/>
    <w:rsid w:val="008E6432"/>
    <w:rsid w:val="00A73234"/>
    <w:rsid w:val="00BB5244"/>
    <w:rsid w:val="00D12933"/>
    <w:rsid w:val="00D7634E"/>
    <w:rsid w:val="00D8674D"/>
    <w:rsid w:val="00EF0450"/>
    <w:rsid w:val="00EF433F"/>
    <w:rsid w:val="00F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F496"/>
  <w15:chartTrackingRefBased/>
  <w15:docId w15:val="{9BC0C08F-D5CB-42C6-BECF-C7D09373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7323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B5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1 Shooting</a:t>
            </a:r>
            <a:r>
              <a:rPr lang="en-US" baseline="0">
                <a:solidFill>
                  <a:schemeClr val="accent5">
                    <a:lumMod val="75000"/>
                  </a:schemeClr>
                </a:solidFill>
              </a:rPr>
              <a:t> Average</a:t>
            </a:r>
            <a:endParaRPr lang="en-US">
              <a:solidFill>
                <a:schemeClr val="accent5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C2-404B-B2D8-483EA627E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63C2-404B-B2D8-483EA627E25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3C2-404B-B2D8-483EA627E25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3C2-404B-B2D8-483EA627E254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3C2-404B-B2D8-483EA627E254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2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60-4516-842E-DBB70A04D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960-4516-842E-DBB70A04DEA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F960-4516-842E-DBB70A04DEA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960-4516-842E-DBB70A04DEAE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F960-4516-842E-DBB70A04DEAE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3 Shooting</a:t>
            </a:r>
            <a:r>
              <a:rPr lang="en-US" baseline="0">
                <a:solidFill>
                  <a:schemeClr val="accent5">
                    <a:lumMod val="75000"/>
                  </a:schemeClr>
                </a:solidFill>
              </a:rPr>
              <a:t> Average</a:t>
            </a:r>
            <a:endParaRPr lang="en-US">
              <a:solidFill>
                <a:schemeClr val="accent5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A7-4A90-B324-45DF7AECD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8FA7-4A90-B324-45DF7AECDCB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FA7-4A90-B324-45DF7AECDCB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FA7-4A90-B324-45DF7AECDCB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8FA7-4A90-B324-45DF7AECDCB6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4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19-4084-977B-667B86E7D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9919-4084-977B-667B86E7D89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919-4084-977B-667B86E7D89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9919-4084-977B-667B86E7D89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9919-4084-977B-667B86E7D892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5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9C-4736-B75E-C0172AF46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E29C-4736-B75E-C0172AF46E48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E29C-4736-B75E-C0172AF46E4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29C-4736-B75E-C0172AF46E4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E29C-4736-B75E-C0172AF46E48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2019-09-21T22:33:00Z</dcterms:created>
  <dcterms:modified xsi:type="dcterms:W3CDTF">2019-09-21T22:33:00Z</dcterms:modified>
</cp:coreProperties>
</file>