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before="0" w:after="140"/>
        <w:keepNext/>
      </w:pPr>
      <w:r>
        <w:rPr>
          <w:b/>
          <w:sz w:val="36"/>
          <w:color w:val="0D6273"/>
        </w:rPr>
        <w:t xml:space="preserve">Deploying Quality App Mobile to Another Environment</w:t>
      </w:r>
    </w:p>
    <w:p>
      <w:pPr>
        <w:spacing w:after="120"/>
      </w:pPr>
      <w:r>
        <w:rPr>
          <w:b/>
          <w:sz w:val="20"/>
        </w:rPr>
        <w:t xml:space="preserve">QM-DEP-001 · 2026-08-18</w:t>
      </w:r>
    </w:p>
    <w:p>
      <w:pPr>
        <w:spacing w:after="120"/>
      </w:pPr>
      <w:r>
        <w:rPr>
          <w:sz w:val="20"/>
        </w:rPr>
        <w:t xml:space="preserve">Covers </w:t>
      </w:r>
      <w:r>
        <w:rPr>
          <w:rFonts w:ascii="Consolas" w:hAnsi="Consolas"/>
          <w:sz w:val="18"/>
          <w:color w:val="B03A2E"/>
        </w:rPr>
        <w:t xml:space="preserve">QualityAPP_Mobile</w:t>
      </w:r>
      <w:r>
        <w:rPr>
          <w:sz w:val="20"/>
        </w:rPr>
        <w:t xml:space="preserve"> — the online phone app — and nothing else. The offline tablet app is</w:t>
      </w:r>
    </w:p>
    <w:p>
      <w:pPr>
        <w:spacing w:after="120"/>
      </w:pPr>
      <w:r>
        <w:rPr>
          <w:sz w:val="20"/>
        </w:rPr>
        <w:t xml:space="preserve">a separate solution and is deliberately out of scope here.</w:t>
      </w:r>
    </w:p>
    <w:p>
      <w:pPr>
        <w:spacing w:after="120"/>
      </w:pPr>
      <w:r>
        <w:rPr>
          <w:sz w:val="20"/>
        </w:rPr>
        <w:t xml:space="preserve">Everything below was read from the live </w:t>
      </w:r>
      <w:r>
        <w:rPr>
          <w:rFonts w:ascii="Consolas" w:hAnsi="Consolas"/>
          <w:sz w:val="18"/>
          <w:color w:val="B03A2E"/>
        </w:rPr>
        <w:t xml:space="preserve">cus-con-sandbox</w:t>
      </w:r>
      <w:r>
        <w:rPr>
          <w:sz w:val="20"/>
        </w:rPr>
        <w:t xml:space="preserve"> environment, not from memory.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1. What is being deployed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680"/>
        <w:gridCol w:w="4680"/>
      </w:tblGrid>
      <w:tr>
        <w:trPr>
          <w:tblHeader/>
        </w:trPr>
        <w:tc>
          <w:tcPr>
            <w:tcW w:w="2500" w:type="pct"/>
            <w:shd w:val="clear" w:fill="EAF0F1"/>
          </w:tcPr>
          <w:p>
            <w:pPr>
              <w:spacing w:before="40" w:after="40"/>
            </w:pPr>
          </w:p>
        </w:tc>
        <w:tc>
          <w:tcPr>
            <w:tcW w:w="2500" w:type="pct"/>
            <w:shd w:val="clear" w:fill="EAF0F1"/>
          </w:tcPr>
          <w:p>
            <w:pPr>
              <w:spacing w:before="40" w:after="40"/>
            </w:pP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Solution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QualityAPP_Mobile</w:t>
            </w:r>
            <w:r>
              <w:rPr>
                <w:sz w:val="18"/>
              </w:rPr>
              <w:t xml:space="preserve"> ("Quality App Mobile")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Version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0.1.14.0, </w:t>
            </w:r>
            <w:r>
              <w:rPr>
                <w:b/>
                <w:sz w:val="18"/>
              </w:rPr>
              <w:t xml:space="preserve">unmanaged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Publisher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ColumbusGlobal</w:t>
            </w:r>
            <w:r>
              <w:rPr>
                <w:sz w:val="18"/>
              </w:rPr>
              <w:t xml:space="preserve">, prefix </w:t>
            </w:r>
            <w:r>
              <w:rPr>
                <w:rFonts w:ascii="Consolas" w:hAnsi="Consolas"/>
                <w:sz w:val="18"/>
                <w:color w:val="B03A2E"/>
              </w:rPr>
              <w:t xml:space="preserve">cog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Contents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1 canvas app + 5 virtual-entity references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Canvas app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cog_qualityappmobile_33e3d</w:t>
            </w:r>
            <w:r>
              <w:rPr>
                <w:sz w:val="18"/>
              </w:rPr>
              <w:t xml:space="preserve">, phone layout 640 x 1136 portrait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Screens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MobOrders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  <w:color w:val="B03A2E"/>
              </w:rPr>
              <w:t xml:space="preserve">MobResults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  <w:color w:val="B03A2E"/>
              </w:rPr>
              <w:t xml:space="preserve">MobPhoto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</w:rPr>
        <w:t xml:space="preserve">**There are no Dataverse tables, no Power Automate flows, no connection references and no</w:t>
      </w:r>
    </w:p>
    <w:p>
      <w:pPr>
        <w:spacing w:after="120"/>
      </w:pPr>
      <w:r>
        <w:rPr>
          <w:sz w:val="20"/>
        </w:rPr>
        <w:t xml:space="preserve">custom security roles.** The app is online-only and talks to F&amp;O directly, so there is no</w:t>
      </w:r>
    </w:p>
    <w:p>
      <w:pPr>
        <w:spacing w:after="120"/>
      </w:pPr>
      <w:r>
        <w:rPr>
          <w:sz w:val="20"/>
        </w:rPr>
        <w:t xml:space="preserve">cache, outbox or sync machinery to move. That makes this a genuinely small deployment.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2. F&amp;O entities used — the complete list</w:t>
      </w:r>
    </w:p>
    <w:p>
      <w:pPr>
        <w:spacing w:after="120"/>
      </w:pPr>
      <w:r>
        <w:rPr>
          <w:sz w:val="20"/>
        </w:rPr>
        <w:t xml:space="preserve">Six F&amp;O data entities, surfaced as Dataverse virtual tables by the **Finance and Operations</w:t>
      </w:r>
    </w:p>
    <w:p>
      <w:pPr>
        <w:spacing w:after="120"/>
      </w:pPr>
      <w:r>
        <w:rPr>
          <w:sz w:val="20"/>
        </w:rPr>
        <w:t xml:space="preserve">virtual entity provider** (</w:t>
      </w:r>
      <w:r>
        <w:rPr>
          <w:rFonts w:ascii="Consolas" w:hAnsi="Consolas"/>
          <w:sz w:val="18"/>
          <w:color w:val="B03A2E"/>
        </w:rPr>
        <w:t xml:space="preserve">DataProviderId 2ac667f5-31d6-e911-a95e-000d3a110bbd</w:t>
      </w:r>
      <w:r>
        <w:rPr>
          <w:sz w:val="20"/>
        </w:rPr>
        <w:t xml:space="preserve">).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0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w="10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F&amp;O entity</w:t>
            </w:r>
          </w:p>
        </w:tc>
        <w:tc>
          <w:tcPr>
            <w:tcW w:w="10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Dataverse logical name</w:t>
            </w:r>
          </w:p>
        </w:tc>
        <w:tc>
          <w:tcPr>
            <w:tcW w:w="10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Used for</w:t>
            </w:r>
          </w:p>
        </w:tc>
        <w:tc>
          <w:tcPr>
            <w:tcW w:w="10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R/W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InventQualityOrderHeaderEntity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mserp_inventqualityorderheaderentity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 order list and its status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read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PowerAppInventQOLineEntity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mserp_powerappinventqolineentity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tolerances, unit, test variable id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read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InventQualityOrderLineResultEntity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mserp_inventqualityorderlineresultentity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 test worklist </w:t>
            </w:r>
            <w:r>
              <w:rPr>
                <w:b/>
                <w:sz w:val="18"/>
              </w:rPr>
              <w:t xml:space="preserve">and the result write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read + write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PowerAppsInventTestVariableOutcomeEntity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mserp_powerappsinventtestvariableoutcomeentity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 allowed outcomes for option tests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read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PowerAppFileSavingEntity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mserp_powerappfilesavingentity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photo attachments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write</w:t>
            </w:r>
          </w:p>
        </w:tc>
      </w:tr>
      <w:tr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InventQualityOrderLineEntityPowerApp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mserp_inventqualityorderlineentitypowerapp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nothing — see the warning below</w:t>
            </w:r>
          </w:p>
        </w:tc>
        <w:tc>
          <w:tcPr>
            <w:tcW w:w="10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bound but unused</w:t>
            </w:r>
          </w:p>
        </w:tc>
      </w:tr>
    </w:tbl>
    <w:p>
      <w:pPr>
        <w:spacing w:after="120"/>
      </w:pP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Fields actually written</w:t>
      </w:r>
    </w:p>
    <w:p>
      <w:pPr>
        <w:spacing w:after="120"/>
      </w:pPr>
      <w:r>
        <w:rPr>
          <w:sz w:val="20"/>
        </w:rPr>
        <w:t xml:space="preserve">Only two entities are written to.</w:t>
      </w:r>
    </w:p>
    <w:p>
      <w:pPr>
        <w:spacing w:after="120"/>
      </w:pPr>
      <w:r>
        <w:rPr>
          <w:b/>
          <w:sz w:val="20"/>
        </w:rPr>
        <w:t xml:space="preserve">`InventQualityOrderLineResultEntity`</w:t>
      </w:r>
      <w:r>
        <w:rPr>
          <w:sz w:val="20"/>
        </w:rPr>
        <w:t xml:space="preserve"> — one field per save, on an existing row: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680"/>
        <w:gridCol w:w="4680"/>
      </w:tblGrid>
      <w:tr>
        <w:trPr>
          <w:tblHeader/>
        </w:trPr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When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mserp_resultvalue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numeric test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mserp_qualitytestvariableoutcomeid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option test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</w:rPr>
        <w:t xml:space="preserve">F&amp;O recalculates </w:t>
      </w:r>
      <w:r>
        <w:rPr>
          <w:rFonts w:ascii="Consolas" w:hAnsi="Consolas"/>
          <w:sz w:val="18"/>
          <w:color w:val="B03A2E"/>
        </w:rPr>
        <w:t xml:space="preserve">mserp_testresult</w:t>
      </w:r>
      <w:r>
        <w:rPr>
          <w:sz w:val="20"/>
        </w:rPr>
        <w:t xml:space="preserve"> (pass/fail) itself. The app never computes a verdict.</w:t>
      </w:r>
    </w:p>
    <w:p>
      <w:pPr>
        <w:spacing w:after="120"/>
      </w:pPr>
      <w:r>
        <w:rPr>
          <w:b/>
          <w:sz w:val="20"/>
        </w:rPr>
        <w:t xml:space="preserve">`PowerAppFileSavingEntity`</w:t>
      </w:r>
      <w:r>
        <w:rPr>
          <w:sz w:val="20"/>
        </w:rPr>
        <w:t xml:space="preserve"> — one new row per photo: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680"/>
        <w:gridCol w:w="4680"/>
      </w:tblGrid>
      <w:tr>
        <w:trPr>
          <w:tblHeader/>
        </w:trPr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Field</w:t>
            </w:r>
          </w:p>
        </w:tc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mserp_tablerefid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"0000"</w:t>
            </w:r>
            <w:r>
              <w:rPr>
                <w:sz w:val="18"/>
              </w:rPr>
              <w:t xml:space="preserve"> (literal; F&amp;O ignores it)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mserp_displayordernumber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quality order number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mserp_testid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  <w:color w:val="B03A2E"/>
              </w:rPr>
              <w:t xml:space="preserve">mserp_testsequence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  <w:color w:val="B03A2E"/>
              </w:rPr>
              <w:t xml:space="preserve">mserp_linenum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 test line — </w:t>
            </w:r>
            <w:r>
              <w:rPr>
                <w:b/>
                <w:sz w:val="18"/>
              </w:rPr>
              <w:t xml:space="preserve">mandatory</w:t>
            </w:r>
            <w:r>
              <w:rPr>
                <w:sz w:val="18"/>
              </w:rPr>
              <w:t xml:space="preserve">, see §7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mserp_filename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generated, e.g. </w:t>
            </w:r>
            <w:r>
              <w:rPr>
                <w:rFonts w:ascii="Consolas" w:hAnsi="Consolas"/>
                <w:sz w:val="18"/>
                <w:color w:val="B03A2E"/>
              </w:rPr>
              <w:t xml:space="preserve">QO000219-185024.jpg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mserp_formname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`"Quality"`</w:t>
            </w:r>
            <w:r>
              <w:rPr>
                <w:sz w:val="18"/>
              </w:rPr>
              <w:t xml:space="preserve"> — exact value required, see §7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mserp_imagevarchar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data:image/jpeg;base64,...</w:t>
            </w:r>
            <w:r>
              <w:rPr>
                <w:sz w:val="18"/>
              </w:rPr>
              <w:t xml:space="preserve">, max 1,048,576 chars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rFonts w:ascii="Consolas" w:hAnsi="Consolas"/>
                <w:sz w:val="18"/>
                <w:color w:val="B03A2E"/>
              </w:rPr>
              <w:t xml:space="preserve">mserp_dataareaid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company</w:t>
            </w:r>
          </w:p>
        </w:tc>
      </w:tr>
    </w:tbl>
    <w:p>
      <w:pPr>
        <w:spacing w:after="120"/>
      </w:pP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Entity 6 is a trap, not a dependency</w:t>
      </w:r>
    </w:p>
    <w:p>
      <w:pPr>
        <w:spacing w:after="120"/>
      </w:pPr>
      <w:r>
        <w:rPr>
          <w:rFonts w:ascii="Consolas" w:hAnsi="Consolas"/>
          <w:sz w:val="18"/>
          <w:color w:val="B03A2E"/>
        </w:rPr>
        <w:t xml:space="preserve">InventQualityOrderLineEntityPowerApp</w:t>
      </w:r>
      <w:r>
        <w:rPr>
          <w:sz w:val="20"/>
        </w:rPr>
        <w:t xml:space="preserve"> and </w:t>
      </w:r>
      <w:r>
        <w:rPr>
          <w:rFonts w:ascii="Consolas" w:hAnsi="Consolas"/>
          <w:sz w:val="18"/>
          <w:color w:val="B03A2E"/>
        </w:rPr>
        <w:t xml:space="preserve">PowerAppInventQOLineEntity</w:t>
      </w:r>
      <w:r>
        <w:rPr>
          <w:sz w:val="20"/>
        </w:rPr>
        <w:t xml:space="preserve"> **share the identical</w:t>
      </w:r>
    </w:p>
    <w:p>
      <w:pPr>
        <w:spacing w:after="120"/>
      </w:pPr>
      <w:r>
        <w:rPr>
          <w:sz w:val="20"/>
        </w:rPr>
        <w:t xml:space="preserve">display name "Quality order lines (mserp)"** in the Studio data source picker. Nothing</w:t>
      </w:r>
    </w:p>
    <w:p>
      <w:pPr>
        <w:spacing w:after="120"/>
      </w:pPr>
      <w:r>
        <w:rPr>
          <w:sz w:val="20"/>
        </w:rPr>
        <w:t xml:space="preserve">distinguishes them. Entity 6 covers only a fraction of orders (60 rows vs 154 in this</w:t>
      </w:r>
    </w:p>
    <w:p>
      <w:pPr>
        <w:spacing w:after="120"/>
      </w:pPr>
      <w:r>
        <w:rPr>
          <w:sz w:val="20"/>
        </w:rPr>
        <w:t xml:space="preserve">environment) and was bound by accident; entity 2 is the one the screens use, bound as</w:t>
      </w:r>
    </w:p>
    <w:p>
      <w:pPr>
        <w:spacing w:after="120"/>
      </w:pPr>
      <w:r>
        <w:rPr>
          <w:rFonts w:ascii="Consolas" w:hAnsi="Consolas"/>
          <w:sz w:val="18"/>
          <w:color w:val="B03A2E"/>
        </w:rPr>
        <w:t xml:space="preserve">Quality order lines (mserp)_1</w:t>
      </w:r>
      <w:r>
        <w:rPr>
          <w:sz w:val="20"/>
        </w:rPr>
        <w:t xml:space="preserve">.</w:t>
      </w:r>
    </w:p>
    <w:p>
      <w:pPr>
        <w:spacing w:after="120"/>
      </w:pPr>
      <w:r>
        <w:rPr>
          <w:sz w:val="20"/>
        </w:rPr>
        <w:t xml:space="preserve">Entity 6 is still bound in the app and must exist in the target, or the app will show an</w:t>
      </w:r>
    </w:p>
    <w:p>
      <w:pPr>
        <w:spacing w:after="120"/>
      </w:pPr>
      <w:r>
        <w:rPr>
          <w:sz w:val="20"/>
        </w:rPr>
        <w:t xml:space="preserve">unresolved data source. Do not "tidy" it away without re-testing.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3. Prerequisites in the target environment</w:t>
      </w:r>
    </w:p>
    <w:p>
      <w:pPr>
        <w:spacing w:after="120"/>
      </w:pPr>
      <w:r>
        <w:rPr>
          <w:sz w:val="20"/>
        </w:rPr>
        <w:t xml:space="preserve">1. </w:t>
      </w:r>
      <w:r>
        <w:rPr>
          <w:b/>
          <w:sz w:val="20"/>
        </w:rPr>
        <w:t xml:space="preserve">Dataverse environment linked to an F&amp;O environment</w:t>
      </w:r>
      <w:r>
        <w:rPr>
          <w:sz w:val="20"/>
        </w:rPr>
        <w:t xml:space="preserve"> with the virtual entity provider</w:t>
      </w:r>
    </w:p>
    <w:p>
      <w:pPr>
        <w:spacing w:after="120"/>
      </w:pPr>
      <w:r>
        <w:rPr>
          <w:sz w:val="20"/>
        </w:rPr>
        <w:t xml:space="preserve">configured. Without it none of the </w:t>
      </w:r>
      <w:r>
        <w:rPr>
          <w:rFonts w:ascii="Consolas" w:hAnsi="Consolas"/>
          <w:sz w:val="18"/>
          <w:color w:val="B03A2E"/>
        </w:rPr>
        <w:t xml:space="preserve">mserp_</w:t>
      </w:r>
      <w:r>
        <w:rPr>
          <w:sz w:val="20"/>
        </w:rPr>
        <w:t xml:space="preserve"> tables exist and nothing below will work.</w:t>
      </w:r>
    </w:p>
    <w:p>
      <w:pPr>
        <w:spacing w:after="120"/>
      </w:pPr>
      <w:r>
        <w:rPr>
          <w:sz w:val="20"/>
        </w:rPr>
        <w:t xml:space="preserve">2. </w:t>
      </w:r>
      <w:r>
        <w:rPr>
          <w:b/>
          <w:sz w:val="20"/>
        </w:rPr>
        <w:t xml:space="preserve">The six entities generated as virtual tables.</w:t>
      </w:r>
      <w:r>
        <w:rPr>
          <w:sz w:val="20"/>
        </w:rPr>
        <w:t xml:space="preserve"> They are not generated by default. See §4.</w:t>
      </w:r>
    </w:p>
    <w:p>
      <w:pPr>
        <w:spacing w:after="120"/>
      </w:pPr>
      <w:r>
        <w:rPr>
          <w:sz w:val="20"/>
        </w:rPr>
        <w:t xml:space="preserve">3. </w:t>
      </w:r>
      <w:r>
        <w:rPr>
          <w:b/>
          <w:sz w:val="20"/>
        </w:rPr>
        <w:t xml:space="preserve">F&amp;O quality management configured</w:t>
      </w:r>
      <w:r>
        <w:rPr>
          <w:sz w:val="20"/>
        </w:rPr>
        <w:t xml:space="preserve"> — test groups, tests, and variable outcomes for any</w:t>
      </w:r>
    </w:p>
    <w:p>
      <w:pPr>
        <w:spacing w:after="120"/>
      </w:pPr>
      <w:r>
        <w:rPr>
          <w:sz w:val="20"/>
        </w:rPr>
        <w:t xml:space="preserve">option tests. An order with no outcomes configured shows every test as numeric.</w:t>
      </w:r>
    </w:p>
    <w:p>
      <w:pPr>
        <w:spacing w:after="120"/>
      </w:pPr>
      <w:r>
        <w:rPr>
          <w:sz w:val="20"/>
        </w:rPr>
        <w:t xml:space="preserve">4. </w:t>
      </w:r>
      <w:r>
        <w:rPr>
          <w:b/>
          <w:sz w:val="20"/>
        </w:rPr>
        <w:t xml:space="preserve">Licensing</w:t>
      </w:r>
      <w:r>
        <w:rPr>
          <w:sz w:val="20"/>
        </w:rPr>
        <w:t xml:space="preserve"> for Power Apps and F&amp;O for each inspector.</w:t>
      </w:r>
    </w:p>
    <w:p>
      <w:pPr>
        <w:spacing w:after="120"/>
      </w:pPr>
      <w:r>
        <w:rPr>
          <w:sz w:val="20"/>
        </w:rPr>
        <w:t xml:space="preserve">5. Deploying user needs System Customizer or System Administrator in the target Dataverse.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4. Generate the virtual entities (do this FIRST)</w:t>
      </w:r>
    </w:p>
    <w:p>
      <w:pPr>
        <w:spacing w:after="120"/>
      </w:pPr>
      <w:r>
        <w:rPr>
          <w:sz w:val="20"/>
        </w:rPr>
        <w:t xml:space="preserve">Solution import will not create them. In the target environment, for each of the six entities,</w:t>
      </w:r>
    </w:p>
    <w:p>
      <w:pPr>
        <w:spacing w:after="120"/>
      </w:pPr>
      <w:r>
        <w:rPr>
          <w:sz w:val="20"/>
        </w:rPr>
        <w:t xml:space="preserve">set </w:t>
      </w:r>
      <w:r>
        <w:rPr>
          <w:rFonts w:ascii="Consolas" w:hAnsi="Consolas"/>
          <w:sz w:val="18"/>
          <w:color w:val="B03A2E"/>
        </w:rPr>
        <w:t xml:space="preserve">mserp_hasbeengenerated = true</w:t>
      </w:r>
      <w:r>
        <w:rPr>
          <w:sz w:val="20"/>
        </w:rPr>
        <w:t xml:space="preserve"> on its catalogue row: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GET   mserp_financeandoperationsentities?$select=mserp_physicalname,mserp_hasbeengenerated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        &amp;$filter=mserp_physicalname eq 'InventQualityOrderHeaderEntity'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PATCH mserp_financeandoperationsentities(&lt;id&gt;)   { "mserp_hasbeengenerated": true }</w:t>
      </w:r>
    </w:p>
    <w:p>
      <w:pPr>
        <w:spacing w:after="120"/>
      </w:pPr>
      <w:r>
        <w:rPr>
          <w:sz w:val="20"/>
        </w:rPr>
        <w:t xml:space="preserve">Generate all six: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InventQualityOrderHeaderEntity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PowerAppInventQOLineEntity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InventQualityOrderLineResultEntity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PowerAppsInventTestVariableOutcomeEntity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PowerAppFileSavingEntity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InventQualityOrderLineEntityPowerApp</w:t>
      </w:r>
    </w:p>
    <w:p>
      <w:pPr>
        <w:spacing w:after="120"/>
      </w:pPr>
      <w:r>
        <w:rPr>
          <w:rFonts w:ascii="Consolas" w:hAnsi="Consolas"/>
          <w:sz w:val="18"/>
          <w:color w:val="B03A2E"/>
        </w:rPr>
        <w:t xml:space="preserve">tools\Invoke-EntityGeneration.ps1</w:t>
      </w:r>
      <w:r>
        <w:rPr>
          <w:sz w:val="20"/>
        </w:rPr>
        <w:t xml:space="preserve"> does this in batches; edit </w:t>
      </w:r>
      <w:r>
        <w:rPr>
          <w:rFonts w:ascii="Consolas" w:hAnsi="Consolas"/>
          <w:sz w:val="18"/>
          <w:color w:val="B03A2E"/>
        </w:rPr>
        <w:t xml:space="preserve">tools\entity-targets.ps1</w:t>
      </w:r>
      <w:r>
        <w:rPr>
          <w:sz w:val="20"/>
        </w:rPr>
        <w:t xml:space="preserve"> down</w:t>
      </w:r>
    </w:p>
    <w:p>
      <w:pPr>
        <w:spacing w:after="120"/>
      </w:pPr>
      <w:r>
        <w:rPr>
          <w:sz w:val="20"/>
        </w:rPr>
        <w:t xml:space="preserve">to these six. Generation is </w:t>
      </w:r>
      <w:r>
        <w:rPr>
          <w:b/>
          <w:sz w:val="20"/>
        </w:rPr>
        <w:t xml:space="preserve">asynchronous and slow — roughly 2-3 minutes per entity</w:t>
      </w:r>
      <w:r>
        <w:rPr>
          <w:sz w:val="20"/>
        </w:rPr>
        <w:t xml:space="preserve">. Verify</w:t>
      </w:r>
    </w:p>
    <w:p>
      <w:pPr>
        <w:spacing w:after="120"/>
      </w:pPr>
      <w:r>
        <w:rPr>
          <w:sz w:val="20"/>
        </w:rPr>
        <w:t xml:space="preserve">each table answers before continuing: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GET mserp_inventqualityorderheaderentities?$top=1</w:t>
      </w:r>
    </w:p>
    <w:p>
      <w:pPr>
        <w:spacing w:after="120"/>
      </w:pPr>
      <w:r>
        <w:rPr>
          <w:sz w:val="20"/>
        </w:rPr>
        <w:t xml:space="preserve">Change tracking is </w:t>
      </w:r>
      <w:r>
        <w:rPr>
          <w:b/>
          <w:sz w:val="20"/>
        </w:rPr>
        <w:t xml:space="preserve">off</w:t>
      </w:r>
      <w:r>
        <w:rPr>
          <w:sz w:val="20"/>
        </w:rPr>
        <w:t xml:space="preserve"> for all six here and is not required.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5. Deploy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# from the source environment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pac solution export --name QualityAPP_Mobile --path QualityAPP_Mobile.zip --managed false --overwrite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 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# against the target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pac org select --environment https://&lt;target&gt;.crm.dynamics.com/</w:t>
      </w:r>
    </w:p>
    <w:p>
      <w:pPr>
        <w:shd w:val="clear" w:fill="F4F6F7"/>
        <w:spacing w:before="80" w:after="80"/>
        <w:ind w:left="220"/>
        <w:pBdr>
          <w:left w:val="single" w:sz="18" w:space="6" w:color="0D6273"/>
        </w:pBdr>
      </w:pPr>
      <w:r>
        <w:rPr>
          <w:rFonts w:ascii="Consolas" w:hAnsi="Consolas"/>
          <w:sz w:val="17"/>
        </w:rPr>
        <w:t xml:space="preserve">pac solution import --path QualityAPP_Mobile.zip --force-overwrite --publish-changes</w:t>
      </w:r>
    </w:p>
    <w:p>
      <w:pPr>
        <w:spacing w:after="120"/>
      </w:pPr>
      <w:r>
        <w:rPr>
          <w:sz w:val="20"/>
        </w:rPr>
        <w:t xml:space="preserve">For a controlled release export </w:t>
      </w:r>
      <w:r>
        <w:rPr>
          <w:rFonts w:ascii="Consolas" w:hAnsi="Consolas"/>
          <w:sz w:val="18"/>
          <w:color w:val="B03A2E"/>
        </w:rPr>
        <w:t xml:space="preserve">--managed true</w:t>
      </w:r>
      <w:r>
        <w:rPr>
          <w:sz w:val="20"/>
        </w:rPr>
        <w:t xml:space="preserve"> instead and import the managed build; the app</w:t>
      </w:r>
    </w:p>
    <w:p>
      <w:pPr>
        <w:spacing w:after="120"/>
      </w:pPr>
      <w:r>
        <w:rPr>
          <w:sz w:val="20"/>
        </w:rPr>
        <w:t xml:space="preserve">is then not editable in the target, which is usually what you want for production.</w:t>
      </w:r>
    </w:p>
    <w:p>
      <w:pPr>
        <w:spacing w:after="120"/>
      </w:pPr>
      <w:r>
        <w:rPr>
          <w:rFonts w:ascii="Consolas" w:hAnsi="Consolas"/>
          <w:sz w:val="18"/>
          <w:color w:val="B03A2E"/>
        </w:rPr>
        <w:t xml:space="preserve">tools\Publish-CanvasApp.ps1 -SolutionName QualityAPP_Mobile</w:t>
      </w:r>
      <w:r>
        <w:rPr>
          <w:sz w:val="20"/>
        </w:rPr>
        <w:t xml:space="preserve"> is the developer inner loop, not a</w:t>
      </w:r>
    </w:p>
    <w:p>
      <w:pPr>
        <w:spacing w:after="120"/>
      </w:pPr>
      <w:r>
        <w:rPr>
          <w:sz w:val="20"/>
        </w:rPr>
        <w:t xml:space="preserve">deployment tool. It swaps the canvas payload inside a freshly exported solution and re-imports.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6. After import — the step that is easy to miss</w:t>
      </w:r>
    </w:p>
    <w:p>
      <w:pPr>
        <w:spacing w:after="120"/>
      </w:pPr>
      <w:r>
        <w:rPr>
          <w:b/>
          <w:sz w:val="20"/>
        </w:rPr>
        <w:t xml:space="preserve">Open the app in Power Apps Studio in the target and confirm the six data sources resolve.</w:t>
      </w:r>
    </w:p>
    <w:p>
      <w:pPr>
        <w:spacing w:after="120"/>
      </w:pPr>
      <w:r>
        <w:rPr>
          <w:sz w:val="20"/>
        </w:rPr>
        <w:t xml:space="preserve">Canvas data sources are bound by table logical name. If an entity was not generated in §4, the</w:t>
      </w:r>
    </w:p>
    <w:p>
      <w:pPr>
        <w:spacing w:after="120"/>
      </w:pPr>
      <w:r>
        <w:rPr>
          <w:sz w:val="20"/>
        </w:rPr>
        <w:t xml:space="preserve">data source will not resolve and every formula using it fails — quietly, in the sense that the</w:t>
      </w:r>
    </w:p>
    <w:p>
      <w:pPr>
        <w:spacing w:after="120"/>
      </w:pPr>
      <w:r>
        <w:rPr>
          <w:sz w:val="20"/>
        </w:rPr>
        <w:t xml:space="preserve">app still opens and the affected galleries are simply empty.</w:t>
      </w:r>
    </w:p>
    <w:p>
      <w:pPr>
        <w:spacing w:after="120"/>
      </w:pPr>
      <w:r>
        <w:rPr>
          <w:sz w:val="20"/>
        </w:rPr>
        <w:t xml:space="preserve">If a data source needs re-adding, remember §2: **two tables share the display name "Quality</w:t>
      </w:r>
    </w:p>
    <w:p>
      <w:pPr>
        <w:spacing w:after="120"/>
      </w:pPr>
      <w:r>
        <w:rPr>
          <w:sz w:val="20"/>
        </w:rPr>
        <w:t xml:space="preserve">order lines (mserp)"**. The one the app needs is </w:t>
      </w:r>
      <w:r>
        <w:rPr>
          <w:rFonts w:ascii="Consolas" w:hAnsi="Consolas"/>
          <w:sz w:val="18"/>
          <w:color w:val="B03A2E"/>
        </w:rPr>
        <w:t xml:space="preserve">mserp_powerappinventqolineentity</w:t>
      </w:r>
      <w:r>
        <w:rPr>
          <w:sz w:val="20"/>
        </w:rPr>
        <w:t xml:space="preserve">. The picker</w:t>
      </w:r>
    </w:p>
    <w:p>
      <w:pPr>
        <w:spacing w:after="120"/>
      </w:pPr>
      <w:r>
        <w:rPr>
          <w:sz w:val="20"/>
        </w:rPr>
        <w:t xml:space="preserve">cannot tell them apart, so add the one that is *not* already present and confirm afterwards by</w:t>
      </w:r>
    </w:p>
    <w:p>
      <w:pPr>
        <w:spacing w:after="120"/>
      </w:pPr>
      <w:r>
        <w:rPr>
          <w:sz w:val="20"/>
        </w:rPr>
        <w:t xml:space="preserve">exporting and reading </w:t>
      </w:r>
      <w:r>
        <w:rPr>
          <w:rFonts w:ascii="Consolas" w:hAnsi="Consolas"/>
          <w:sz w:val="18"/>
          <w:color w:val="B03A2E"/>
        </w:rPr>
        <w:t xml:space="preserve">References/DataSources.json</w:t>
      </w:r>
      <w:r>
        <w:rPr>
          <w:sz w:val="20"/>
        </w:rPr>
        <w:t xml:space="preserve"> inside the </w:t>
      </w:r>
      <w:r>
        <w:rPr>
          <w:rFonts w:ascii="Consolas" w:hAnsi="Consolas"/>
          <w:sz w:val="18"/>
          <w:color w:val="B03A2E"/>
        </w:rPr>
        <w:t xml:space="preserve">.msapr</w:t>
      </w:r>
      <w:r>
        <w:rPr>
          <w:sz w:val="20"/>
        </w:rPr>
        <w:t xml:space="preserve">.</w:t>
      </w:r>
    </w:p>
    <w:p>
      <w:pPr>
        <w:spacing w:after="120"/>
      </w:pPr>
      <w:r>
        <w:rPr>
          <w:sz w:val="20"/>
        </w:rPr>
        <w:t xml:space="preserve">Then share the app with the inspector security group.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7. Two F&amp;O behaviours that will bite in a new environment</w:t>
      </w:r>
    </w:p>
    <w:p>
      <w:pPr>
        <w:spacing w:after="120"/>
      </w:pPr>
      <w:r>
        <w:rPr>
          <w:sz w:val="20"/>
        </w:rPr>
        <w:t xml:space="preserve">Both were found by controlled probe and neither is documented.</w:t>
      </w:r>
    </w:p>
    <w:p>
      <w:pPr>
        <w:spacing w:after="120"/>
      </w:pPr>
      <w:r>
        <w:rPr>
          <w:b/>
          <w:sz w:val="20"/>
        </w:rPr>
        <w:t xml:space="preserve">Photos need a test line.</w:t>
      </w:r>
      <w:r>
        <w:rPr>
          <w:sz w:val="20"/>
        </w:rPr>
        <w:t xml:space="preserve"> A </w:t>
      </w:r>
      <w:r>
        <w:rPr>
          <w:rFonts w:ascii="Consolas" w:hAnsi="Consolas"/>
          <w:sz w:val="18"/>
          <w:color w:val="B03A2E"/>
        </w:rPr>
        <w:t xml:space="preserve">PowerAppFileSavingEntity</w:t>
      </w:r>
      <w:r>
        <w:rPr>
          <w:sz w:val="20"/>
        </w:rPr>
        <w:t xml:space="preserve"> row without </w:t>
      </w:r>
      <w:r>
        <w:rPr>
          <w:rFonts w:ascii="Consolas" w:hAnsi="Consolas"/>
          <w:sz w:val="18"/>
          <w:color w:val="B03A2E"/>
        </w:rPr>
        <w:t xml:space="preserve">TestId</w:t>
      </w:r>
      <w:r>
        <w:rPr>
          <w:sz w:val="20"/>
        </w:rPr>
        <w:t xml:space="preserve"> + </w:t>
      </w:r>
      <w:r>
        <w:rPr>
          <w:rFonts w:ascii="Consolas" w:hAnsi="Consolas"/>
          <w:sz w:val="18"/>
          <w:color w:val="B03A2E"/>
        </w:rPr>
        <w:t xml:space="preserve">TestSequence</w:t>
      </w:r>
    </w:p>
    <w:p>
      <w:pPr>
        <w:spacing w:after="120"/>
      </w:pPr>
      <w:r>
        <w:rPr>
          <w:sz w:val="20"/>
        </w:rPr>
        <w:t xml:space="preserve">+ </w:t>
      </w:r>
      <w:r>
        <w:rPr>
          <w:rFonts w:ascii="Consolas" w:hAnsi="Consolas"/>
          <w:sz w:val="18"/>
          <w:color w:val="B03A2E"/>
        </w:rPr>
        <w:t xml:space="preserve">LineNum</w:t>
      </w:r>
      <w:r>
        <w:rPr>
          <w:sz w:val="20"/>
        </w:rPr>
        <w:t xml:space="preserve"> is never processed by F&amp;O. It sits in the staging entity indefinitely and no</w:t>
      </w:r>
    </w:p>
    <w:p>
      <w:pPr>
        <w:spacing w:after="120"/>
      </w:pPr>
      <w:r>
        <w:rPr>
          <w:sz w:val="20"/>
        </w:rPr>
        <w:t xml:space="preserve">attachment appears. The app enforces this by requiring a selected test.</w:t>
      </w:r>
    </w:p>
    <w:p>
      <w:pPr>
        <w:spacing w:after="120"/>
      </w:pPr>
      <w:r>
        <w:rPr>
          <w:b/>
          <w:sz w:val="20"/>
        </w:rPr>
        <w:t xml:space="preserve">`FormName` must be exactly `"Quality"`.</w:t>
      </w:r>
      <w:r>
        <w:rPr>
          <w:sz w:val="20"/>
        </w:rPr>
        <w:t xml:space="preserve"> With any other value — </w:t>
      </w:r>
      <w:r>
        <w:rPr>
          <w:rFonts w:ascii="Consolas" w:hAnsi="Consolas"/>
          <w:sz w:val="18"/>
          <w:color w:val="B03A2E"/>
        </w:rPr>
        <w:t xml:space="preserve">InventQualityOrder</w:t>
      </w:r>
      <w:r>
        <w:rPr>
          <w:sz w:val="20"/>
        </w:rPr>
        <w:t xml:space="preserve"> was</w:t>
      </w:r>
    </w:p>
    <w:p>
      <w:pPr>
        <w:spacing w:after="120"/>
      </w:pPr>
      <w:r>
        <w:rPr>
          <w:sz w:val="20"/>
        </w:rPr>
        <w:t xml:space="preserve">tried — F&amp;O accepts the row, consumes it within seconds, and attaches the file to nothing. The</w:t>
      </w:r>
    </w:p>
    <w:p>
      <w:pPr>
        <w:spacing w:after="120"/>
      </w:pPr>
      <w:r>
        <w:rPr>
          <w:sz w:val="20"/>
        </w:rPr>
        <w:t xml:space="preserve">upload reports success and produces no attachment.</w:t>
      </w:r>
    </w:p>
    <w:p>
      <w:pPr>
        <w:spacing w:after="120"/>
      </w:pPr>
      <w:r>
        <w:rPr>
          <w:sz w:val="20"/>
        </w:rPr>
        <w:t xml:space="preserve">There is no </w:t>
      </w:r>
      <w:r>
        <w:rPr>
          <w:rFonts w:ascii="Consolas" w:hAnsi="Consolas"/>
          <w:sz w:val="18"/>
          <w:color w:val="B03A2E"/>
        </w:rPr>
        <w:t xml:space="preserve">DocuRef</w:t>
      </w:r>
      <w:r>
        <w:rPr>
          <w:sz w:val="20"/>
        </w:rPr>
        <w:t xml:space="preserve">, </w:t>
      </w:r>
      <w:r>
        <w:rPr>
          <w:rFonts w:ascii="Consolas" w:hAnsi="Consolas"/>
          <w:sz w:val="18"/>
          <w:color w:val="B03A2E"/>
        </w:rPr>
        <w:t xml:space="preserve">DocuValue</w:t>
      </w:r>
      <w:r>
        <w:rPr>
          <w:sz w:val="20"/>
        </w:rPr>
        <w:t xml:space="preserve"> or </w:t>
      </w:r>
      <w:r>
        <w:rPr>
          <w:rFonts w:ascii="Consolas" w:hAnsi="Consolas"/>
          <w:sz w:val="18"/>
          <w:color w:val="B03A2E"/>
        </w:rPr>
        <w:t xml:space="preserve">DocumentAttachment</w:t>
      </w:r>
      <w:r>
        <w:rPr>
          <w:sz w:val="20"/>
        </w:rPr>
        <w:t xml:space="preserve"> entity in the catalogue, so **neither</w:t>
      </w:r>
    </w:p>
    <w:p>
      <w:pPr>
        <w:spacing w:after="120"/>
      </w:pPr>
      <w:r>
        <w:rPr>
          <w:sz w:val="20"/>
        </w:rPr>
        <w:t xml:space="preserve">of these can be verified over OData**. After deploying, attach one photo and look at the quality</w:t>
      </w:r>
    </w:p>
    <w:p>
      <w:pPr>
        <w:spacing w:after="120"/>
      </w:pPr>
      <w:r>
        <w:rPr>
          <w:sz w:val="20"/>
        </w:rPr>
        <w:t xml:space="preserve">order in the F&amp;O client. That visual check is the only reliable confirmation.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8. Smoke test in the target</w:t>
      </w:r>
    </w:p>
    <w:p>
      <w:pPr>
        <w:spacing w:after="120"/>
      </w:pPr>
      <w:r>
        <w:rPr>
          <w:sz w:val="20"/>
        </w:rPr>
        <w:t xml:space="preserve">1. Open the app. The order list should populate and status chips read OPEN / PASS / FAIL, not</w:t>
      </w:r>
    </w:p>
    <w:p>
      <w:pPr>
        <w:spacing w:after="120"/>
      </w:pPr>
      <w:r>
        <w:rPr>
          <w:sz w:val="20"/>
        </w:rPr>
        <w:t xml:space="preserve">black boxes. Black means a choice column is not resolving.</w:t>
      </w:r>
    </w:p>
    <w:p>
      <w:pPr>
        <w:spacing w:after="120"/>
      </w:pPr>
      <w:r>
        <w:rPr>
          <w:sz w:val="20"/>
        </w:rPr>
        <w:t xml:space="preserve">2. Open an order. Test lines should list, with an acceptable range shown for numeric tests.</w:t>
      </w:r>
    </w:p>
    <w:p>
      <w:pPr>
        <w:spacing w:after="120"/>
      </w:pPr>
      <w:r>
        <w:rPr>
          <w:sz w:val="20"/>
        </w:rPr>
        <w:t xml:space="preserve">3. Save a numeric result outside its range. It should come back </w:t>
      </w:r>
      <w:r>
        <w:rPr>
          <w:b/>
          <w:sz w:val="20"/>
        </w:rPr>
        <w:t xml:space="preserve">FAIL</w:t>
      </w:r>
      <w:r>
        <w:rPr>
          <w:sz w:val="20"/>
        </w:rPr>
        <w:t xml:space="preserve"> — computed by F&amp;O.</w:t>
      </w:r>
    </w:p>
    <w:p>
      <w:pPr>
        <w:spacing w:after="120"/>
      </w:pPr>
      <w:r>
        <w:rPr>
          <w:sz w:val="20"/>
        </w:rPr>
        <w:t xml:space="preserve">4. Save an option result. The outcome list should show the configured outcomes.</w:t>
      </w:r>
    </w:p>
    <w:p>
      <w:pPr>
        <w:spacing w:after="120"/>
      </w:pPr>
      <w:r>
        <w:rPr>
          <w:sz w:val="20"/>
        </w:rPr>
        <w:t xml:space="preserve">5. Attach a photo to a test line. The size readout must show real KB, not 0.</w:t>
      </w:r>
    </w:p>
    <w:p>
      <w:pPr>
        <w:spacing w:after="120"/>
      </w:pPr>
      <w:r>
        <w:rPr>
          <w:sz w:val="20"/>
        </w:rPr>
        <w:t xml:space="preserve">6. </w:t>
      </w:r>
      <w:r>
        <w:rPr>
          <w:b/>
          <w:sz w:val="20"/>
        </w:rPr>
        <w:t xml:space="preserve">Open that order in the F&amp;O client and confirm the attachment is there.</w:t>
      </w:r>
    </w:p>
    <w:p>
      <w:pPr>
        <w:spacing w:after="120"/>
      </w:pPr>
      <w:r>
        <w:rPr>
          <w:sz w:val="20"/>
        </w:rPr>
        <w:t xml:space="preserve">Step 6 is the one that cannot be skipped or automated.</w:t>
      </w: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9. Known constraints to tell the business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680"/>
        <w:gridCol w:w="4680"/>
      </w:tblGrid>
      <w:tr>
        <w:trPr>
          <w:tblHeader/>
        </w:trPr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Constraint</w:t>
            </w:r>
          </w:p>
        </w:tc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Detail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Online only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No offline support by design. No signal, no app.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Photo size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1,048,576 base64 characters, about 786 KB of image. Enforced in-app before sending.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Photos attach to a test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There is no whole-order photo.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Verdicts are F&amp;O's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 app never computes pass/fail.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Delegation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Fine at this scale (86 orders, 157 result rows). Above ~500 open orders the order picker needs re-testing for delegation against virtual tables.</w:t>
            </w:r>
          </w:p>
        </w:tc>
      </w:tr>
    </w:tbl>
    <w:p>
      <w:pPr>
        <w:spacing w:after="120"/>
      </w:pPr>
    </w:p>
    <w:p>
      <w:pPr>
        <w:pBdr>
          <w:bottom w:val="single" w:sz="6" w:space="1" w:color="BDC3C7"/>
        </w:pBdr>
        <w:spacing w:before="160" w:after="160"/>
      </w:pPr>
    </w:p>
    <w:p>
      <w:pPr>
        <w:spacing w:before="320" w:after="140"/>
        <w:keepNext/>
      </w:pPr>
      <w:r>
        <w:rPr>
          <w:b/>
          <w:sz w:val="28"/>
          <w:color w:val="0D6273"/>
        </w:rPr>
        <w:t xml:space="preserve">10. Licence cost</w:t>
      </w:r>
    </w:p>
    <w:p>
      <w:pPr>
        <w:spacing w:after="120"/>
      </w:pPr>
      <w:r>
        <w:rPr>
          <w:b/>
          <w:sz w:val="20"/>
        </w:rPr>
        <w:t xml:space="preserve">Prices checked 2026-08-21</w:t>
      </w:r>
      <w:r>
        <w:rPr>
          <w:sz w:val="20"/>
        </w:rPr>
        <w:t xml:space="preserve"> against Microsoft's public pricing pages. They are **USD list,</w:t>
      </w:r>
    </w:p>
    <w:p>
      <w:pPr>
        <w:spacing w:after="120"/>
      </w:pPr>
      <w:r>
        <w:rPr>
          <w:sz w:val="20"/>
        </w:rPr>
        <w:t xml:space="preserve">annual-commitment** figures. Microsoft's own note on the Power Apps pricing page applies:</w:t>
      </w:r>
    </w:p>
    <w:p>
      <w:pPr>
        <w:spacing w:after="120"/>
      </w:pPr>
      <w:r>
        <w:rPr>
          <w:sz w:val="20"/>
        </w:rPr>
        <w:t xml:space="preserve">prices "may not be reflective of actual list price due to currency, country, and regional</w:t>
      </w:r>
    </w:p>
    <w:p>
      <w:pPr>
        <w:spacing w:after="120"/>
      </w:pPr>
      <w:r>
        <w:rPr>
          <w:sz w:val="20"/>
        </w:rPr>
        <w:t xml:space="preserve">variant factors." Columbus's CSP or EA agreement will almost certainly differ. Treat the</w:t>
      </w:r>
    </w:p>
    <w:p>
      <w:pPr>
        <w:spacing w:after="120"/>
      </w:pPr>
      <w:r>
        <w:rPr>
          <w:sz w:val="20"/>
        </w:rPr>
        <w:t xml:space="preserve">numbers below as an order-of-magnitude estimate to size the conversation, not as a quote.</w:t>
      </w: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10.1 The question that decides the cost</w:t>
      </w:r>
    </w:p>
    <w:p>
      <w:pPr>
        <w:spacing w:after="120"/>
      </w:pPr>
      <w:r>
        <w:rPr>
          <w:sz w:val="20"/>
        </w:rPr>
        <w:t xml:space="preserve">Everything turns on one thing: </w:t>
      </w:r>
      <w:r>
        <w:rPr>
          <w:b/>
          <w:sz w:val="20"/>
        </w:rPr>
        <w:t xml:space="preserve">are the inspectors already licensed for Dynamics 365?</w:t>
      </w:r>
    </w:p>
    <w:p>
      <w:pPr>
        <w:spacing w:after="120"/>
      </w:pPr>
      <w:r>
        <w:rPr>
          <w:sz w:val="20"/>
        </w:rPr>
        <w:t xml:space="preserve">Microsoft's rule is that Power Apps rights included with a Dynamics 365 licence may be used</w:t>
      </w:r>
    </w:p>
    <w:p>
      <w:pPr>
        <w:spacing w:after="120"/>
      </w:pPr>
      <w:r>
        <w:rPr>
          <w:sz w:val="20"/>
        </w:rPr>
        <w:t xml:space="preserve">"only within the context of the licensed Dynamics 365 application", and in the **same</w:t>
      </w:r>
    </w:p>
    <w:p>
      <w:pPr>
        <w:spacing w:after="120"/>
      </w:pPr>
      <w:r>
        <w:rPr>
          <w:sz w:val="20"/>
        </w:rPr>
        <w:t xml:space="preserve">environment** as that application.</w:t>
      </w:r>
    </w:p>
    <w:p>
      <w:pPr>
        <w:spacing w:after="120"/>
      </w:pPr>
      <w:r>
        <w:rPr>
          <w:rFonts w:ascii="Consolas" w:hAnsi="Consolas"/>
          <w:sz w:val="18"/>
          <w:color w:val="B03A2E"/>
        </w:rPr>
        <w:t xml:space="preserve">QualityAPP_Mobile</w:t>
      </w:r>
      <w:r>
        <w:rPr>
          <w:sz w:val="20"/>
        </w:rPr>
        <w:t xml:space="preserve"> fits that description about as cleanly as an app can: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4680"/>
        <w:gridCol w:w="4680"/>
      </w:tblGrid>
      <w:tr>
        <w:trPr>
          <w:tblHeader/>
        </w:trPr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Test</w:t>
            </w:r>
          </w:p>
        </w:tc>
        <w:tc>
          <w:tcPr>
            <w:tcW w:w="2500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This app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Does it read/write only F&amp;O data?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Yes.</w:t>
            </w:r>
            <w:r>
              <w:rPr>
                <w:sz w:val="18"/>
              </w:rPr>
              <w:t xml:space="preserve"> Six F&amp;O virtual entities, listed in section 2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Any custom Dataverse tables?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None.</w:t>
            </w:r>
            <w:r>
              <w:rPr>
                <w:sz w:val="18"/>
              </w:rPr>
              <w:t xml:space="preserve"> Section 1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Any premium connectors?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None.</w:t>
            </w:r>
            <w:r>
              <w:rPr>
                <w:sz w:val="18"/>
              </w:rPr>
              <w:t xml:space="preserve"> No connection references at all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Same environment as F&amp;O?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Yes.</w:t>
            </w:r>
            <w:r>
              <w:rPr>
                <w:sz w:val="18"/>
              </w:rPr>
              <w:t xml:space="preserve"> Virtual entities only resolve in that environment</w:t>
            </w:r>
          </w:p>
        </w:tc>
      </w:tr>
      <w:tr>
        <w:tc>
          <w:tcPr>
            <w:tcW w:w="2500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Does it do anything unrelated to SCM?</w:t>
            </w:r>
          </w:p>
        </w:tc>
        <w:tc>
          <w:tcPr>
            <w:tcW w:w="2500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No.</w:t>
            </w:r>
            <w:r>
              <w:rPr>
                <w:sz w:val="18"/>
              </w:rPr>
              <w:t xml:space="preserve"> It is a quality-inspection front end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</w:rPr>
        <w:t xml:space="preserve">So for a user who already holds a Dynamics 365 Supply Chain Management licence, this app is</w:t>
      </w:r>
    </w:p>
    <w:p>
      <w:pPr>
        <w:spacing w:after="120"/>
      </w:pPr>
      <w:r>
        <w:rPr>
          <w:sz w:val="20"/>
        </w:rPr>
        <w:t xml:space="preserve">an extension of the application they are licensed for, and **should carry no additional</w:t>
      </w:r>
    </w:p>
    <w:p>
      <w:pPr>
        <w:spacing w:after="120"/>
      </w:pPr>
      <w:r>
        <w:rPr>
          <w:sz w:val="20"/>
        </w:rPr>
        <w:t xml:space="preserve">licence cost**.</w:t>
      </w:r>
    </w:p>
    <w:p>
      <w:pPr>
        <w:ind w:left="260"/>
        <w:spacing w:before="80" w:after="80"/>
        <w:pBdr>
          <w:left w:val="single" w:sz="18" w:space="8" w:color="D4A017"/>
        </w:pBdr>
        <w:shd w:val="clear" w:fill="FDF6E3"/>
      </w:pPr>
      <w:r>
        <w:rPr>
          <w:b/>
          <w:sz w:val="20"/>
        </w:rPr>
        <w:t xml:space="preserve">This is a contractual judgement, not a technical one, and I am not qualified to give it.</w:t>
      </w:r>
      <w:r>
        <w:rPr>
          <w:sz w:val="20"/>
        </w:rPr>
        <w:t xml:space="preserve"> "In the context of" is Microsoft's phrase and it is deliberately interpretive. Confirm it with Columbus's licensing desk or the Microsoft partner account before quoting a customer. The technical facts in the table above are what they will need in order to rule, and every one of them was read from the live environment.</w:t>
      </w: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10.2 List prices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SKU</w:t>
            </w:r>
          </w:p>
        </w:tc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List price</w:t>
            </w:r>
          </w:p>
        </w:tc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Relevance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Dynamics 365 Supply Chain Management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$210</w:t>
            </w:r>
            <w:r>
              <w:rPr>
                <w:sz w:val="18"/>
              </w:rPr>
              <w:t xml:space="preserve"> user/month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The base F&amp;O licence. Inspectors doing quality work in F&amp;O need this regardless of the app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D365 Supply Chain Management Premium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$300</w:t>
            </w:r>
            <w:r>
              <w:rPr>
                <w:sz w:val="18"/>
              </w:rPr>
              <w:t xml:space="preserve"> user/month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Only if Demand Planning forecast editing is required. Not needed by this app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Power Apps Premium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$20</w:t>
            </w:r>
            <w:r>
              <w:rPr>
                <w:sz w:val="18"/>
              </w:rPr>
              <w:t xml:space="preserve"> user/month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Only if a user runs the app </w:t>
            </w:r>
            <w:r>
              <w:rPr>
                <w:b/>
                <w:sz w:val="18"/>
              </w:rPr>
              <w:t xml:space="preserve">without</w:t>
            </w:r>
            <w:r>
              <w:rPr>
                <w:sz w:val="18"/>
              </w:rPr>
              <w:t xml:space="preserve"> a qualifying D365 licence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Power Apps Premium, 2,000+ seats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$12</w:t>
            </w:r>
            <w:r>
              <w:rPr>
                <w:sz w:val="18"/>
              </w:rPr>
              <w:t xml:space="preserve"> user/month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Volume tier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Dataverse database capacity add-on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$40</w:t>
            </w:r>
            <w:r>
              <w:rPr>
                <w:sz w:val="18"/>
              </w:rPr>
              <w:t xml:space="preserve"> GB/month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Pooled tenant-wide. See 10.4</w:t>
            </w:r>
          </w:p>
        </w:tc>
      </w:tr>
    </w:tbl>
    <w:p>
      <w:pPr>
        <w:spacing w:after="120"/>
      </w:pP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10.3 What it actually costs, by scenario</w:t>
      </w:r>
    </w:p>
    <w:p>
      <w:pPr>
        <w:spacing w:after="120"/>
      </w:pPr>
      <w:r>
        <w:rPr>
          <w:b/>
          <w:sz w:val="20"/>
        </w:rPr>
        <w:t xml:space="preserve">Scenario A - inspectors already have D365 SCM.</w:t>
      </w:r>
      <w:r>
        <w:rPr>
          <w:sz w:val="20"/>
        </w:rPr>
        <w:t xml:space="preserve"> The likely case, since they are inspecting</w:t>
      </w:r>
    </w:p>
    <w:p>
      <w:pPr>
        <w:spacing w:after="120"/>
      </w:pPr>
      <w:r>
        <w:rPr>
          <w:sz w:val="20"/>
        </w:rPr>
        <w:t xml:space="preserve">F&amp;O quality orders and someone must be licensed to do that work in F&amp;O anyway.</w:t>
      </w:r>
    </w:p>
    <w:p>
      <w:pPr>
        <w:ind w:left="260"/>
        <w:spacing w:before="80" w:after="80"/>
        <w:pBdr>
          <w:left w:val="single" w:sz="18" w:space="8" w:color="D4A017"/>
        </w:pBdr>
        <w:shd w:val="clear" w:fill="FDF6E3"/>
      </w:pPr>
      <w:r>
        <w:rPr>
          <w:b/>
          <w:sz w:val="20"/>
        </w:rPr>
        <w:t xml:space="preserve">Incremental licence cost of deploying this app: $0.</w:t>
      </w:r>
    </w:p>
    <w:p>
      <w:pPr>
        <w:spacing w:after="120"/>
      </w:pPr>
      <w:r>
        <w:rPr>
          <w:b/>
          <w:sz w:val="20"/>
        </w:rPr>
        <w:t xml:space="preserve">Scenario B - inspectors are shop-floor users without a D365 licence.</w:t>
      </w:r>
      <w:r>
        <w:rPr>
          <w:sz w:val="20"/>
        </w:rPr>
        <w:t xml:space="preserve"> They need a Power</w:t>
      </w:r>
    </w:p>
    <w:p>
      <w:pPr>
        <w:spacing w:after="120"/>
      </w:pPr>
      <w:r>
        <w:rPr>
          <w:sz w:val="20"/>
        </w:rPr>
        <w:t xml:space="preserve">Apps Premium licence each, because the app is then a standalone application from a licensing</w:t>
      </w:r>
    </w:p>
    <w:p>
      <w:pPr>
        <w:spacing w:after="120"/>
      </w:pPr>
      <w:r>
        <w:rPr>
          <w:sz w:val="20"/>
        </w:rPr>
        <w:t xml:space="preserve">point of view.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Inspectors</w:t>
            </w:r>
          </w:p>
        </w:tc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Power Apps Premium</w:t>
            </w:r>
          </w:p>
        </w:tc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Annual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$200 / 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$2,400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25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$500 / 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$6,000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50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$1,000 / 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$12,000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100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$2,000 / month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$24,000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</w:rPr>
        <w:t xml:space="preserve">Scenario B is worth pressure-testing before accepting it. A user with no D365 licence can</w:t>
      </w:r>
    </w:p>
    <w:p>
      <w:pPr>
        <w:spacing w:after="120"/>
      </w:pPr>
      <w:r>
        <w:rPr>
          <w:sz w:val="20"/>
        </w:rPr>
        <w:t xml:space="preserve">still be blocked at the F&amp;O end: the virtual entities enforce F&amp;O security, so an unlicensed</w:t>
      </w:r>
    </w:p>
    <w:p>
      <w:pPr>
        <w:spacing w:after="120"/>
      </w:pPr>
      <w:r>
        <w:rPr>
          <w:sz w:val="20"/>
        </w:rPr>
        <w:t xml:space="preserve">user may be able to open the app and still see nothing. Confirm the F&amp;O access model for</w:t>
      </w:r>
    </w:p>
    <w:p>
      <w:pPr>
        <w:spacing w:after="120"/>
      </w:pPr>
      <w:r>
        <w:rPr>
          <w:sz w:val="20"/>
        </w:rPr>
        <w:t xml:space="preserve">these users before assuming a Power Apps licence alone is sufficient.</w:t>
      </w: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10.4 Storage</w:t>
      </w:r>
    </w:p>
    <w:p>
      <w:pPr>
        <w:spacing w:after="120"/>
      </w:pPr>
      <w:r>
        <w:rPr>
          <w:sz w:val="20"/>
        </w:rPr>
        <w:t xml:space="preserve">This app adds </w:t>
      </w:r>
      <w:r>
        <w:rPr>
          <w:b/>
          <w:sz w:val="20"/>
        </w:rPr>
        <w:t xml:space="preserve">no Dataverse storage</w:t>
      </w:r>
      <w:r>
        <w:rPr>
          <w:sz w:val="20"/>
        </w:rPr>
        <w:t xml:space="preserve">. It has no custom tables and stores no rows; every</w:t>
      </w:r>
    </w:p>
    <w:p>
      <w:pPr>
        <w:spacing w:after="120"/>
      </w:pPr>
      <w:r>
        <w:rPr>
          <w:sz w:val="20"/>
        </w:rPr>
        <w:t xml:space="preserve">record it touches lives in F&amp;O and is surfaced through virtual entities, which hold no data</w:t>
      </w:r>
    </w:p>
    <w:p>
      <w:pPr>
        <w:spacing w:after="120"/>
      </w:pPr>
      <w:r>
        <w:rPr>
          <w:sz w:val="20"/>
        </w:rPr>
        <w:t xml:space="preserve">in Dataverse. Photos are sent straight to F&amp;O rather than staged locally.</w:t>
      </w:r>
    </w:p>
    <w:p>
      <w:pPr>
        <w:spacing w:after="120"/>
      </w:pPr>
      <w:r>
        <w:rPr>
          <w:sz w:val="20"/>
        </w:rPr>
        <w:t xml:space="preserve">The 250 MB Dataverse database entitlement that comes with a Power Apps Premium licence is</w:t>
      </w:r>
    </w:p>
    <w:p>
      <w:pPr>
        <w:spacing w:after="120"/>
      </w:pPr>
      <w:r>
        <w:rPr>
          <w:sz w:val="20"/>
        </w:rPr>
        <w:t xml:space="preserve">therefore ample, and the $40/GB add-on should not be needed for this solution.</w:t>
      </w: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10.5 The tablet app is a different conversation</w:t>
      </w:r>
    </w:p>
    <w:p>
      <w:pPr>
        <w:spacing w:after="120"/>
      </w:pPr>
      <w:r>
        <w:rPr>
          <w:rFonts w:ascii="Consolas" w:hAnsi="Consolas"/>
          <w:sz w:val="18"/>
          <w:color w:val="B03A2E"/>
        </w:rPr>
        <w:t xml:space="preserve">QualityManagementApp</w:t>
      </w:r>
      <w:r>
        <w:rPr>
          <w:sz w:val="20"/>
        </w:rPr>
        <w:t xml:space="preserve"> is out of scope for this document, but if both apps are being migrated,</w:t>
      </w:r>
    </w:p>
    <w:p>
      <w:pPr>
        <w:spacing w:after="120"/>
      </w:pPr>
      <w:r>
        <w:rPr>
          <w:sz w:val="20"/>
        </w:rPr>
        <w:t xml:space="preserve">be aware its licensing profile is materially worse and should be costed separately:</w:t>
      </w:r>
    </w:p>
    <w:tbl>
      <w:tblPr>
        <w:tblW w:w="5000" w:type="pct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4" w:space="0" w:color="BDC3C7"/>
          <w:insideV w:val="single" w:sz="4" w:space="0" w:color="BDC3C7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1666" w:type="pct"/>
            <w:shd w:val="clear" w:fill="EAF0F1"/>
          </w:tcPr>
          <w:p>
            <w:pPr>
              <w:spacing w:before="40" w:after="40"/>
            </w:pPr>
          </w:p>
        </w:tc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Mobile</w:t>
            </w:r>
          </w:p>
        </w:tc>
        <w:tc>
          <w:tcPr>
            <w:tcW w:w="1666" w:type="pct"/>
            <w:shd w:val="clear" w:fill="EAF0F1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Tablet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Custom Dataverse tables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11</w:t>
            </w:r>
            <w:r>
              <w:rPr>
                <w:sz w:val="18"/>
              </w:rPr>
              <w:t xml:space="preserve"> (10 caches/drafts plus </w:t>
            </w:r>
            <w:r>
              <w:rPr>
                <w:rFonts w:ascii="Consolas" w:hAnsi="Consolas"/>
                <w:sz w:val="18"/>
                <w:color w:val="B03A2E"/>
              </w:rPr>
              <w:t xml:space="preserve">cog_POLine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Power Automate flows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6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Connection references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Dataverse storage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none</w:t>
            </w:r>
          </w:p>
        </w:tc>
        <w:tc>
          <w:tcPr>
            <w:tcW w:w="1666" w:type="pct"/>
          </w:tcPr>
          <w:p>
            <w:pPr>
              <w:spacing w:before="40" w:after="40"/>
            </w:pPr>
            <w:r>
              <w:rPr>
                <w:sz w:val="18"/>
              </w:rPr>
              <w:t xml:space="preserve">real, and grows with cache size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0"/>
        </w:rPr>
        <w:t xml:space="preserve">Custom tables holding copies of F&amp;O data are harder to argue as "within the context of" the</w:t>
      </w:r>
    </w:p>
    <w:p>
      <w:pPr>
        <w:spacing w:after="120"/>
      </w:pPr>
      <w:r>
        <w:rPr>
          <w:sz w:val="20"/>
        </w:rPr>
        <w:t xml:space="preserve">licensed D365 application than an app that reads F&amp;O directly, and the flows raise a separate</w:t>
      </w:r>
    </w:p>
    <w:p>
      <w:pPr>
        <w:spacing w:after="120"/>
      </w:pPr>
      <w:r>
        <w:rPr>
          <w:sz w:val="20"/>
        </w:rPr>
        <w:t xml:space="preserve">Power Automate question. That is not a conclusion, it is a flag: **the tablet app needs its</w:t>
      </w:r>
    </w:p>
    <w:p>
      <w:pPr>
        <w:spacing w:after="120"/>
      </w:pPr>
      <w:r>
        <w:rPr>
          <w:sz w:val="20"/>
        </w:rPr>
        <w:t xml:space="preserve">own licensing review, and its answer may well differ from this one.**</w:t>
      </w:r>
    </w:p>
    <w:p>
      <w:pPr>
        <w:spacing w:before="320" w:after="140"/>
        <w:keepNext/>
      </w:pPr>
      <w:r>
        <w:rPr>
          <w:b/>
          <w:sz w:val="24"/>
          <w:color w:val="2C3E50"/>
        </w:rPr>
        <w:t xml:space="preserve">Sources</w:t>
      </w:r>
    </w:p>
    <w:p>
      <w:pPr>
        <w:ind w:left="360" w:hanging="180"/>
        <w:spacing w:after="60"/>
      </w:pPr>
      <w:r>
        <w:rPr>
          <w:sz w:val="20"/>
        </w:rPr>
        <w:t xml:space="preserve">•  </w:t>
      </w:r>
      <w:r>
        <w:rPr>
          <w:sz w:val="20"/>
        </w:rPr>
        <w:t xml:space="preserve">Power Apps pricing: &lt;https://www.microsoft.com/en-us/power-platform/products/power-apps/pricing&gt;</w:t>
      </w:r>
    </w:p>
    <w:p>
      <w:pPr>
        <w:ind w:left="360" w:hanging="180"/>
        <w:spacing w:after="60"/>
      </w:pPr>
      <w:r>
        <w:rPr>
          <w:sz w:val="20"/>
        </w:rPr>
        <w:t xml:space="preserve">•  </w:t>
      </w:r>
      <w:r>
        <w:rPr>
          <w:sz w:val="20"/>
        </w:rPr>
        <w:t xml:space="preserve">Supply Chain Management pricing: &lt;https://www.microsoft.com/en-us/dynamics-365/products/supply-chain-management/pricing&gt;</w:t>
      </w:r>
    </w:p>
    <w:p>
      <w:pPr>
        <w:ind w:left="360" w:hanging="180"/>
        <w:spacing w:after="60"/>
      </w:pPr>
      <w:r>
        <w:rPr>
          <w:sz w:val="20"/>
        </w:rPr>
        <w:t xml:space="preserve">•  </w:t>
      </w:r>
      <w:r>
        <w:rPr>
          <w:sz w:val="20"/>
        </w:rPr>
        <w:t xml:space="preserve">Power Platform licensing FAQ: &lt;https://learn.microsoft.com/en-us/power-platform/admin/powerapps-flow-licensing-faq&gt;</w:t>
      </w:r>
    </w:p>
    <w:p>
      <w:pPr>
        <w:ind w:left="360" w:hanging="180"/>
        <w:spacing w:after="60"/>
      </w:pPr>
      <w:r>
        <w:rPr>
          <w:sz w:val="20"/>
        </w:rPr>
        <w:t xml:space="preserve">•  </w:t>
      </w:r>
      <w:r>
        <w:rPr>
          <w:sz w:val="20"/>
        </w:rPr>
        <w:t xml:space="preserve">Power Apps licensing FAQ: &lt;https://learn.microsoft.com/en-us/power-apps/maker/data-platform/data-platform-entity-licenses&gt;</w:t>
      </w:r>
    </w:p>
    <w:p>
      <w:pPr>
        <w:ind w:left="360" w:hanging="180"/>
        <w:spacing w:after="60"/>
      </w:pPr>
      <w:r>
        <w:rPr>
          <w:sz w:val="20"/>
        </w:rPr>
        <w:t xml:space="preserve">•  </w:t>
      </w:r>
      <w:r>
        <w:rPr>
          <w:sz w:val="20"/>
        </w:rPr>
        <w:t xml:space="preserve">Dynamics 365 licensing guidance: &lt;https://www.microsoft.com/licensing/guidance/Dynamics-365&gt;</w:t>
      </w:r>
    </w:p>
    <w:sectPr>
      <w:pgSz w:w="11906" w:h="16838"/>
      <w:pgMar w:top="1134" w:right="1134" w:bottom="1134" w:left="1134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Deploying Quality App Mobile to Another Environment</dc:title>
  <dc:creator>Columbus</dc:creator>
</cp:coreProperties>
</file>