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NeoStats Data Engineering Assignment - Project Documentation</w:t>
      </w:r>
    </w:p>
    <w:p>
      <w:pPr>
        <w:pStyle w:val="Heading1"/>
      </w:pPr>
      <w:r>
        <w:t>Introduction</w:t>
      </w:r>
    </w:p>
    <w:p>
      <w:r>
        <w:t>This document presents the NeoStats Data Engineering Assignment findings, methodology, and business insights derived from retail transaction data processing and analysis.</w:t>
      </w:r>
    </w:p>
    <w:p>
      <w:pPr>
        <w:pStyle w:val="Heading1"/>
      </w:pPr>
      <w:r>
        <w:t>Problem Statement</w:t>
      </w:r>
    </w:p>
    <w:p>
      <w:r>
        <w:t>The primary objective is to assess and clean retail transaction data, resolve duplicate transactions, ensure data quality, protect any Personally Identifiable Information (PII), and deliver actionable insights through key performance indicators (KPIs) and a Power BI dashboard.</w:t>
      </w:r>
    </w:p>
    <w:p>
      <w:pPr>
        <w:pStyle w:val="Heading1"/>
      </w:pPr>
      <w:r>
        <w:t>Dataset Description</w:t>
      </w:r>
    </w:p>
    <w:p>
      <w:r>
        <w:t>The raw dataset included 8,494 transaction records from retail sales. The data contained fields for product, category, city, transaction ID, revenue, and related transaction metadata.</w:t>
      </w:r>
    </w:p>
    <w:p>
      <w:pPr>
        <w:pStyle w:val="Heading1"/>
      </w:pPr>
      <w:r>
        <w:t>EDA Findings</w:t>
      </w:r>
    </w:p>
    <w:p>
      <w:r>
        <w:t>Exploratory data analysis revealed the dominant product, category, and geography relationships. The highest-performing product was Laptop, the leading category was Electronics, and the top city by transactions and revenue was Chennai.</w:t>
      </w:r>
    </w:p>
    <w:p>
      <w:pPr>
        <w:pStyle w:val="Heading1"/>
      </w:pPr>
      <w:r>
        <w:t>Data Quality Issues Identified</w:t>
      </w:r>
    </w:p>
    <w:p>
      <w:r>
        <w:t>Data quality assessment flagged 93 invalid records and 494 duplicate transaction IDs. In addition, revenue overstatement totaling 74,969,230 was identified due to duplicate entries.</w:t>
      </w:r>
    </w:p>
    <w:p>
      <w:pPr>
        <w:pStyle w:val="Heading1"/>
      </w:pPr>
      <w:r>
        <w:t>Data Cleaning Strategy</w:t>
      </w:r>
    </w:p>
    <w:p>
      <w:r>
        <w:t>The cleaning strategy involved validation of records, removal or correction of invalid entries, duplicate transaction resolution, and imputation/standardization where needed. Invalid records were flagged and excluded from the final dataset. Duplicate resolution produced a final set of 8,000 clean records.</w:t>
      </w:r>
    </w:p>
    <w:p>
      <w:pPr>
        <w:pStyle w:val="Heading1"/>
      </w:pPr>
      <w:r>
        <w:t>Duplicate Transaction Analysis</w:t>
      </w:r>
    </w:p>
    <w:p>
      <w:r>
        <w:t>A detailed duplicate transaction analysis identified 494 duplicate transaction IDs. After duplicate resolution, the dataset was reduced to 8,000 final records, resulting in a 6.08% reduction in reported revenue.</w:t>
      </w:r>
    </w:p>
    <w:p>
      <w:pPr>
        <w:pStyle w:val="Heading1"/>
      </w:pPr>
      <w:r>
        <w:t>PII Masking Approach</w:t>
      </w:r>
    </w:p>
    <w:p>
      <w:r>
        <w:t>A PII masking approach was applied to sensitive customer or identifying information. Any fields containing personal data were anonymized or masked, preserving data privacy while retaining analytical value.</w:t>
      </w:r>
    </w:p>
    <w:p>
      <w:pPr>
        <w:pStyle w:val="Heading1"/>
      </w:pPr>
      <w:r>
        <w:t>KPI Calculations</w:t>
      </w:r>
    </w:p>
    <w:p>
      <w:r>
        <w:t>Key performance indicators included total revenue, revenue impact from duplicate removal, product category performance, and city-level sales. Final revenue after cleaning was 1,158,300,920. Revenue reduction after deduplication was 6.08%, confirming the integrity of the cleaned dataset.</w:t>
      </w:r>
    </w:p>
    <w:p>
      <w:pPr>
        <w:pStyle w:val="Heading1"/>
      </w:pPr>
      <w:r>
        <w:t>Power BI Dashboard Overview</w:t>
      </w:r>
    </w:p>
    <w:p>
      <w:r>
        <w:t>The Power BI dashboard was designed to present traffic across products, categories, and cities, highlight revenue trends, and showcase the impact of deduplication on financial metrics. Visualizations supported business stakeholders with a clear summary of cleaned retail performance.</w:t>
      </w:r>
    </w:p>
    <w:p>
      <w:pPr>
        <w:pStyle w:val="Heading1"/>
      </w:pPr>
      <w:r>
        <w:t>Business Insights</w:t>
      </w:r>
    </w:p>
    <w:p>
      <w:r>
        <w:t>The cleaned dataset confirmed that Laptop was the top product, Electronics was the top category, and Chennai was the top city. Deduplication improved revenue accuracy and revealed a material overstatement that required correction.</w:t>
      </w:r>
    </w:p>
    <w:p>
      <w:pPr>
        <w:pStyle w:val="Heading1"/>
      </w:pPr>
      <w:r>
        <w:t>Conclusion</w:t>
      </w:r>
    </w:p>
    <w:p>
      <w:r>
        <w:t>The project successfully cleaned and validated the NeoStats retail dataset, resolved duplicate transactions, protected PII, and produced reliable KPIs. The final dataset of 8,000 records supports robust business reporting and informed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