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F0530">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 xml:space="preserve">ASSESSMENT TOOL </w:t>
      </w:r>
      <w:r>
        <w:rPr>
          <w:rFonts w:hint="default" w:ascii="Times New Roman" w:hAnsi="Times New Roman" w:cs="Times New Roman"/>
          <w:b/>
          <w:sz w:val="36"/>
          <w:szCs w:val="36"/>
          <w:lang w:val="en-US"/>
        </w:rPr>
        <w:t>2</w:t>
      </w:r>
    </w:p>
    <w:p w14:paraId="67DBF0FF">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CO3 AT</w:t>
      </w:r>
      <w:r>
        <w:rPr>
          <w:rFonts w:hint="default" w:ascii="Times New Roman" w:hAnsi="Times New Roman" w:cs="Times New Roman"/>
          <w:b/>
          <w:sz w:val="36"/>
          <w:szCs w:val="36"/>
          <w:lang w:val="en-US"/>
        </w:rPr>
        <w:t>2 CASE STUDY</w:t>
      </w:r>
    </w:p>
    <w:p w14:paraId="3C51F169">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NAME: CHANDRA KALA TORAM</w:t>
      </w:r>
    </w:p>
    <w:p w14:paraId="064D4F2A">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REG NO: 192372224</w:t>
      </w:r>
    </w:p>
    <w:p w14:paraId="739D60FE">
      <w:pPr>
        <w:spacing w:before="0" w:after="140" w:line="240" w:lineRule="auto"/>
        <w:jc w:val="center"/>
        <w:rPr>
          <w:rFonts w:hint="default" w:ascii="Times New Roman" w:hAnsi="Times New Roman" w:cs="Times New Roman"/>
          <w:b w:val="0"/>
          <w:bCs/>
          <w:sz w:val="18"/>
          <w:szCs w:val="18"/>
          <w:lang w:val="en-US"/>
        </w:rPr>
      </w:pPr>
      <w:r>
        <w:rPr>
          <w:rFonts w:hint="default" w:ascii="Times New Roman" w:hAnsi="Times New Roman" w:cs="Times New Roman"/>
          <w:b w:val="0"/>
          <w:bCs/>
          <w:sz w:val="18"/>
          <w:szCs w:val="18"/>
        </w:rPr>
        <w:t>COURSE CODE: CSA511</w:t>
      </w:r>
      <w:r>
        <w:rPr>
          <w:rFonts w:hint="default" w:ascii="Times New Roman" w:hAnsi="Times New Roman" w:cs="Times New Roman"/>
          <w:b w:val="0"/>
          <w:bCs/>
          <w:sz w:val="18"/>
          <w:szCs w:val="18"/>
          <w:lang w:val="en-US"/>
        </w:rPr>
        <w:t>0</w:t>
      </w:r>
    </w:p>
    <w:p w14:paraId="02785CE7">
      <w:pPr>
        <w:spacing w:before="0" w:after="140" w:line="240" w:lineRule="auto"/>
        <w:jc w:val="center"/>
        <w:rPr>
          <w:b w:val="0"/>
          <w:bCs/>
          <w:sz w:val="18"/>
          <w:szCs w:val="18"/>
        </w:rPr>
      </w:pPr>
      <w:r>
        <w:rPr>
          <w:rFonts w:hint="default" w:ascii="Times New Roman" w:hAnsi="Times New Roman" w:cs="Times New Roman"/>
          <w:b w:val="0"/>
          <w:bCs/>
          <w:sz w:val="18"/>
          <w:szCs w:val="18"/>
        </w:rPr>
        <w:t>COURSE NAME: CRYPTOGRAPHY AND NETWORK SECURITY</w:t>
      </w:r>
    </w:p>
    <w:p w14:paraId="14719B82">
      <w:pPr>
        <w:spacing w:before="0" w:after="140" w:line="240" w:lineRule="auto"/>
        <w:jc w:val="both"/>
        <w:rPr>
          <w:b/>
          <w:sz w:val="36"/>
        </w:rPr>
      </w:pPr>
    </w:p>
    <w:p w14:paraId="38ADB73F">
      <w:pPr>
        <w:spacing w:before="0" w:after="140" w:line="240" w:lineRule="auto"/>
        <w:jc w:val="center"/>
      </w:pPr>
      <w:r>
        <w:rPr>
          <w:b/>
          <w:sz w:val="36"/>
        </w:rPr>
        <w:t>QUESTION 4 — SIMPLE HASH FUNCTION VS HMAC</w:t>
      </w:r>
    </w:p>
    <w:p w14:paraId="1B245E97">
      <w:pPr>
        <w:spacing w:before="0" w:after="100" w:line="240" w:lineRule="auto"/>
      </w:pPr>
      <w:r>
        <w:rPr>
          <w:b/>
        </w:rPr>
        <w:t xml:space="preserve">Case Study: </w:t>
      </w:r>
      <w:r>
        <w:t>A secure communication system uses a simple hash function to verify message integrity, but attackers are able to modify messages without detection.</w:t>
      </w:r>
    </w:p>
    <w:p w14:paraId="27953B6A">
      <w:pPr>
        <w:pStyle w:val="2"/>
        <w:spacing w:before="0" w:after="40" w:line="240" w:lineRule="auto"/>
      </w:pPr>
      <w:r>
        <w:t>1. Problem Analysis</w:t>
      </w:r>
    </w:p>
    <w:p w14:paraId="5FA86893">
      <w:pPr>
        <w:pStyle w:val="23"/>
        <w:spacing w:before="0" w:after="40" w:line="240" w:lineRule="auto"/>
      </w:pPr>
      <w:r>
        <w:t>An ordinary cryptographic hash such as SHA-256 is an unkeyed function. Anyone who knows the message can calculate its hash.</w:t>
      </w:r>
    </w:p>
    <w:p w14:paraId="06B192E9">
      <w:pPr>
        <w:pStyle w:val="23"/>
        <w:spacing w:before="0" w:after="40" w:line="240" w:lineRule="auto"/>
      </w:pPr>
      <w:r>
        <w:t>If an attacker changes the original message M into a modified message M′, the attacker can also calculate the new hash H(M′).</w:t>
      </w:r>
    </w:p>
    <w:p w14:paraId="6727FAC7">
      <w:pPr>
        <w:pStyle w:val="23"/>
        <w:spacing w:before="0" w:after="40" w:line="240" w:lineRule="auto"/>
      </w:pPr>
      <w:r>
        <w:t>The attacker can replace both the message and its hash. The receiver compares them and finds that they match, even though the message is forged.</w:t>
      </w:r>
    </w:p>
    <w:p w14:paraId="03005014">
      <w:pPr>
        <w:pStyle w:val="23"/>
        <w:spacing w:before="0" w:after="40" w:line="240" w:lineRule="auto"/>
      </w:pPr>
      <w:r>
        <w:t>Therefore, a simple hash can detect accidental corruption, but it cannot authenticate the source of a message against an active attacker.</w:t>
      </w:r>
    </w:p>
    <w:p w14:paraId="22346276">
      <w:pPr>
        <w:pStyle w:val="2"/>
        <w:spacing w:before="0" w:after="40" w:line="240" w:lineRule="auto"/>
      </w:pPr>
      <w:r>
        <w:t>2. Proposed Solution — HMAC</w:t>
      </w:r>
    </w:p>
    <w:p w14:paraId="76D6C52C">
      <w:pPr>
        <w:spacing w:before="0" w:after="80" w:line="240" w:lineRule="auto"/>
      </w:pPr>
      <w:r>
        <w:rPr>
          <w:b/>
        </w:rPr>
        <w:t xml:space="preserve">HMAC (Hash-based Message Authentication Code) </w:t>
      </w:r>
      <w:r>
        <w:t>solves this problem by combining a cryptographic hash function with a secret key shared between the sender and receiver. The sender generates an authentication tag using HMAC(K, M) and sends it with the message. The receiver independently calculates HMAC(K, M) using the same secret key. The message is accepted only when both tags match.</w:t>
      </w:r>
    </w:p>
    <w:tbl>
      <w:tblPr>
        <w:tblStyle w:val="12"/>
        <w:tblW w:w="0" w:type="auto"/>
        <w:jc w:val="center"/>
        <w:tblLayout w:type="autofit"/>
        <w:tblCellMar>
          <w:top w:w="0" w:type="dxa"/>
          <w:left w:w="108" w:type="dxa"/>
          <w:bottom w:w="0" w:type="dxa"/>
          <w:right w:w="108" w:type="dxa"/>
        </w:tblCellMar>
      </w:tblPr>
      <w:tblGrid>
        <w:gridCol w:w="3408"/>
        <w:gridCol w:w="3408"/>
        <w:gridCol w:w="3408"/>
      </w:tblGrid>
      <w:tr w14:paraId="27E371E9">
        <w:tblPrEx>
          <w:tblCellMar>
            <w:top w:w="0" w:type="dxa"/>
            <w:left w:w="108" w:type="dxa"/>
            <w:bottom w:w="0" w:type="dxa"/>
            <w:right w:w="108" w:type="dxa"/>
          </w:tblCellMar>
        </w:tblPrEx>
        <w:trPr>
          <w:jc w:val="center"/>
        </w:trPr>
        <w:tc>
          <w:tcPr>
            <w:tcW w:w="3408" w:type="dxa"/>
            <w:shd w:val="clear" w:color="auto" w:fill="D9EAF7"/>
          </w:tcPr>
          <w:p w14:paraId="3D5A08F1">
            <w:r>
              <w:rPr>
                <w:b/>
                <w:sz w:val="18"/>
              </w:rPr>
              <w:t>Method</w:t>
            </w:r>
          </w:p>
        </w:tc>
        <w:tc>
          <w:tcPr>
            <w:tcW w:w="3408" w:type="dxa"/>
            <w:shd w:val="clear" w:color="auto" w:fill="D9EAF7"/>
          </w:tcPr>
          <w:p w14:paraId="0063A1DF">
            <w:r>
              <w:rPr>
                <w:b/>
                <w:sz w:val="18"/>
              </w:rPr>
              <w:t>Can attacker create valid value?</w:t>
            </w:r>
          </w:p>
        </w:tc>
        <w:tc>
          <w:tcPr>
            <w:tcW w:w="3408" w:type="dxa"/>
            <w:shd w:val="clear" w:color="auto" w:fill="D9EAF7"/>
          </w:tcPr>
          <w:p w14:paraId="7E081276">
            <w:r>
              <w:rPr>
                <w:b/>
                <w:sz w:val="18"/>
              </w:rPr>
              <w:t>Security provided</w:t>
            </w:r>
          </w:p>
        </w:tc>
      </w:tr>
      <w:tr w14:paraId="51D51A2C">
        <w:tblPrEx>
          <w:tblCellMar>
            <w:top w:w="0" w:type="dxa"/>
            <w:left w:w="108" w:type="dxa"/>
            <w:bottom w:w="0" w:type="dxa"/>
            <w:right w:w="108" w:type="dxa"/>
          </w:tblCellMar>
        </w:tblPrEx>
        <w:trPr>
          <w:jc w:val="center"/>
        </w:trPr>
        <w:tc>
          <w:tcPr>
            <w:tcW w:w="3408" w:type="dxa"/>
            <w:vAlign w:val="center"/>
          </w:tcPr>
          <w:p w14:paraId="7C3EFA6D">
            <w:r>
              <w:rPr>
                <w:sz w:val="18"/>
              </w:rPr>
              <w:t>Simple Hash H(M)</w:t>
            </w:r>
          </w:p>
        </w:tc>
        <w:tc>
          <w:tcPr>
            <w:tcW w:w="3408" w:type="dxa"/>
            <w:vAlign w:val="center"/>
          </w:tcPr>
          <w:p w14:paraId="27098B39">
            <w:r>
              <w:rPr>
                <w:sz w:val="18"/>
              </w:rPr>
              <w:t>Yes</w:t>
            </w:r>
          </w:p>
        </w:tc>
        <w:tc>
          <w:tcPr>
            <w:tcW w:w="3408" w:type="dxa"/>
            <w:vAlign w:val="center"/>
          </w:tcPr>
          <w:p w14:paraId="18CF93CC">
            <w:r>
              <w:rPr>
                <w:sz w:val="18"/>
              </w:rPr>
              <w:t>Integrity against accidental changes</w:t>
            </w:r>
          </w:p>
        </w:tc>
      </w:tr>
      <w:tr w14:paraId="3217A493">
        <w:tblPrEx>
          <w:tblCellMar>
            <w:top w:w="0" w:type="dxa"/>
            <w:left w:w="108" w:type="dxa"/>
            <w:bottom w:w="0" w:type="dxa"/>
            <w:right w:w="108" w:type="dxa"/>
          </w:tblCellMar>
        </w:tblPrEx>
        <w:trPr>
          <w:jc w:val="center"/>
        </w:trPr>
        <w:tc>
          <w:tcPr>
            <w:tcW w:w="3408" w:type="dxa"/>
            <w:vAlign w:val="center"/>
          </w:tcPr>
          <w:p w14:paraId="03055E66">
            <w:r>
              <w:rPr>
                <w:sz w:val="18"/>
              </w:rPr>
              <w:t>HMAC(K,M)</w:t>
            </w:r>
          </w:p>
        </w:tc>
        <w:tc>
          <w:tcPr>
            <w:tcW w:w="3408" w:type="dxa"/>
            <w:vAlign w:val="center"/>
          </w:tcPr>
          <w:p w14:paraId="2DA54FC5">
            <w:r>
              <w:rPr>
                <w:sz w:val="18"/>
              </w:rPr>
              <w:t>No, without secret key</w:t>
            </w:r>
          </w:p>
        </w:tc>
        <w:tc>
          <w:tcPr>
            <w:tcW w:w="3408" w:type="dxa"/>
            <w:vAlign w:val="center"/>
          </w:tcPr>
          <w:p w14:paraId="2B06408E">
            <w:r>
              <w:rPr>
                <w:sz w:val="18"/>
              </w:rPr>
              <w:t>Integrity + message authentication</w:t>
            </w:r>
          </w:p>
        </w:tc>
      </w:tr>
      <w:tr w14:paraId="45A099A5">
        <w:tblPrEx>
          <w:tblCellMar>
            <w:top w:w="0" w:type="dxa"/>
            <w:left w:w="108" w:type="dxa"/>
            <w:bottom w:w="0" w:type="dxa"/>
            <w:right w:w="108" w:type="dxa"/>
          </w:tblCellMar>
        </w:tblPrEx>
        <w:trPr>
          <w:jc w:val="center"/>
        </w:trPr>
        <w:tc>
          <w:tcPr>
            <w:tcW w:w="3408" w:type="dxa"/>
            <w:vAlign w:val="center"/>
          </w:tcPr>
          <w:p w14:paraId="26FA0B3A">
            <w:r>
              <w:rPr>
                <w:sz w:val="18"/>
              </w:rPr>
              <w:t>Digital Signature</w:t>
            </w:r>
          </w:p>
        </w:tc>
        <w:tc>
          <w:tcPr>
            <w:tcW w:w="3408" w:type="dxa"/>
            <w:vAlign w:val="center"/>
          </w:tcPr>
          <w:p w14:paraId="453EF80A">
            <w:r>
              <w:rPr>
                <w:sz w:val="18"/>
              </w:rPr>
              <w:t>No, without private key</w:t>
            </w:r>
          </w:p>
        </w:tc>
        <w:tc>
          <w:tcPr>
            <w:tcW w:w="3408" w:type="dxa"/>
            <w:vAlign w:val="center"/>
          </w:tcPr>
          <w:p w14:paraId="1FFC2E6D">
            <w:r>
              <w:rPr>
                <w:sz w:val="18"/>
              </w:rPr>
              <w:t>Integrity + authentication + non-repudiation*</w:t>
            </w:r>
          </w:p>
        </w:tc>
      </w:tr>
    </w:tbl>
    <w:p w14:paraId="622DF34D">
      <w:pPr>
        <w:pStyle w:val="2"/>
        <w:spacing w:before="0" w:after="40" w:line="240" w:lineRule="auto"/>
      </w:pPr>
      <w:r>
        <w:t>3. HMAC Working</w:t>
      </w:r>
    </w:p>
    <w:p w14:paraId="26B6DD27">
      <w:pPr>
        <w:spacing w:before="0" w:after="40" w:line="240" w:lineRule="auto"/>
      </w:pPr>
      <w:r>
        <w:rPr>
          <w:b/>
        </w:rPr>
        <w:t xml:space="preserve">1. </w:t>
      </w:r>
      <w:r>
        <w:t>Sender and receiver securely share a secret key K.</w:t>
      </w:r>
    </w:p>
    <w:p w14:paraId="51151D97">
      <w:pPr>
        <w:spacing w:before="0" w:after="40" w:line="240" w:lineRule="auto"/>
      </w:pPr>
      <w:r>
        <w:rPr>
          <w:b/>
        </w:rPr>
        <w:t xml:space="preserve">2. </w:t>
      </w:r>
      <w:r>
        <w:t>Sender computes T = HMAC(K, M).</w:t>
      </w:r>
    </w:p>
    <w:p w14:paraId="61506BAE">
      <w:pPr>
        <w:spacing w:before="0" w:after="40" w:line="240" w:lineRule="auto"/>
      </w:pPr>
      <w:r>
        <w:rPr>
          <w:b/>
        </w:rPr>
        <w:t xml:space="preserve">3. </w:t>
      </w:r>
      <w:r>
        <w:t>Sender sends the message M and authentication tag T.</w:t>
      </w:r>
    </w:p>
    <w:p w14:paraId="0B6DE22E">
      <w:pPr>
        <w:spacing w:before="0" w:after="40" w:line="240" w:lineRule="auto"/>
      </w:pPr>
      <w:r>
        <w:rPr>
          <w:b/>
        </w:rPr>
        <w:t xml:space="preserve">4. </w:t>
      </w:r>
      <w:r>
        <w:t>Receiver computes T′ = HMAC(K, M) using the same secret key.</w:t>
      </w:r>
    </w:p>
    <w:p w14:paraId="241E049C">
      <w:pPr>
        <w:spacing w:before="0" w:after="40" w:line="240" w:lineRule="auto"/>
      </w:pPr>
      <w:r>
        <w:rPr>
          <w:b/>
        </w:rPr>
        <w:t xml:space="preserve">5. </w:t>
      </w:r>
      <w:r>
        <w:t>If T = T′, the message is considered authentic and unmodified; otherwise it is rejected.</w:t>
      </w:r>
    </w:p>
    <w:p w14:paraId="1DDB68F3">
      <w:pPr>
        <w:pStyle w:val="2"/>
        <w:spacing w:before="0" w:after="40" w:line="240" w:lineRule="auto"/>
      </w:pPr>
      <w:r>
        <w:t>4. Result</w:t>
      </w:r>
    </w:p>
    <w:p w14:paraId="1FA21B7C">
      <w:pPr>
        <w:spacing w:before="0" w:after="0" w:line="240" w:lineRule="auto"/>
      </w:pPr>
      <w:r>
        <w:rPr>
          <w:b/>
        </w:rPr>
        <w:t xml:space="preserve">HMAC prevents undetected message modification because an attacker may calculate a hash but cannot generate a correct authentication tag without the secret key. </w:t>
      </w:r>
      <w:r>
        <w:t>Thus, HMAC is a suitable solution when both integrity and message authentication are required.</w:t>
      </w:r>
      <w:bookmarkStart w:id="0" w:name="_GoBack"/>
      <w:bookmarkEnd w:id="0"/>
    </w:p>
    <w:p w14:paraId="1AC69BB0">
      <w:r>
        <w:br w:type="page"/>
      </w:r>
    </w:p>
    <w:p w14:paraId="4D8A3576">
      <w:pPr>
        <w:spacing w:before="0" w:after="140" w:line="240" w:lineRule="auto"/>
        <w:jc w:val="center"/>
      </w:pPr>
      <w:r>
        <w:rPr>
          <w:b/>
          <w:sz w:val="36"/>
        </w:rPr>
        <w:t>QUESTION 6 — RSA FOR LARGE FILES VS RSA + AES</w:t>
      </w:r>
    </w:p>
    <w:p w14:paraId="1E38F367">
      <w:pPr>
        <w:spacing w:before="0" w:after="100" w:line="240" w:lineRule="auto"/>
      </w:pPr>
      <w:r>
        <w:rPr>
          <w:b/>
        </w:rPr>
        <w:t xml:space="preserve">Case Study: </w:t>
      </w:r>
      <w:r>
        <w:t>A healthcare organization uses RSA encryption to protect sensitive patient records transmitted between hospitals, but performance problems occur when large files are encrypted.</w:t>
      </w:r>
    </w:p>
    <w:p w14:paraId="2394314C">
      <w:pPr>
        <w:pStyle w:val="2"/>
        <w:spacing w:before="0" w:after="40" w:line="240" w:lineRule="auto"/>
      </w:pPr>
      <w:r>
        <w:t>1. Limitations of RSA for Large Data</w:t>
      </w:r>
    </w:p>
    <w:p w14:paraId="5925FAAE">
      <w:pPr>
        <w:pStyle w:val="23"/>
        <w:spacing w:before="0" w:after="40" w:line="240" w:lineRule="auto"/>
      </w:pPr>
      <w:r>
        <w:t>RSA is an asymmetric encryption algorithm intended mainly for small values such as encryption keys, not for bulk data encryption.</w:t>
      </w:r>
    </w:p>
    <w:p w14:paraId="6A15B4CB">
      <w:pPr>
        <w:pStyle w:val="23"/>
        <w:spacing w:before="0" w:after="40" w:line="240" w:lineRule="auto"/>
      </w:pPr>
      <w:r>
        <w:t>RSA performs computationally expensive public-key operations and is much slower than symmetric algorithms such as AES.</w:t>
      </w:r>
    </w:p>
    <w:p w14:paraId="2C1327EB">
      <w:pPr>
        <w:pStyle w:val="23"/>
        <w:spacing w:before="0" w:after="40" w:line="240" w:lineRule="auto"/>
      </w:pPr>
      <w:r>
        <w:t>RSA has a strict plaintext size limit based on the RSA modulus and padding scheme, so a large patient file cannot be encrypted as one RSA plaintext.</w:t>
      </w:r>
    </w:p>
    <w:p w14:paraId="5B90ECCD">
      <w:pPr>
        <w:pStyle w:val="23"/>
        <w:spacing w:before="0" w:after="40" w:line="240" w:lineRule="auto"/>
      </w:pPr>
      <w:r>
        <w:t>Splitting a large file into many RSA-sized blocks increases processing overhead and makes the implementation more complex.</w:t>
      </w:r>
    </w:p>
    <w:p w14:paraId="658F6D43">
      <w:pPr>
        <w:pStyle w:val="23"/>
        <w:spacing w:before="0" w:after="40" w:line="240" w:lineRule="auto"/>
      </w:pPr>
      <w:r>
        <w:t>For medical images, scanned reports and large electronic health records, direct RSA encryption is therefore inefficient.</w:t>
      </w:r>
    </w:p>
    <w:p w14:paraId="07B82169">
      <w:pPr>
        <w:pStyle w:val="2"/>
        <w:spacing w:before="0" w:after="40" w:line="240" w:lineRule="auto"/>
      </w:pPr>
      <w:r>
        <w:t>2. Proposed Hybrid RSA + AES Approach</w:t>
      </w:r>
    </w:p>
    <w:p w14:paraId="2E91CAB8">
      <w:pPr>
        <w:spacing w:before="0" w:after="80" w:line="240" w:lineRule="auto"/>
      </w:pPr>
      <w:r>
        <w:rPr>
          <w:b/>
        </w:rPr>
        <w:t xml:space="preserve">The recommended solution is hybrid encryption: </w:t>
      </w:r>
      <w:r>
        <w:t>use AES to encrypt the large patient record and use RSA only to securely protect the small AES session key.</w:t>
      </w:r>
    </w:p>
    <w:p w14:paraId="3B012D8B">
      <w:pPr>
        <w:spacing w:before="0" w:after="40" w:line="240" w:lineRule="auto"/>
      </w:pPr>
      <w:r>
        <w:rPr>
          <w:b/>
        </w:rPr>
        <w:t xml:space="preserve">1. </w:t>
      </w:r>
      <w:r>
        <w:t>Hospital A generates a random AES session key.</w:t>
      </w:r>
    </w:p>
    <w:p w14:paraId="10F59017">
      <w:pPr>
        <w:spacing w:before="0" w:after="40" w:line="240" w:lineRule="auto"/>
      </w:pPr>
      <w:r>
        <w:rPr>
          <w:b/>
        </w:rPr>
        <w:t xml:space="preserve">2. </w:t>
      </w:r>
      <w:r>
        <w:t>Hospital A encrypts the large patient record using AES, preferably AES-GCM because it provides authenticated encryption.</w:t>
      </w:r>
    </w:p>
    <w:p w14:paraId="47F41ECF">
      <w:pPr>
        <w:spacing w:before="0" w:after="40" w:line="240" w:lineRule="auto"/>
      </w:pPr>
      <w:r>
        <w:rPr>
          <w:b/>
        </w:rPr>
        <w:t xml:space="preserve">3. </w:t>
      </w:r>
      <w:r>
        <w:t>Hospital A encrypts the small AES session key using Hospital B's RSA public key.</w:t>
      </w:r>
    </w:p>
    <w:p w14:paraId="0AA16FBF">
      <w:pPr>
        <w:spacing w:before="0" w:after="40" w:line="240" w:lineRule="auto"/>
      </w:pPr>
      <w:r>
        <w:rPr>
          <w:b/>
        </w:rPr>
        <w:t xml:space="preserve">4. </w:t>
      </w:r>
      <w:r>
        <w:t>Hospital A sends the encrypted patient file and encrypted AES key to Hospital B.</w:t>
      </w:r>
    </w:p>
    <w:p w14:paraId="7AAC6CF3">
      <w:pPr>
        <w:spacing w:before="0" w:after="40" w:line="240" w:lineRule="auto"/>
      </w:pPr>
      <w:r>
        <w:rPr>
          <w:b/>
        </w:rPr>
        <w:t xml:space="preserve">5. </w:t>
      </w:r>
      <w:r>
        <w:t>Hospital B uses its RSA private key to recover the AES session key.</w:t>
      </w:r>
    </w:p>
    <w:p w14:paraId="047B1C20">
      <w:pPr>
        <w:spacing w:before="0" w:after="40" w:line="240" w:lineRule="auto"/>
      </w:pPr>
      <w:r>
        <w:rPr>
          <w:b/>
        </w:rPr>
        <w:t xml:space="preserve">6. </w:t>
      </w:r>
      <w:r>
        <w:t>Hospital B uses the recovered AES key to decrypt and authenticate the patient record.</w:t>
      </w:r>
    </w:p>
    <w:p w14:paraId="022165F9">
      <w:pPr>
        <w:pStyle w:val="2"/>
        <w:spacing w:before="0" w:after="40" w:line="240" w:lineRule="auto"/>
      </w:pPr>
      <w:r>
        <w:t>3. Comparison</w:t>
      </w:r>
    </w:p>
    <w:tbl>
      <w:tblPr>
        <w:tblStyle w:val="12"/>
        <w:tblW w:w="0" w:type="auto"/>
        <w:jc w:val="center"/>
        <w:tblLayout w:type="autofit"/>
        <w:tblCellMar>
          <w:top w:w="0" w:type="dxa"/>
          <w:left w:w="108" w:type="dxa"/>
          <w:bottom w:w="0" w:type="dxa"/>
          <w:right w:w="108" w:type="dxa"/>
        </w:tblCellMar>
      </w:tblPr>
      <w:tblGrid>
        <w:gridCol w:w="3408"/>
        <w:gridCol w:w="3408"/>
        <w:gridCol w:w="3408"/>
      </w:tblGrid>
      <w:tr w14:paraId="46D0E87E">
        <w:tblPrEx>
          <w:tblCellMar>
            <w:top w:w="0" w:type="dxa"/>
            <w:left w:w="108" w:type="dxa"/>
            <w:bottom w:w="0" w:type="dxa"/>
            <w:right w:w="108" w:type="dxa"/>
          </w:tblCellMar>
        </w:tblPrEx>
        <w:trPr>
          <w:jc w:val="center"/>
        </w:trPr>
        <w:tc>
          <w:tcPr>
            <w:tcW w:w="3408" w:type="dxa"/>
            <w:shd w:val="clear" w:color="auto" w:fill="D9EAF7"/>
          </w:tcPr>
          <w:p w14:paraId="5E705169">
            <w:r>
              <w:rPr>
                <w:b/>
                <w:sz w:val="18"/>
              </w:rPr>
              <w:t>Feature</w:t>
            </w:r>
          </w:p>
        </w:tc>
        <w:tc>
          <w:tcPr>
            <w:tcW w:w="3408" w:type="dxa"/>
            <w:shd w:val="clear" w:color="auto" w:fill="D9EAF7"/>
          </w:tcPr>
          <w:p w14:paraId="72C4E838">
            <w:r>
              <w:rPr>
                <w:b/>
                <w:sz w:val="18"/>
              </w:rPr>
              <w:t>Direct RSA</w:t>
            </w:r>
          </w:p>
        </w:tc>
        <w:tc>
          <w:tcPr>
            <w:tcW w:w="3408" w:type="dxa"/>
            <w:shd w:val="clear" w:color="auto" w:fill="D9EAF7"/>
          </w:tcPr>
          <w:p w14:paraId="26FDC086">
            <w:r>
              <w:rPr>
                <w:b/>
                <w:sz w:val="18"/>
              </w:rPr>
              <w:t>RSA + AES Hybrid</w:t>
            </w:r>
          </w:p>
        </w:tc>
      </w:tr>
      <w:tr w14:paraId="293266A4">
        <w:tblPrEx>
          <w:tblCellMar>
            <w:top w:w="0" w:type="dxa"/>
            <w:left w:w="108" w:type="dxa"/>
            <w:bottom w:w="0" w:type="dxa"/>
            <w:right w:w="108" w:type="dxa"/>
          </w:tblCellMar>
        </w:tblPrEx>
        <w:trPr>
          <w:jc w:val="center"/>
        </w:trPr>
        <w:tc>
          <w:tcPr>
            <w:tcW w:w="3408" w:type="dxa"/>
            <w:vAlign w:val="center"/>
          </w:tcPr>
          <w:p w14:paraId="1F652B27">
            <w:r>
              <w:rPr>
                <w:sz w:val="18"/>
              </w:rPr>
              <w:t>Large-file speed</w:t>
            </w:r>
          </w:p>
        </w:tc>
        <w:tc>
          <w:tcPr>
            <w:tcW w:w="3408" w:type="dxa"/>
            <w:vAlign w:val="center"/>
          </w:tcPr>
          <w:p w14:paraId="3622DEE9">
            <w:r>
              <w:rPr>
                <w:sz w:val="18"/>
              </w:rPr>
              <w:t>Slow</w:t>
            </w:r>
          </w:p>
        </w:tc>
        <w:tc>
          <w:tcPr>
            <w:tcW w:w="3408" w:type="dxa"/>
            <w:vAlign w:val="center"/>
          </w:tcPr>
          <w:p w14:paraId="40705928">
            <w:r>
              <w:rPr>
                <w:sz w:val="18"/>
              </w:rPr>
              <w:t>Fast</w:t>
            </w:r>
          </w:p>
        </w:tc>
      </w:tr>
      <w:tr w14:paraId="582B702F">
        <w:tblPrEx>
          <w:tblCellMar>
            <w:top w:w="0" w:type="dxa"/>
            <w:left w:w="108" w:type="dxa"/>
            <w:bottom w:w="0" w:type="dxa"/>
            <w:right w:w="108" w:type="dxa"/>
          </w:tblCellMar>
        </w:tblPrEx>
        <w:trPr>
          <w:jc w:val="center"/>
        </w:trPr>
        <w:tc>
          <w:tcPr>
            <w:tcW w:w="3408" w:type="dxa"/>
            <w:vAlign w:val="center"/>
          </w:tcPr>
          <w:p w14:paraId="58970D04">
            <w:r>
              <w:rPr>
                <w:sz w:val="18"/>
              </w:rPr>
              <w:t>Large data support</w:t>
            </w:r>
          </w:p>
        </w:tc>
        <w:tc>
          <w:tcPr>
            <w:tcW w:w="3408" w:type="dxa"/>
            <w:vAlign w:val="center"/>
          </w:tcPr>
          <w:p w14:paraId="274A7C64">
            <w:r>
              <w:rPr>
                <w:sz w:val="18"/>
              </w:rPr>
              <w:t>Limited</w:t>
            </w:r>
          </w:p>
        </w:tc>
        <w:tc>
          <w:tcPr>
            <w:tcW w:w="3408" w:type="dxa"/>
            <w:vAlign w:val="center"/>
          </w:tcPr>
          <w:p w14:paraId="1D1C255A">
            <w:r>
              <w:rPr>
                <w:sz w:val="18"/>
              </w:rPr>
              <w:t>Excellent</w:t>
            </w:r>
          </w:p>
        </w:tc>
      </w:tr>
      <w:tr w14:paraId="7E632777">
        <w:tblPrEx>
          <w:tblCellMar>
            <w:top w:w="0" w:type="dxa"/>
            <w:left w:w="108" w:type="dxa"/>
            <w:bottom w:w="0" w:type="dxa"/>
            <w:right w:w="108" w:type="dxa"/>
          </w:tblCellMar>
        </w:tblPrEx>
        <w:trPr>
          <w:jc w:val="center"/>
        </w:trPr>
        <w:tc>
          <w:tcPr>
            <w:tcW w:w="3408" w:type="dxa"/>
            <w:vAlign w:val="center"/>
          </w:tcPr>
          <w:p w14:paraId="5A95C302">
            <w:r>
              <w:rPr>
                <w:sz w:val="18"/>
              </w:rPr>
              <w:t>RSA workload</w:t>
            </w:r>
          </w:p>
        </w:tc>
        <w:tc>
          <w:tcPr>
            <w:tcW w:w="3408" w:type="dxa"/>
            <w:vAlign w:val="center"/>
          </w:tcPr>
          <w:p w14:paraId="1C6C31E9">
            <w:r>
              <w:rPr>
                <w:sz w:val="18"/>
              </w:rPr>
              <w:t>Encrypts data</w:t>
            </w:r>
          </w:p>
        </w:tc>
        <w:tc>
          <w:tcPr>
            <w:tcW w:w="3408" w:type="dxa"/>
            <w:vAlign w:val="center"/>
          </w:tcPr>
          <w:p w14:paraId="296EB41D">
            <w:r>
              <w:rPr>
                <w:sz w:val="18"/>
              </w:rPr>
              <w:t>Protects only AES key</w:t>
            </w:r>
          </w:p>
        </w:tc>
      </w:tr>
      <w:tr w14:paraId="0F14F0DF">
        <w:tblPrEx>
          <w:tblCellMar>
            <w:top w:w="0" w:type="dxa"/>
            <w:left w:w="108" w:type="dxa"/>
            <w:bottom w:w="0" w:type="dxa"/>
            <w:right w:w="108" w:type="dxa"/>
          </w:tblCellMar>
        </w:tblPrEx>
        <w:trPr>
          <w:jc w:val="center"/>
        </w:trPr>
        <w:tc>
          <w:tcPr>
            <w:tcW w:w="3408" w:type="dxa"/>
            <w:vAlign w:val="center"/>
          </w:tcPr>
          <w:p w14:paraId="2353EF9F">
            <w:r>
              <w:rPr>
                <w:sz w:val="18"/>
              </w:rPr>
              <w:t>Bulk encryption</w:t>
            </w:r>
          </w:p>
        </w:tc>
        <w:tc>
          <w:tcPr>
            <w:tcW w:w="3408" w:type="dxa"/>
            <w:vAlign w:val="center"/>
          </w:tcPr>
          <w:p w14:paraId="6991EE41">
            <w:r>
              <w:rPr>
                <w:sz w:val="18"/>
              </w:rPr>
              <w:t>Inefficient</w:t>
            </w:r>
          </w:p>
        </w:tc>
        <w:tc>
          <w:tcPr>
            <w:tcW w:w="3408" w:type="dxa"/>
            <w:vAlign w:val="center"/>
          </w:tcPr>
          <w:p w14:paraId="72804F05">
            <w:r>
              <w:rPr>
                <w:sz w:val="18"/>
              </w:rPr>
              <w:t>AES handles large files efficiently</w:t>
            </w:r>
          </w:p>
        </w:tc>
      </w:tr>
      <w:tr w14:paraId="7EE297D7">
        <w:tblPrEx>
          <w:tblCellMar>
            <w:top w:w="0" w:type="dxa"/>
            <w:left w:w="108" w:type="dxa"/>
            <w:bottom w:w="0" w:type="dxa"/>
            <w:right w:w="108" w:type="dxa"/>
          </w:tblCellMar>
        </w:tblPrEx>
        <w:trPr>
          <w:jc w:val="center"/>
        </w:trPr>
        <w:tc>
          <w:tcPr>
            <w:tcW w:w="3408" w:type="dxa"/>
            <w:vAlign w:val="center"/>
          </w:tcPr>
          <w:p w14:paraId="76087D5D">
            <w:r>
              <w:rPr>
                <w:sz w:val="18"/>
              </w:rPr>
              <w:t>Recommended for healthcare files</w:t>
            </w:r>
          </w:p>
        </w:tc>
        <w:tc>
          <w:tcPr>
            <w:tcW w:w="3408" w:type="dxa"/>
            <w:vAlign w:val="center"/>
          </w:tcPr>
          <w:p w14:paraId="2F966B6E">
            <w:r>
              <w:rPr>
                <w:sz w:val="18"/>
              </w:rPr>
              <w:t>No</w:t>
            </w:r>
          </w:p>
        </w:tc>
        <w:tc>
          <w:tcPr>
            <w:tcW w:w="3408" w:type="dxa"/>
            <w:vAlign w:val="center"/>
          </w:tcPr>
          <w:p w14:paraId="6A3DC482">
            <w:r>
              <w:rPr>
                <w:sz w:val="18"/>
              </w:rPr>
              <w:t>Yes</w:t>
            </w:r>
          </w:p>
        </w:tc>
      </w:tr>
    </w:tbl>
    <w:p w14:paraId="49ECA3EA">
      <w:pPr>
        <w:pStyle w:val="2"/>
        <w:spacing w:before="0" w:after="40" w:line="240" w:lineRule="auto"/>
      </w:pPr>
      <w:r>
        <w:t>4. Result</w:t>
      </w:r>
    </w:p>
    <w:p w14:paraId="140D8504">
      <w:pPr>
        <w:spacing w:before="0" w:after="0" w:line="240" w:lineRule="auto"/>
      </w:pPr>
      <w:r>
        <w:rPr>
          <w:b/>
        </w:rPr>
        <w:t xml:space="preserve">The RSA + AES hybrid approach is more efficient, scalable and practical for secure healthcare communication. </w:t>
      </w:r>
      <w:r>
        <w:t>RSA provides secure public-key protection for the AES session key, while AES provides fast encryption for large patient records. AES-GCM can additionally provide integrity and authentication for the encrypted data.</w:t>
      </w:r>
    </w:p>
    <w:p w14:paraId="0CFCE767">
      <w:pPr>
        <w:spacing w:before="0" w:after="0" w:line="240" w:lineRule="auto"/>
        <w:jc w:val="center"/>
      </w:pPr>
    </w:p>
    <w:sectPr>
      <w:footerReference r:id="rId5" w:type="default"/>
      <w:pgSz w:w="12240" w:h="15840"/>
      <w:pgMar w:top="792" w:right="1008" w:bottom="792"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E090B">
    <w:pPr>
      <w:pStyle w:val="1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995434"/>
    <w:rsid w:val="603F18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669</Words>
  <Characters>3577</Characters>
  <Lines>0</Lines>
  <Paragraphs>0</Paragraphs>
  <TotalTime>2</TotalTime>
  <ScaleCrop>false</ScaleCrop>
  <LinksUpToDate>false</LinksUpToDate>
  <CharactersWithSpaces>4178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2026-08-14T06:17:04Z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2D9E49D3B0F14E659C2C5409CC5BA3D2_13</vt:lpwstr>
  </property>
</Properties>
</file>