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4"/>
        </w:rPr>
        <w:t>MEDIROZA GENERAL HOSPITAL</w:t>
      </w:r>
    </w:p>
    <w:p>
      <w:pPr>
        <w:jc w:val="center"/>
      </w:pPr>
      <w:r>
        <w:rPr>
          <w:b/>
          <w:color w:val="2F5597"/>
          <w:sz w:val="40"/>
        </w:rPr>
        <w:t>INDEPENDENT WEB APPLICATION SECURITY ASSESSMENT</w:t>
      </w:r>
    </w:p>
    <w:p>
      <w:pPr>
        <w:jc w:val="center"/>
      </w:pPr>
      <w:r>
        <w:rPr>
          <w:b/>
          <w:sz w:val="30"/>
        </w:rPr>
        <w:t>PORTFOLIO-SAFE CASE STUDY</w:t>
      </w:r>
    </w:p>
    <w:p>
      <w:pPr>
        <w:jc w:val="center"/>
      </w:pPr>
      <w:r>
        <w:rPr>
          <w:b/>
        </w:rPr>
        <w:t>Prepared by Chandrashekar Bala</w:t>
      </w:r>
    </w:p>
    <w:p>
      <w:pPr>
        <w:jc w:val="center"/>
      </w:pPr>
      <w:r>
        <w:rPr>
          <w:i/>
        </w:rPr>
        <w:t>Authorized black-box assessment • 01 October 2026 • Public-safe edition</w:t>
      </w:r>
    </w:p>
    <w:p>
      <w:r>
        <w:t>This version is sanitized for public portfolio use. Credentials, patient records, national identifiers, direct contact data and raw sensitive artifacts are intentionally excluded.</w:t>
      </w:r>
    </w:p>
    <w:p>
      <w:r>
        <w:br w:type="page"/>
      </w:r>
    </w:p>
    <w:p>
      <w:pPr>
        <w:pStyle w:val="Heading1"/>
      </w:pPr>
      <w:r>
        <w:t>Project Overview</w:t>
      </w:r>
    </w:p>
    <w:p>
      <w:r>
        <w:t>This standalone case study demonstrates an end-to-end web application security assessment performed from an external, unauthenticated position under written authorization. The work combines reconnaissance, manual exploitation, evidence validation, document-security analysis, impact quantification, remediation engineering and retest design.</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Capability</w:t>
            </w:r>
          </w:p>
        </w:tc>
        <w:tc>
          <w:tcPr>
            <w:tcW w:type="dxa" w:w="5040"/>
            <w:shd w:fill="17365D"/>
          </w:tcPr>
          <w:p>
            <w:r>
              <w:rPr>
                <w:b/>
                <w:color w:val="FFFFFF"/>
              </w:rPr>
              <w:t>Demonstrated work</w:t>
            </w:r>
          </w:p>
        </w:tc>
      </w:tr>
      <w:tr>
        <w:tc>
          <w:tcPr>
            <w:tcW w:type="dxa" w:w="5040"/>
          </w:tcPr>
          <w:p>
            <w:r>
              <w:t>Web reconnaissance</w:t>
            </w:r>
          </w:p>
        </w:tc>
        <w:tc>
          <w:tcPr>
            <w:tcW w:type="dxa" w:w="5040"/>
          </w:tcPr>
          <w:p>
            <w:r>
              <w:t>DNS, HTTP metadata, robots/sitemap, application mapping</w:t>
            </w:r>
          </w:p>
        </w:tc>
      </w:tr>
      <w:tr>
        <w:tc>
          <w:tcPr>
            <w:tcW w:type="dxa" w:w="5040"/>
          </w:tcPr>
          <w:p>
            <w:r>
              <w:t>Offensive testing</w:t>
            </w:r>
          </w:p>
        </w:tc>
        <w:tc>
          <w:tcPr>
            <w:tcW w:type="dxa" w:w="5040"/>
          </w:tcPr>
          <w:p>
            <w:r>
              <w:t>Authentication testing, SQL injection, directory exposure, object-access analysis</w:t>
            </w:r>
          </w:p>
        </w:tc>
      </w:tr>
      <w:tr>
        <w:tc>
          <w:tcPr>
            <w:tcW w:type="dxa" w:w="5040"/>
          </w:tcPr>
          <w:p>
            <w:r>
              <w:t>Tooling</w:t>
            </w:r>
          </w:p>
        </w:tc>
        <w:tc>
          <w:tcPr>
            <w:tcW w:type="dxa" w:w="5040"/>
          </w:tcPr>
          <w:p>
            <w:r>
              <w:t>Nmap, curl, Burp Suite, sqlmap, qpdf, pdfcrack</w:t>
            </w:r>
          </w:p>
        </w:tc>
      </w:tr>
      <w:tr>
        <w:tc>
          <w:tcPr>
            <w:tcW w:type="dxa" w:w="5040"/>
          </w:tcPr>
          <w:p>
            <w:r>
              <w:t>Evidence engineering</w:t>
            </w:r>
          </w:p>
        </w:tc>
        <w:tc>
          <w:tcPr>
            <w:tcW w:type="dxa" w:w="5040"/>
          </w:tcPr>
          <w:p>
            <w:r>
              <w:t>Baseline/exploit comparison, screenshots, hashes, command register</w:t>
            </w:r>
          </w:p>
        </w:tc>
      </w:tr>
      <w:tr>
        <w:tc>
          <w:tcPr>
            <w:tcW w:type="dxa" w:w="5040"/>
          </w:tcPr>
          <w:p>
            <w:r>
              <w:t>Defensive engineering</w:t>
            </w:r>
          </w:p>
        </w:tc>
        <w:tc>
          <w:tcPr>
            <w:tcW w:type="dxa" w:w="5040"/>
          </w:tcPr>
          <w:p>
            <w:r>
              <w:t>Root-cause analysis, remediation patterns, detection rules, regression tests</w:t>
            </w:r>
          </w:p>
        </w:tc>
      </w:tr>
    </w:tbl>
    <w:p>
      <w:pPr>
        <w:pStyle w:val="Heading1"/>
      </w:pPr>
      <w:r>
        <w:t>Executive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rPr>
              <w:t>ID</w:t>
            </w:r>
          </w:p>
        </w:tc>
        <w:tc>
          <w:tcPr>
            <w:tcW w:type="dxa" w:w="2520"/>
            <w:shd w:fill="17365D"/>
          </w:tcPr>
          <w:p>
            <w:r>
              <w:rPr>
                <w:b/>
                <w:color w:val="FFFFFF"/>
              </w:rPr>
              <w:t>Finding</w:t>
            </w:r>
          </w:p>
        </w:tc>
        <w:tc>
          <w:tcPr>
            <w:tcW w:type="dxa" w:w="2520"/>
            <w:shd w:fill="17365D"/>
          </w:tcPr>
          <w:p>
            <w:r>
              <w:rPr>
                <w:b/>
                <w:color w:val="FFFFFF"/>
              </w:rPr>
              <w:t>Severity</w:t>
            </w:r>
          </w:p>
        </w:tc>
        <w:tc>
          <w:tcPr>
            <w:tcW w:type="dxa" w:w="2520"/>
            <w:shd w:fill="17365D"/>
          </w:tcPr>
          <w:p>
            <w:r>
              <w:rPr>
                <w:b/>
                <w:color w:val="FFFFFF"/>
              </w:rPr>
              <w:t>CVSS</w:t>
            </w:r>
          </w:p>
        </w:tc>
      </w:tr>
      <w:tr>
        <w:tc>
          <w:tcPr>
            <w:tcW w:type="dxa" w:w="2520"/>
            <w:shd w:fill="D97706"/>
          </w:tcPr>
          <w:p>
            <w:r>
              <w:rPr>
                <w:b/>
                <w:color w:val="FFFFFF"/>
              </w:rPr>
              <w:t>F-01</w:t>
            </w:r>
          </w:p>
        </w:tc>
        <w:tc>
          <w:tcPr>
            <w:tcW w:type="dxa" w:w="2520"/>
            <w:shd w:fill="D97706"/>
          </w:tcPr>
          <w:p>
            <w:r>
              <w:rPr>
                <w:b/>
                <w:color w:val="FFFFFF"/>
              </w:rPr>
              <w:t>Unauthenticated directory indexing</w:t>
            </w:r>
          </w:p>
        </w:tc>
        <w:tc>
          <w:tcPr>
            <w:tcW w:type="dxa" w:w="2520"/>
            <w:shd w:fill="D97706"/>
          </w:tcPr>
          <w:p>
            <w:r>
              <w:rPr>
                <w:b/>
                <w:color w:val="FFFFFF"/>
              </w:rPr>
              <w:t>HIGH</w:t>
            </w:r>
          </w:p>
        </w:tc>
        <w:tc>
          <w:tcPr>
            <w:tcW w:type="dxa" w:w="2520"/>
            <w:shd w:fill="D97706"/>
          </w:tcPr>
          <w:p>
            <w:r>
              <w:rPr>
                <w:b/>
                <w:color w:val="FFFFFF"/>
              </w:rPr>
              <w:t>7.5</w:t>
            </w:r>
          </w:p>
        </w:tc>
      </w:tr>
      <w:tr>
        <w:tc>
          <w:tcPr>
            <w:tcW w:type="dxa" w:w="2520"/>
            <w:shd w:fill="B91C1C"/>
          </w:tcPr>
          <w:p>
            <w:r>
              <w:rPr>
                <w:b/>
                <w:color w:val="FFFFFF"/>
              </w:rPr>
              <w:t>F-02</w:t>
            </w:r>
          </w:p>
        </w:tc>
        <w:tc>
          <w:tcPr>
            <w:tcW w:type="dxa" w:w="2520"/>
            <w:shd w:fill="B91C1C"/>
          </w:tcPr>
          <w:p>
            <w:r>
              <w:rPr>
                <w:b/>
                <w:color w:val="FFFFFF"/>
              </w:rPr>
              <w:t>Public internal database backup exposure</w:t>
            </w:r>
          </w:p>
        </w:tc>
        <w:tc>
          <w:tcPr>
            <w:tcW w:type="dxa" w:w="2520"/>
            <w:shd w:fill="B91C1C"/>
          </w:tcPr>
          <w:p>
            <w:r>
              <w:rPr>
                <w:b/>
                <w:color w:val="FFFFFF"/>
              </w:rPr>
              <w:t>CRITICAL</w:t>
            </w:r>
          </w:p>
        </w:tc>
        <w:tc>
          <w:tcPr>
            <w:tcW w:type="dxa" w:w="2520"/>
            <w:shd w:fill="B91C1C"/>
          </w:tcPr>
          <w:p>
            <w:r>
              <w:rPr>
                <w:b/>
                <w:color w:val="FFFFFF"/>
              </w:rPr>
              <w:t>9.4*</w:t>
            </w:r>
          </w:p>
        </w:tc>
      </w:tr>
      <w:tr>
        <w:tc>
          <w:tcPr>
            <w:tcW w:type="dxa" w:w="2520"/>
            <w:shd w:fill="B91C1C"/>
          </w:tcPr>
          <w:p>
            <w:r>
              <w:rPr>
                <w:b/>
                <w:color w:val="FFFFFF"/>
              </w:rPr>
              <w:t>F-03</w:t>
            </w:r>
          </w:p>
        </w:tc>
        <w:tc>
          <w:tcPr>
            <w:tcW w:type="dxa" w:w="2520"/>
            <w:shd w:fill="B91C1C"/>
          </w:tcPr>
          <w:p>
            <w:r>
              <w:rPr>
                <w:b/>
                <w:color w:val="FFFFFF"/>
              </w:rPr>
              <w:t>SQL injection authentication bypass</w:t>
            </w:r>
          </w:p>
        </w:tc>
        <w:tc>
          <w:tcPr>
            <w:tcW w:type="dxa" w:w="2520"/>
            <w:shd w:fill="B91C1C"/>
          </w:tcPr>
          <w:p>
            <w:r>
              <w:rPr>
                <w:b/>
                <w:color w:val="FFFFFF"/>
              </w:rPr>
              <w:t>CRITICAL</w:t>
            </w:r>
          </w:p>
        </w:tc>
        <w:tc>
          <w:tcPr>
            <w:tcW w:type="dxa" w:w="2520"/>
            <w:shd w:fill="B91C1C"/>
          </w:tcPr>
          <w:p>
            <w:r>
              <w:rPr>
                <w:b/>
                <w:color w:val="FFFFFF"/>
              </w:rPr>
              <w:t>9.8</w:t>
            </w:r>
          </w:p>
        </w:tc>
      </w:tr>
      <w:tr>
        <w:tc>
          <w:tcPr>
            <w:tcW w:type="dxa" w:w="2520"/>
            <w:shd w:fill="B45309"/>
          </w:tcPr>
          <w:p>
            <w:r>
              <w:rPr>
                <w:b/>
                <w:color w:val="FFFFFF"/>
              </w:rPr>
              <w:t>F-04</w:t>
            </w:r>
          </w:p>
        </w:tc>
        <w:tc>
          <w:tcPr>
            <w:tcW w:type="dxa" w:w="2520"/>
            <w:shd w:fill="B45309"/>
          </w:tcPr>
          <w:p>
            <w:r>
              <w:rPr>
                <w:b/>
                <w:color w:val="FFFFFF"/>
              </w:rPr>
              <w:t>Verbose SQL error disclosure</w:t>
            </w:r>
          </w:p>
        </w:tc>
        <w:tc>
          <w:tcPr>
            <w:tcW w:type="dxa" w:w="2520"/>
            <w:shd w:fill="B45309"/>
          </w:tcPr>
          <w:p>
            <w:r>
              <w:rPr>
                <w:b/>
                <w:color w:val="FFFFFF"/>
              </w:rPr>
              <w:t>MEDIUM</w:t>
            </w:r>
          </w:p>
        </w:tc>
        <w:tc>
          <w:tcPr>
            <w:tcW w:type="dxa" w:w="2520"/>
            <w:shd w:fill="B45309"/>
          </w:tcPr>
          <w:p>
            <w:r>
              <w:rPr>
                <w:b/>
                <w:color w:val="FFFFFF"/>
              </w:rPr>
              <w:t>5.3</w:t>
            </w:r>
          </w:p>
        </w:tc>
      </w:tr>
      <w:tr>
        <w:tc>
          <w:tcPr>
            <w:tcW w:type="dxa" w:w="2520"/>
            <w:shd w:fill="D97706"/>
          </w:tcPr>
          <w:p>
            <w:r>
              <w:rPr>
                <w:b/>
                <w:color w:val="FFFFFF"/>
              </w:rPr>
              <w:t>F-05</w:t>
            </w:r>
          </w:p>
        </w:tc>
        <w:tc>
          <w:tcPr>
            <w:tcW w:type="dxa" w:w="2520"/>
            <w:shd w:fill="D97706"/>
          </w:tcPr>
          <w:p>
            <w:r>
              <w:rPr>
                <w:b/>
                <w:color w:val="FFFFFF"/>
              </w:rPr>
              <w:t>Sensitive report retrieval after auth bypass</w:t>
            </w:r>
          </w:p>
        </w:tc>
        <w:tc>
          <w:tcPr>
            <w:tcW w:type="dxa" w:w="2520"/>
            <w:shd w:fill="D97706"/>
          </w:tcPr>
          <w:p>
            <w:r>
              <w:rPr>
                <w:b/>
                <w:color w:val="FFFFFF"/>
              </w:rPr>
              <w:t>HIGH</w:t>
            </w:r>
          </w:p>
        </w:tc>
        <w:tc>
          <w:tcPr>
            <w:tcW w:type="dxa" w:w="2520"/>
            <w:shd w:fill="D97706"/>
          </w:tcPr>
          <w:p>
            <w:r>
              <w:rPr>
                <w:b/>
                <w:color w:val="FFFFFF"/>
              </w:rPr>
              <w:t>8.1*</w:t>
            </w:r>
          </w:p>
        </w:tc>
      </w:tr>
      <w:tr>
        <w:tc>
          <w:tcPr>
            <w:tcW w:type="dxa" w:w="2520"/>
            <w:shd w:fill="15803D"/>
          </w:tcPr>
          <w:p>
            <w:r>
              <w:rPr>
                <w:b/>
                <w:color w:val="FFFFFF"/>
              </w:rPr>
              <w:t>F-06</w:t>
            </w:r>
          </w:p>
        </w:tc>
        <w:tc>
          <w:tcPr>
            <w:tcW w:type="dxa" w:w="2520"/>
            <w:shd w:fill="15803D"/>
          </w:tcPr>
          <w:p>
            <w:r>
              <w:rPr>
                <w:b/>
                <w:color w:val="FFFFFF"/>
              </w:rPr>
              <w:t>Predictable/disclosed report path</w:t>
            </w:r>
          </w:p>
        </w:tc>
        <w:tc>
          <w:tcPr>
            <w:tcW w:type="dxa" w:w="2520"/>
            <w:shd w:fill="15803D"/>
          </w:tcPr>
          <w:p>
            <w:r>
              <w:rPr>
                <w:b/>
                <w:color w:val="FFFFFF"/>
              </w:rPr>
              <w:t>LOW</w:t>
            </w:r>
          </w:p>
        </w:tc>
        <w:tc>
          <w:tcPr>
            <w:tcW w:type="dxa" w:w="2520"/>
            <w:shd w:fill="15803D"/>
          </w:tcPr>
          <w:p>
            <w:r>
              <w:rPr>
                <w:b/>
                <w:color w:val="FFFFFF"/>
              </w:rPr>
              <w:t>3.1*</w:t>
            </w:r>
          </w:p>
        </w:tc>
      </w:tr>
      <w:tr>
        <w:tc>
          <w:tcPr>
            <w:tcW w:type="dxa" w:w="2520"/>
            <w:shd w:fill="B45309"/>
          </w:tcPr>
          <w:p>
            <w:r>
              <w:rPr>
                <w:b/>
                <w:color w:val="FFFFFF"/>
              </w:rPr>
              <w:t>F-07</w:t>
            </w:r>
          </w:p>
        </w:tc>
        <w:tc>
          <w:tcPr>
            <w:tcW w:type="dxa" w:w="2520"/>
            <w:shd w:fill="B45309"/>
          </w:tcPr>
          <w:p>
            <w:r>
              <w:rPr>
                <w:b/>
                <w:color w:val="FFFFFF"/>
              </w:rPr>
              <w:t>Error-log metadata disclosure</w:t>
            </w:r>
          </w:p>
        </w:tc>
        <w:tc>
          <w:tcPr>
            <w:tcW w:type="dxa" w:w="2520"/>
            <w:shd w:fill="B45309"/>
          </w:tcPr>
          <w:p>
            <w:r>
              <w:rPr>
                <w:b/>
                <w:color w:val="FFFFFF"/>
              </w:rPr>
              <w:t>MEDIUM</w:t>
            </w:r>
          </w:p>
        </w:tc>
        <w:tc>
          <w:tcPr>
            <w:tcW w:type="dxa" w:w="2520"/>
            <w:shd w:fill="B45309"/>
          </w:tcPr>
          <w:p>
            <w:r>
              <w:rPr>
                <w:b/>
                <w:color w:val="FFFFFF"/>
              </w:rPr>
              <w:t>5.3*</w:t>
            </w:r>
          </w:p>
        </w:tc>
      </w:tr>
      <w:tr>
        <w:tc>
          <w:tcPr>
            <w:tcW w:type="dxa" w:w="2520"/>
            <w:shd w:fill="15803D"/>
          </w:tcPr>
          <w:p>
            <w:r>
              <w:rPr>
                <w:b/>
                <w:color w:val="FFFFFF"/>
              </w:rPr>
              <w:t>F-08</w:t>
            </w:r>
          </w:p>
        </w:tc>
        <w:tc>
          <w:tcPr>
            <w:tcW w:type="dxa" w:w="2520"/>
            <w:shd w:fill="15803D"/>
          </w:tcPr>
          <w:p>
            <w:r>
              <w:rPr>
                <w:b/>
                <w:color w:val="FFFFFF"/>
              </w:rPr>
              <w:t>Server/hosting fingerprint disclosure</w:t>
            </w:r>
          </w:p>
        </w:tc>
        <w:tc>
          <w:tcPr>
            <w:tcW w:type="dxa" w:w="2520"/>
            <w:shd w:fill="15803D"/>
          </w:tcPr>
          <w:p>
            <w:r>
              <w:rPr>
                <w:b/>
                <w:color w:val="FFFFFF"/>
              </w:rPr>
              <w:t>LOW</w:t>
            </w:r>
          </w:p>
        </w:tc>
        <w:tc>
          <w:tcPr>
            <w:tcW w:type="dxa" w:w="2520"/>
            <w:shd w:fill="15803D"/>
          </w:tcPr>
          <w:p>
            <w:r>
              <w:rPr>
                <w:b/>
                <w:color w:val="FFFFFF"/>
              </w:rPr>
              <w:t>3.1*</w:t>
            </w:r>
          </w:p>
        </w:tc>
      </w:tr>
    </w:tbl>
    <w:p>
      <w:r>
        <w:t>The most important technical result is the independently reproducible authentication-state change: a normal invalid login returned HTTP 200 with no redirect, while a controlled SQL syntax mutation returned HTTP 302 to the patient portal. Browser evidence confirmed the resulting portal state.</w:t>
      </w:r>
    </w:p>
    <w:p>
      <w:r>
        <w:br w:type="page"/>
      </w:r>
    </w:p>
    <w:p>
      <w:pPr>
        <w:pStyle w:val="Heading1"/>
      </w:pPr>
      <w:r>
        <w:t>Technical Deep Dive — SQL Injection</w:t>
      </w:r>
    </w:p>
    <w:p>
      <w:r>
        <w:t>The login endpoint accepted username and password via POST. The baseline request established normal behavior. The exploit request changed only the username field. The application then redirected to the patient portal. The exact server-side source code was not available, so the report describes the root cause at the observable control level: untrusted input is influencing database query behavior.</w:t>
      </w:r>
    </w:p>
    <w:p>
      <w:r>
        <w:t>A secure implementation should use parameterized queries so the database receives the username as data rather than executable SQL syntax. Production error handling should also suppress database-driver messages and preserve diagnostics only in protected server-side logs.</w:t>
      </w:r>
    </w:p>
    <w:p>
      <w:pPr>
        <w:jc w:val="center"/>
      </w:pPr>
      <w:r>
        <w:drawing>
          <wp:inline xmlns:a="http://schemas.openxmlformats.org/drawingml/2006/main" xmlns:pic="http://schemas.openxmlformats.org/drawingml/2006/picture">
            <wp:extent cx="5486400" cy="2924935"/>
            <wp:docPr id="1" name="Picture 1"/>
            <wp:cNvGraphicFramePr>
              <a:graphicFrameLocks noChangeAspect="1"/>
            </wp:cNvGraphicFramePr>
            <a:graphic>
              <a:graphicData uri="http://schemas.openxmlformats.org/drawingml/2006/picture">
                <pic:pic>
                  <pic:nvPicPr>
                    <pic:cNvPr id="0" name="13_Patient_Login_Form.png"/>
                    <pic:cNvPicPr/>
                  </pic:nvPicPr>
                  <pic:blipFill>
                    <a:blip r:embed="rId9"/>
                    <a:stretch>
                      <a:fillRect/>
                    </a:stretch>
                  </pic:blipFill>
                  <pic:spPr>
                    <a:xfrm>
                      <a:off x="0" y="0"/>
                      <a:ext cx="5486400" cy="2924935"/>
                    </a:xfrm>
                    <a:prstGeom prst="rect"/>
                  </pic:spPr>
                </pic:pic>
              </a:graphicData>
            </a:graphic>
          </wp:inline>
        </w:drawing>
      </w:r>
    </w:p>
    <w:p>
      <w:pPr>
        <w:jc w:val="center"/>
      </w:pPr>
      <w:r>
        <w:rPr>
          <w:i/>
          <w:color w:val="646464"/>
          <w:sz w:val="16"/>
        </w:rPr>
        <w:t>Patient login surface — public-safe evidence.</w:t>
      </w:r>
    </w:p>
    <w:p>
      <w:pPr>
        <w:jc w:val="center"/>
      </w:pPr>
      <w:r>
        <w:drawing>
          <wp:inline xmlns:a="http://schemas.openxmlformats.org/drawingml/2006/main" xmlns:pic="http://schemas.openxmlformats.org/drawingml/2006/picture">
            <wp:extent cx="5486400" cy="3082344"/>
            <wp:docPr id="2" name="Picture 2"/>
            <wp:cNvGraphicFramePr>
              <a:graphicFrameLocks noChangeAspect="1"/>
            </wp:cNvGraphicFramePr>
            <a:graphic>
              <a:graphicData uri="http://schemas.openxmlformats.org/drawingml/2006/picture">
                <pic:pic>
                  <pic:nvPicPr>
                    <pic:cNvPr id="0" name="03_SQLi_Test_Request.png"/>
                    <pic:cNvPicPr/>
                  </pic:nvPicPr>
                  <pic:blipFill>
                    <a:blip r:embed="rId10"/>
                    <a:stretch>
                      <a:fillRect/>
                    </a:stretch>
                  </pic:blipFill>
                  <pic:spPr>
                    <a:xfrm>
                      <a:off x="0" y="0"/>
                      <a:ext cx="5486400" cy="3082344"/>
                    </a:xfrm>
                    <a:prstGeom prst="rect"/>
                  </pic:spPr>
                </pic:pic>
              </a:graphicData>
            </a:graphic>
          </wp:inline>
        </w:drawing>
      </w:r>
    </w:p>
    <w:p>
      <w:pPr>
        <w:jc w:val="center"/>
      </w:pPr>
      <w:r>
        <w:rPr>
          <w:i/>
          <w:color w:val="646464"/>
          <w:sz w:val="16"/>
        </w:rPr>
        <w:t>Controlled SQL injection test — public-safe evidence.</w:t>
      </w:r>
    </w:p>
    <w:p>
      <w:r>
        <w:br w:type="page"/>
      </w:r>
    </w:p>
    <w:p>
      <w:pPr>
        <w:pStyle w:val="Heading1"/>
      </w:pPr>
      <w:r>
        <w:t>Evidence Quality &amp; Reproducibility</w:t>
      </w:r>
    </w:p>
    <w:p>
      <w:pPr>
        <w:pStyle w:val="ListBullet"/>
      </w:pPr>
      <w:r>
        <w:t>A baseline request is captured before the exploit request.</w:t>
      </w:r>
    </w:p>
    <w:p>
      <w:pPr>
        <w:pStyle w:val="ListBullet"/>
      </w:pPr>
      <w:r>
        <w:t>The exploit changes one material input rather than several variables at once.</w:t>
      </w:r>
    </w:p>
    <w:p>
      <w:pPr>
        <w:pStyle w:val="ListBullet"/>
      </w:pPr>
      <w:r>
        <w:t>Burp/browser evidence corroborates the HTTP response.</w:t>
      </w:r>
    </w:p>
    <w:p>
      <w:pPr>
        <w:pStyle w:val="ListBullet"/>
      </w:pPr>
      <w:r>
        <w:t>sqlmap limitations are reported rather than overstated.</w:t>
      </w:r>
    </w:p>
    <w:p>
      <w:pPr>
        <w:pStyle w:val="ListBullet"/>
      </w:pPr>
      <w:r>
        <w:t>Impact is demonstrated with actual HTTP responses and retrieved object types.</w:t>
      </w:r>
    </w:p>
    <w:p>
      <w:pPr>
        <w:pStyle w:val="ListBullet"/>
      </w:pPr>
      <w:r>
        <w:t>The confidential evidence package is indexed and integrity-checked separately.</w:t>
      </w:r>
    </w:p>
    <w:p>
      <w:pPr>
        <w:jc w:val="center"/>
      </w:pPr>
      <w:r>
        <w:drawing>
          <wp:inline xmlns:a="http://schemas.openxmlformats.org/drawingml/2006/main" xmlns:pic="http://schemas.openxmlformats.org/drawingml/2006/picture">
            <wp:extent cx="5486400" cy="1851696"/>
            <wp:docPr id="3" name="Picture 3"/>
            <wp:cNvGraphicFramePr>
              <a:graphicFrameLocks noChangeAspect="1"/>
            </wp:cNvGraphicFramePr>
            <a:graphic>
              <a:graphicData uri="http://schemas.openxmlformats.org/drawingml/2006/picture">
                <pic:pic>
                  <pic:nvPicPr>
                    <pic:cNvPr id="0" name="04_SQLi_Auth_Bypass_Response.png"/>
                    <pic:cNvPicPr/>
                  </pic:nvPicPr>
                  <pic:blipFill>
                    <a:blip r:embed="rId11"/>
                    <a:stretch>
                      <a:fillRect/>
                    </a:stretch>
                  </pic:blipFill>
                  <pic:spPr>
                    <a:xfrm>
                      <a:off x="0" y="0"/>
                      <a:ext cx="5486400" cy="1851696"/>
                    </a:xfrm>
                    <a:prstGeom prst="rect"/>
                  </pic:spPr>
                </pic:pic>
              </a:graphicData>
            </a:graphic>
          </wp:inline>
        </w:drawing>
      </w:r>
    </w:p>
    <w:p>
      <w:pPr>
        <w:jc w:val="center"/>
      </w:pPr>
      <w:r>
        <w:rPr>
          <w:i/>
          <w:color w:val="646464"/>
          <w:sz w:val="16"/>
        </w:rPr>
        <w:t>HTTP 302 authentication-bypass response.</w:t>
      </w:r>
    </w:p>
    <w:p>
      <w:pPr>
        <w:jc w:val="center"/>
      </w:pPr>
      <w:r>
        <w:drawing>
          <wp:inline xmlns:a="http://schemas.openxmlformats.org/drawingml/2006/main" xmlns:pic="http://schemas.openxmlformats.org/drawingml/2006/picture">
            <wp:extent cx="5486400" cy="3082344"/>
            <wp:docPr id="4" name="Picture 4"/>
            <wp:cNvGraphicFramePr>
              <a:graphicFrameLocks noChangeAspect="1"/>
            </wp:cNvGraphicFramePr>
            <a:graphic>
              <a:graphicData uri="http://schemas.openxmlformats.org/drawingml/2006/picture">
                <pic:pic>
                  <pic:nvPicPr>
                    <pic:cNvPr id="0" name="09_Patient_Authentication_Bypass.png"/>
                    <pic:cNvPicPr/>
                  </pic:nvPicPr>
                  <pic:blipFill>
                    <a:blip r:embed="rId12"/>
                    <a:stretch>
                      <a:fillRect/>
                    </a:stretch>
                  </pic:blipFill>
                  <pic:spPr>
                    <a:xfrm>
                      <a:off x="0" y="0"/>
                      <a:ext cx="5486400" cy="3082344"/>
                    </a:xfrm>
                    <a:prstGeom prst="rect"/>
                  </pic:spPr>
                </pic:pic>
              </a:graphicData>
            </a:graphic>
          </wp:inline>
        </w:drawing>
      </w:r>
    </w:p>
    <w:p>
      <w:pPr>
        <w:jc w:val="center"/>
      </w:pPr>
      <w:r>
        <w:rPr>
          <w:i/>
          <w:color w:val="646464"/>
          <w:sz w:val="16"/>
        </w:rPr>
        <w:t>Browser-confirmed portal access.</w:t>
      </w:r>
    </w:p>
    <w:p>
      <w:r>
        <w:br w:type="page"/>
      </w:r>
    </w:p>
    <w:p>
      <w:pPr>
        <w:pStyle w:val="Heading1"/>
      </w:pPr>
      <w:r>
        <w:t>Directory &amp; Backup Exposure</w:t>
      </w:r>
    </w:p>
    <w:p>
      <w:r>
        <w:t>Directory indexing exposed application structure under restricted paths. The most consequential result was discovery of a database backup in a legacy directory. The public-safe version does not reproduce the sensitive database contents; the confidential edition contains the complete technical record.</w:t>
      </w:r>
    </w:p>
    <w:p>
      <w:pPr>
        <w:jc w:val="center"/>
      </w:pPr>
      <w:r>
        <w:drawing>
          <wp:inline xmlns:a="http://schemas.openxmlformats.org/drawingml/2006/main" xmlns:pic="http://schemas.openxmlformats.org/drawingml/2006/picture">
            <wp:extent cx="5486400" cy="2449848"/>
            <wp:docPr id="5" name="Picture 5"/>
            <wp:cNvGraphicFramePr>
              <a:graphicFrameLocks noChangeAspect="1"/>
            </wp:cNvGraphicFramePr>
            <a:graphic>
              <a:graphicData uri="http://schemas.openxmlformats.org/drawingml/2006/picture">
                <pic:pic>
                  <pic:nvPicPr>
                    <pic:cNvPr id="0" name="10_Old_Directory_Index.png"/>
                    <pic:cNvPicPr/>
                  </pic:nvPicPr>
                  <pic:blipFill>
                    <a:blip r:embed="rId13"/>
                    <a:stretch>
                      <a:fillRect/>
                    </a:stretch>
                  </pic:blipFill>
                  <pic:spPr>
                    <a:xfrm>
                      <a:off x="0" y="0"/>
                      <a:ext cx="5486400" cy="2449848"/>
                    </a:xfrm>
                    <a:prstGeom prst="rect"/>
                  </pic:spPr>
                </pic:pic>
              </a:graphicData>
            </a:graphic>
          </wp:inline>
        </w:drawing>
      </w:r>
    </w:p>
    <w:p>
      <w:pPr>
        <w:jc w:val="center"/>
      </w:pPr>
      <w:r>
        <w:rPr>
          <w:i/>
          <w:color w:val="646464"/>
          <w:sz w:val="16"/>
        </w:rPr>
        <w:t>Legacy directory listing — sensitive filenames redacted in public use.</w:t>
      </w:r>
    </w:p>
    <w:p>
      <w:pPr>
        <w:jc w:val="center"/>
      </w:pPr>
      <w:r>
        <w:drawing>
          <wp:inline xmlns:a="http://schemas.openxmlformats.org/drawingml/2006/main" xmlns:pic="http://schemas.openxmlformats.org/drawingml/2006/picture">
            <wp:extent cx="5486400" cy="2953555"/>
            <wp:docPr id="6" name="Picture 6"/>
            <wp:cNvGraphicFramePr>
              <a:graphicFrameLocks noChangeAspect="1"/>
            </wp:cNvGraphicFramePr>
            <a:graphic>
              <a:graphicData uri="http://schemas.openxmlformats.org/drawingml/2006/picture">
                <pic:pic>
                  <pic:nvPicPr>
                    <pic:cNvPr id="0" name="11_Patient_Directory_Index.png"/>
                    <pic:cNvPicPr/>
                  </pic:nvPicPr>
                  <pic:blipFill>
                    <a:blip r:embed="rId14"/>
                    <a:stretch>
                      <a:fillRect/>
                    </a:stretch>
                  </pic:blipFill>
                  <pic:spPr>
                    <a:xfrm>
                      <a:off x="0" y="0"/>
                      <a:ext cx="5486400" cy="2953555"/>
                    </a:xfrm>
                    <a:prstGeom prst="rect"/>
                  </pic:spPr>
                </pic:pic>
              </a:graphicData>
            </a:graphic>
          </wp:inline>
        </w:drawing>
      </w:r>
    </w:p>
    <w:p>
      <w:pPr>
        <w:jc w:val="center"/>
      </w:pPr>
      <w:r>
        <w:rPr>
          <w:i/>
          <w:color w:val="646464"/>
          <w:sz w:val="16"/>
        </w:rPr>
        <w:t>Patient directory enumeration evidence.</w:t>
      </w:r>
    </w:p>
    <w:p>
      <w:r>
        <w:br w:type="page"/>
      </w:r>
    </w:p>
    <w:p>
      <w:pPr>
        <w:pStyle w:val="Heading1"/>
      </w:pPr>
      <w:r>
        <w:t>Document Security Analysis</w:t>
      </w:r>
    </w:p>
    <w:p>
      <w:r>
        <w:t>Three encrypted PDF artifacts were retrieved after the authentication boundary was bypassed. The assessment recorded PDF 1.4, Standard security-handler parameters V=2/R=3 and 128-bit protection. Authorized offline password recovery succeeded against all three files. Passwords and report contents are deliberately excluded from this public-safe version.</w:t>
      </w:r>
    </w:p>
    <w:p>
      <w:pPr>
        <w:jc w:val="center"/>
      </w:pPr>
      <w:r>
        <w:drawing>
          <wp:inline xmlns:a="http://schemas.openxmlformats.org/drawingml/2006/main" xmlns:pic="http://schemas.openxmlformats.org/drawingml/2006/picture">
            <wp:extent cx="5486400" cy="1422400"/>
            <wp:docPr id="7" name="Picture 7"/>
            <wp:cNvGraphicFramePr>
              <a:graphicFrameLocks noChangeAspect="1"/>
            </wp:cNvGraphicFramePr>
            <a:graphic>
              <a:graphicData uri="http://schemas.openxmlformats.org/drawingml/2006/picture">
                <pic:pic>
                  <pic:nvPicPr>
                    <pic:cNvPr id="0" name="05_PDF_Hash_Extraction.png"/>
                    <pic:cNvPicPr/>
                  </pic:nvPicPr>
                  <pic:blipFill>
                    <a:blip r:embed="rId15"/>
                    <a:stretch>
                      <a:fillRect/>
                    </a:stretch>
                  </pic:blipFill>
                  <pic:spPr>
                    <a:xfrm>
                      <a:off x="0" y="0"/>
                      <a:ext cx="5486400" cy="1422400"/>
                    </a:xfrm>
                    <a:prstGeom prst="rect"/>
                  </pic:spPr>
                </pic:pic>
              </a:graphicData>
            </a:graphic>
          </wp:inline>
        </w:drawing>
      </w:r>
    </w:p>
    <w:p>
      <w:pPr>
        <w:jc w:val="center"/>
      </w:pPr>
      <w:r>
        <w:rPr>
          <w:i/>
          <w:color w:val="646464"/>
          <w:sz w:val="16"/>
        </w:rPr>
        <w:t>PDF hash extraction evidence — credentials removed from public release.</w:t>
      </w:r>
    </w:p>
    <w:p>
      <w:pPr>
        <w:jc w:val="center"/>
      </w:pPr>
      <w:r>
        <w:drawing>
          <wp:inline xmlns:a="http://schemas.openxmlformats.org/drawingml/2006/main" xmlns:pic="http://schemas.openxmlformats.org/drawingml/2006/picture">
            <wp:extent cx="5486400" cy="2595808"/>
            <wp:docPr id="8" name="Picture 8"/>
            <wp:cNvGraphicFramePr>
              <a:graphicFrameLocks noChangeAspect="1"/>
            </wp:cNvGraphicFramePr>
            <a:graphic>
              <a:graphicData uri="http://schemas.openxmlformats.org/drawingml/2006/picture">
                <pic:pic>
                  <pic:nvPicPr>
                    <pic:cNvPr id="0" name="21_PDF_Crack_Execution.png"/>
                    <pic:cNvPicPr/>
                  </pic:nvPicPr>
                  <pic:blipFill>
                    <a:blip r:embed="rId16"/>
                    <a:stretch>
                      <a:fillRect/>
                    </a:stretch>
                  </pic:blipFill>
                  <pic:spPr>
                    <a:xfrm>
                      <a:off x="0" y="0"/>
                      <a:ext cx="5486400" cy="2595808"/>
                    </a:xfrm>
                    <a:prstGeom prst="rect"/>
                  </pic:spPr>
                </pic:pic>
              </a:graphicData>
            </a:graphic>
          </wp:inline>
        </w:drawing>
      </w:r>
    </w:p>
    <w:p>
      <w:pPr>
        <w:jc w:val="center"/>
      </w:pPr>
      <w:r>
        <w:rPr>
          <w:i/>
          <w:color w:val="646464"/>
          <w:sz w:val="16"/>
        </w:rPr>
        <w:t>Authorized document-security testing — public-safe context.</w:t>
      </w:r>
    </w:p>
    <w:p>
      <w:r>
        <w:br w:type="page"/>
      </w:r>
    </w:p>
    <w:p>
      <w:pPr>
        <w:pStyle w:val="Heading1"/>
      </w:pPr>
      <w:r>
        <w:t>Impact Quantification</w:t>
      </w:r>
    </w:p>
    <w:p>
      <w:r>
        <w:t>The confidential database backup contained structured staff and shareholder datasets. The technical analysis established 30 staff records and 10 shareholder records and calculated an exact monthly payroll total of ZAR 2,027,000. The public version intentionally omits individual identities, national identifiers, contact details, salary rows and ownership rows.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Data class</w:t>
            </w:r>
          </w:p>
        </w:tc>
        <w:tc>
          <w:tcPr>
            <w:tcW w:type="dxa" w:w="5040"/>
            <w:shd w:fill="17365D"/>
          </w:tcPr>
          <w:p>
            <w:r>
              <w:rPr>
                <w:b/>
                <w:color w:val="FFFFFF"/>
              </w:rPr>
              <w:t>Observed quantity</w:t>
            </w:r>
          </w:p>
        </w:tc>
      </w:tr>
      <w:tr>
        <w:tc>
          <w:tcPr>
            <w:tcW w:type="dxa" w:w="5040"/>
          </w:tcPr>
          <w:p>
            <w:r>
              <w:t>Staff records</w:t>
            </w:r>
          </w:p>
        </w:tc>
        <w:tc>
          <w:tcPr>
            <w:tcW w:type="dxa" w:w="5040"/>
          </w:tcPr>
          <w:p>
            <w:r>
              <w:t>30</w:t>
            </w:r>
          </w:p>
        </w:tc>
      </w:tr>
      <w:tr>
        <w:tc>
          <w:tcPr>
            <w:tcW w:type="dxa" w:w="5040"/>
          </w:tcPr>
          <w:p>
            <w:r>
              <w:t>Shareholder records</w:t>
            </w:r>
          </w:p>
        </w:tc>
        <w:tc>
          <w:tcPr>
            <w:tcW w:type="dxa" w:w="5040"/>
          </w:tcPr>
          <w:p>
            <w:r>
              <w:t>10</w:t>
            </w:r>
          </w:p>
        </w:tc>
      </w:tr>
      <w:tr>
        <w:tc>
          <w:tcPr>
            <w:tcW w:type="dxa" w:w="5040"/>
          </w:tcPr>
          <w:p>
            <w:r>
              <w:t>Monthly payroll total</w:t>
            </w:r>
          </w:p>
        </w:tc>
        <w:tc>
          <w:tcPr>
            <w:tcW w:type="dxa" w:w="5040"/>
          </w:tcPr>
          <w:p>
            <w:r>
              <w:t>ZAR 2,027,000</w:t>
            </w:r>
          </w:p>
        </w:tc>
      </w:tr>
      <w:tr>
        <w:tc>
          <w:tcPr>
            <w:tcW w:type="dxa" w:w="5040"/>
          </w:tcPr>
          <w:p>
            <w:r>
              <w:t>Patient report artifacts</w:t>
            </w:r>
          </w:p>
        </w:tc>
        <w:tc>
          <w:tcPr>
            <w:tcW w:type="dxa" w:w="5040"/>
          </w:tcPr>
          <w:p>
            <w:r>
              <w:t>3 retrieved PDFs</w:t>
            </w:r>
          </w:p>
        </w:tc>
      </w:tr>
    </w:tbl>
    <w:p>
      <w:pPr>
        <w:pStyle w:val="Heading1"/>
      </w:pPr>
      <w:r>
        <w:t>Root Causes</w:t>
      </w:r>
    </w:p>
    <w:p>
      <w:pPr>
        <w:pStyle w:val="ListBullet"/>
      </w:pPr>
      <w:r>
        <w:t>Sensitive artifacts were placed under the public web document root.</w:t>
      </w:r>
    </w:p>
    <w:p>
      <w:pPr>
        <w:pStyle w:val="ListBullet"/>
      </w:pPr>
      <w:r>
        <w:t>Directory indexing disclosed files that should have been private.</w:t>
      </w:r>
    </w:p>
    <w:p>
      <w:pPr>
        <w:pStyle w:val="ListBullet"/>
      </w:pPr>
      <w:r>
        <w:t>Authentication input was not safely isolated from database query semantics.</w:t>
      </w:r>
    </w:p>
    <w:p>
      <w:pPr>
        <w:pStyle w:val="ListBullet"/>
      </w:pPr>
      <w:r>
        <w:t>Sensitive report objects were reachable through predictable identifiers after the auth boundary was bypassed.</w:t>
      </w:r>
    </w:p>
    <w:p>
      <w:pPr>
        <w:pStyle w:val="ListBullet"/>
      </w:pPr>
      <w:r>
        <w:t>Production errors disclosed database implementation details.</w:t>
      </w:r>
    </w:p>
    <w:p>
      <w:r>
        <w:br w:type="page"/>
      </w:r>
    </w:p>
    <w:p>
      <w:pPr>
        <w:pStyle w:val="Heading1"/>
      </w:pPr>
      <w:r>
        <w:t>Remediation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Control</w:t>
            </w:r>
          </w:p>
        </w:tc>
        <w:tc>
          <w:tcPr>
            <w:tcW w:type="dxa" w:w="5040"/>
            <w:shd w:fill="17365D"/>
          </w:tcPr>
          <w:p>
            <w:r>
              <w:rPr>
                <w:b/>
                <w:color w:val="FFFFFF"/>
              </w:rPr>
              <w:t>Engineering action</w:t>
            </w:r>
          </w:p>
        </w:tc>
      </w:tr>
      <w:tr>
        <w:tc>
          <w:tcPr>
            <w:tcW w:type="dxa" w:w="5040"/>
          </w:tcPr>
          <w:p>
            <w:r>
              <w:t>Public-file hygiene</w:t>
            </w:r>
          </w:p>
        </w:tc>
        <w:tc>
          <w:tcPr>
            <w:tcW w:type="dxa" w:w="5040"/>
          </w:tcPr>
          <w:p>
            <w:r>
              <w:t>Move backups/logs/archives outside the web root</w:t>
            </w:r>
          </w:p>
        </w:tc>
      </w:tr>
      <w:tr>
        <w:tc>
          <w:tcPr>
            <w:tcW w:type="dxa" w:w="5040"/>
          </w:tcPr>
          <w:p>
            <w:r>
              <w:t>Authentication</w:t>
            </w:r>
          </w:p>
        </w:tc>
        <w:tc>
          <w:tcPr>
            <w:tcW w:type="dxa" w:w="5040"/>
          </w:tcPr>
          <w:p>
            <w:r>
              <w:t>Use prepared statements and least-privileged DB access</w:t>
            </w:r>
          </w:p>
        </w:tc>
      </w:tr>
      <w:tr>
        <w:tc>
          <w:tcPr>
            <w:tcW w:type="dxa" w:w="5040"/>
          </w:tcPr>
          <w:p>
            <w:r>
              <w:t>Object authorization</w:t>
            </w:r>
          </w:p>
        </w:tc>
        <w:tc>
          <w:tcPr>
            <w:tcW w:type="dxa" w:w="5040"/>
          </w:tcPr>
          <w:p>
            <w:r>
              <w:t>Authorize every document request against session identity and record ownership</w:t>
            </w:r>
          </w:p>
        </w:tc>
      </w:tr>
      <w:tr>
        <w:tc>
          <w:tcPr>
            <w:tcW w:type="dxa" w:w="5040"/>
          </w:tcPr>
          <w:p>
            <w:r>
              <w:t>Error handling</w:t>
            </w:r>
          </w:p>
        </w:tc>
        <w:tc>
          <w:tcPr>
            <w:tcW w:type="dxa" w:w="5040"/>
          </w:tcPr>
          <w:p>
            <w:r>
              <w:t>Return generic client errors; log details server-side</w:t>
            </w:r>
          </w:p>
        </w:tc>
      </w:tr>
      <w:tr>
        <w:tc>
          <w:tcPr>
            <w:tcW w:type="dxa" w:w="5040"/>
          </w:tcPr>
          <w:p>
            <w:r>
              <w:t>Monitoring</w:t>
            </w:r>
          </w:p>
        </w:tc>
        <w:tc>
          <w:tcPr>
            <w:tcW w:type="dxa" w:w="5040"/>
          </w:tcPr>
          <w:p>
            <w:r>
              <w:t>Correlate failed login sequences with portal-session creation</w:t>
            </w:r>
          </w:p>
        </w:tc>
      </w:tr>
      <w:tr>
        <w:tc>
          <w:tcPr>
            <w:tcW w:type="dxa" w:w="5040"/>
          </w:tcPr>
          <w:p>
            <w:r>
              <w:t>CI/CD</w:t>
            </w:r>
          </w:p>
        </w:tc>
        <w:tc>
          <w:tcPr>
            <w:tcW w:type="dxa" w:w="5040"/>
          </w:tcPr>
          <w:p>
            <w:r>
              <w:t>Block database dumps and backup artifacts from deployment</w:t>
            </w:r>
          </w:p>
        </w:tc>
      </w:tr>
    </w:tbl>
    <w:p>
      <w:r>
        <w:t>Retesting should verify the security invariant rather than only one payload. Directory indexes should be gone; known backup names should return 403/404; SQL-like inputs should never change authentication state; unauthorized report IDs should return a consistent denial; and the expected security telemetry should be visible to defenders.</w:t>
      </w:r>
    </w:p>
    <w:p>
      <w:pPr>
        <w:pStyle w:val="Heading1"/>
      </w:pPr>
      <w:r>
        <w:t>Resume-ready Project Description</w:t>
      </w:r>
    </w:p>
    <w:p>
      <w:r>
        <w:t>Independent Web Application Security Assessment — Conducted an authorized black-box assessment of a hospital web application; identified and manually validated SQL-injection authentication bypass, public database-backup exposure, directory indexing and sensitive document retrieval; analyzed legacy PDF protection; quantified exposed corporate data; and produced evidence-backed severity, remediation, detection and retest artifacts.</w:t>
      </w:r>
    </w:p>
    <w:p>
      <w:r>
        <w:br w:type="page"/>
      </w:r>
    </w:p>
    <w:p>
      <w:pPr>
        <w:pStyle w:val="Heading1"/>
      </w:pPr>
      <w:r>
        <w:t>Public Release Boundary</w:t>
      </w:r>
    </w:p>
    <w:p>
      <w:r>
        <w:t>Use this sanitized edition for a portfolio, GitHub repository or resume-linked project page. Keep the confidential technical report and evidence package private because they contain recovered credentials and sensitive personal/corporate data. The public version preserves the technical story without exposing those records.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