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i w:val="0"/>
          <w:sz w:val="40"/>
        </w:rPr>
        <w:t>Advantages and Disadvantages</w:t>
      </w:r>
    </w:p>
    <w:p>
      <w:pPr>
        <w:spacing w:after="400" w:line="288" w:lineRule="auto"/>
        <w:jc w:val="center"/>
      </w:pPr>
      <w:r>
        <w:rPr>
          <w:rFonts w:ascii="Calibri" w:hAnsi="Calibri" w:eastAsia="Calibri"/>
          <w:b w:val="0"/>
          <w:i/>
          <w:sz w:val="25"/>
        </w:rPr>
        <w:t>A Fuzzy Inference System for Real-Time Water Potability Classification from Low-Cost Multi-Sensor Data</w:t>
      </w:r>
    </w:p>
    <w:p>
      <w:pPr>
        <w:spacing w:after="400" w:line="288" w:lineRule="auto"/>
        <w:jc w:val="both"/>
      </w:pPr>
      <w:r>
        <w:rPr>
          <w:rFonts w:ascii="Calibri" w:hAnsi="Calibri" w:eastAsia="Calibri"/>
          <w:b w:val="0"/>
          <w:i/>
          <w:sz w:val="22"/>
        </w:rPr>
        <w:t>This document sets out, honestly and without overselling, what the project's design gains by using a WHO/BIS-grounded Mamdani Fuzzy Inference System (FIS) instead of a hard-threshold classifier or a black-box machine-learning model, and what it gives up in exchange. The points below are grouped by theme and are drawn directly from the system's actual design and the benchmark results already gathered for this project, rather than from generic fuzzy-logic literature.</w:t>
      </w:r>
    </w:p>
    <w:p>
      <w:pPr>
        <w:pStyle w:val="Heading1"/>
        <w:spacing w:before="280" w:after="120"/>
      </w:pPr>
      <w:r>
        <w:rPr>
          <w:rFonts w:ascii="Calibri" w:hAnsi="Calibri" w:eastAsia="Calibri"/>
          <w:b/>
          <w:i w:val="0"/>
          <w:color w:val="1E7A34"/>
          <w:sz w:val="32"/>
        </w:rPr>
        <w:t>Advantages</w:t>
      </w:r>
    </w:p>
    <w:p>
      <w:pPr>
        <w:pStyle w:val="Heading2"/>
        <w:spacing w:before="280" w:after="120"/>
      </w:pPr>
      <w:r>
        <w:rPr>
          <w:rFonts w:ascii="Calibri" w:hAnsi="Calibri" w:eastAsia="Calibri"/>
          <w:b/>
          <w:i w:val="0"/>
          <w:sz w:val="27"/>
        </w:rPr>
        <w:t>1. Interpretability &amp; Trust</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Fully traceable decisions — </w:t>
      </w:r>
      <w:r>
        <w:rPr>
          <w:rFonts w:ascii="Calibri" w:hAnsi="Calibri" w:eastAsia="Calibri"/>
          <w:b w:val="0"/>
          <w:i w:val="0"/>
          <w:sz w:val="21"/>
        </w:rPr>
        <w:t>every one of the 45 rules in the rule base is written as a human-readable IF-THEN statement and is derived from a specific WHO (2022) or BIS IS 10500:2012 limit, so any classification can be explained by naming the exact rule(s) that fired, unlike Random Forest, KNN or SVM, none of which offer this natively.</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No cliff-edge boundaries — </w:t>
      </w:r>
      <w:r>
        <w:rPr>
          <w:rFonts w:ascii="Calibri" w:hAnsi="Calibri" w:eastAsia="Calibri"/>
          <w:b w:val="0"/>
          <w:i w:val="0"/>
          <w:sz w:val="21"/>
        </w:rPr>
        <w:t>overlapping membership functions mean a reading just inside a safe limit and a reading just outside it produce a smoothly graded output rather than a sudden binary flip, which better reflects the physical reality that water quality degrades gradually.</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Visible reasoning in real time — </w:t>
      </w:r>
      <w:r>
        <w:rPr>
          <w:rFonts w:ascii="Calibri" w:hAnsi="Calibri" w:eastAsia="Calibri"/>
          <w:b w:val="0"/>
          <w:i w:val="0"/>
          <w:sz w:val="21"/>
        </w:rPr>
        <w:t>the dashboard's “active rules” panel and live membership-degree charts let an operator see, moment to moment, not just what the system decided but why — a transparency property no black-box model in the comparison provides.</w:t>
      </w:r>
    </w:p>
    <w:p>
      <w:pPr>
        <w:pStyle w:val="Heading2"/>
        <w:spacing w:before="280" w:after="120"/>
      </w:pPr>
      <w:r>
        <w:rPr>
          <w:rFonts w:ascii="Calibri" w:hAnsi="Calibri" w:eastAsia="Calibri"/>
          <w:b/>
          <w:i w:val="0"/>
          <w:sz w:val="27"/>
        </w:rPr>
        <w:t>2. Technical Performance</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Zero-shot, no training data required — </w:t>
      </w:r>
      <w:r>
        <w:rPr>
          <w:rFonts w:ascii="Calibri" w:hAnsi="Calibri" w:eastAsia="Calibri"/>
          <w:b w:val="0"/>
          <w:i w:val="0"/>
          <w:sz w:val="21"/>
        </w:rPr>
        <w:t>the rule base is authored directly from published standards, so the system works on day one without needing a labelled training set for the specific deployment context, unlike the ML baselines, which must be trained (or retrained) on representative labelled data.</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Competitive on real-world data — </w:t>
      </w:r>
      <w:r>
        <w:rPr>
          <w:rFonts w:ascii="Calibri" w:hAnsi="Calibri" w:eastAsia="Calibri"/>
          <w:b w:val="0"/>
          <w:i w:val="0"/>
          <w:sz w:val="21"/>
        </w:rPr>
        <w:t>on the independent Kaggle water-potability dataset, the FIS reached 60.43% accuracy, ahead of Random Forest (59.61%) and KNN (54.40%) and only just behind SVM (61.22%) — despite having never seen that dataset's labels, unlike the three ML models that were trained directly on it.</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Joint, multi-parameter reasoning — </w:t>
      </w:r>
      <w:r>
        <w:rPr>
          <w:rFonts w:ascii="Calibri" w:hAnsi="Calibri" w:eastAsia="Calibri"/>
          <w:b w:val="0"/>
          <w:i w:val="0"/>
          <w:sz w:val="21"/>
        </w:rPr>
        <w:t>rules combine several sensors at once (e.g. turbidity, TDS and DO together), so the system can flag water as unsafe due to a combination of moderately elevated parameters, not only due to any single reading crossing a limit.</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Fast enough for live use — </w:t>
      </w:r>
      <w:r>
        <w:rPr>
          <w:rFonts w:ascii="Calibri" w:hAnsi="Calibri" w:eastAsia="Calibri"/>
          <w:b w:val="0"/>
          <w:i w:val="0"/>
          <w:sz w:val="21"/>
        </w:rPr>
        <w:t>centroid-of-area defuzzification over a 1,000-point discretization completes well within the project's roughly 1 Hz sensor sampling rate, so the dashboard updates in real time without any perceptible inference lag.</w:t>
      </w:r>
    </w:p>
    <w:p>
      <w:pPr>
        <w:pStyle w:val="Heading2"/>
        <w:spacing w:before="280" w:after="120"/>
      </w:pPr>
      <w:r>
        <w:rPr>
          <w:rFonts w:ascii="Calibri" w:hAnsi="Calibri" w:eastAsia="Calibri"/>
          <w:b/>
          <w:i w:val="0"/>
          <w:sz w:val="27"/>
        </w:rPr>
        <w:t>3. Cost &amp; Deployability</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Low hardware cost — </w:t>
      </w:r>
      <w:r>
        <w:rPr>
          <w:rFonts w:ascii="Calibri" w:hAnsi="Calibri" w:eastAsia="Calibri"/>
          <w:b w:val="0"/>
          <w:i w:val="0"/>
          <w:sz w:val="21"/>
        </w:rPr>
        <w:t>the full sensor array (pH, turbidity, TDS, DO, temperature) totals roughly ₹5,350, orders of magnitude cheaper than laboratory-grade water-testing instrumentation.</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No cloud or GPU dependency — </w:t>
      </w:r>
      <w:r>
        <w:rPr>
          <w:rFonts w:ascii="Calibri" w:hAnsi="Calibri" w:eastAsia="Calibri"/>
          <w:b w:val="0"/>
          <w:i w:val="0"/>
          <w:sz w:val="21"/>
        </w:rPr>
        <w:t>inference runs on ordinary CPU hardware; an ESP32 microcontroller handles signal acquisition, so the system does not depend on an internet connection or paid inference service to operate.</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Physically grounded corrections included — </w:t>
      </w:r>
      <w:r>
        <w:rPr>
          <w:rFonts w:ascii="Calibri" w:hAnsi="Calibri" w:eastAsia="Calibri"/>
          <w:b w:val="0"/>
          <w:i w:val="0"/>
          <w:sz w:val="21"/>
        </w:rPr>
        <w:t>temperature-compensation formulas for pH (Nernstian drift) and dissolved oxygen (Benson-Krause saturation) are built into preprocessing, improving reading fidelity without any extra hardware cost.</w:t>
      </w:r>
    </w:p>
    <w:p>
      <w:pPr>
        <w:pStyle w:val="Heading2"/>
        <w:spacing w:before="280" w:after="120"/>
      </w:pPr>
      <w:r>
        <w:rPr>
          <w:rFonts w:ascii="Calibri" w:hAnsi="Calibri" w:eastAsia="Calibri"/>
          <w:b/>
          <w:i w:val="0"/>
          <w:sz w:val="27"/>
        </w:rPr>
        <w:t>4. Usability</w:t>
      </w:r>
    </w:p>
    <w:p>
      <w:pPr>
        <w:spacing w:after="140" w:line="276" w:lineRule="auto"/>
        <w:ind w:left="360"/>
      </w:pPr>
      <w:r>
        <w:rPr>
          <w:rFonts w:ascii="Calibri" w:hAnsi="Calibri" w:eastAsia="Calibri"/>
          <w:b/>
          <w:i w:val="0"/>
          <w:color w:val="1E7A34"/>
          <w:sz w:val="21"/>
        </w:rPr>
        <w:t xml:space="preserve">+  </w:t>
      </w:r>
      <w:r>
        <w:rPr>
          <w:rFonts w:ascii="Calibri" w:hAnsi="Calibri" w:eastAsia="Calibri"/>
          <w:b/>
          <w:i w:val="0"/>
          <w:sz w:val="21"/>
        </w:rPr>
        <w:t xml:space="preserve">Complete real-time dashboard — </w:t>
      </w:r>
      <w:r>
        <w:rPr>
          <w:rFonts w:ascii="Calibri" w:hAnsi="Calibri" w:eastAsia="Calibri"/>
          <w:b w:val="0"/>
          <w:i w:val="0"/>
          <w:sz w:val="21"/>
        </w:rPr>
        <w:t>live gauges, sensor cards, trend charts, membership visualizations, a manual slider-driven inference mode and six demonstration scenarios make the system usable and demonstrable even without live hardware connected.</w:t>
      </w:r>
    </w:p>
    <w:p>
      <w:r>
        <w:br w:type="page"/>
      </w:r>
    </w:p>
    <w:p>
      <w:pPr>
        <w:pStyle w:val="Heading1"/>
        <w:spacing w:before="280" w:after="120"/>
      </w:pPr>
      <w:r>
        <w:rPr>
          <w:rFonts w:ascii="Calibri" w:hAnsi="Calibri" w:eastAsia="Calibri"/>
          <w:b/>
          <w:i w:val="0"/>
          <w:color w:val="B42323"/>
          <w:sz w:val="32"/>
        </w:rPr>
        <w:t>Disadvantages / Limitations</w:t>
      </w:r>
    </w:p>
    <w:p>
      <w:pPr>
        <w:pStyle w:val="Heading2"/>
        <w:spacing w:before="280" w:after="120"/>
      </w:pPr>
      <w:r>
        <w:rPr>
          <w:rFonts w:ascii="Calibri" w:hAnsi="Calibri" w:eastAsia="Calibri"/>
          <w:b/>
          <w:i w:val="0"/>
          <w:sz w:val="27"/>
        </w:rPr>
        <w:t>1. Accuracy Trade-off</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Lower raw accuracy than trained ML models — </w:t>
      </w:r>
      <w:r>
        <w:rPr>
          <w:rFonts w:ascii="Calibri" w:hAnsi="Calibri" w:eastAsia="Calibri"/>
          <w:b w:val="0"/>
          <w:i w:val="0"/>
          <w:sz w:val="21"/>
        </w:rPr>
        <w:t>on the synthetic, oracle-labelled dataset the FIS reached 75.3% accuracy versus 99.5% for Random Forest, 95.7% for SVM and 92.3% for KNN. This gap is structural: the ML models were trained directly against the same hard-threshold oracle used to generate the labels, so they can effectively memorize its exact boundaries, while the FIS deliberately does not reproduce them exactly.</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Uneven per-class performance on real data — </w:t>
      </w:r>
      <w:r>
        <w:rPr>
          <w:rFonts w:ascii="Calibri" w:hAnsi="Calibri" w:eastAsia="Calibri"/>
          <w:b w:val="0"/>
          <w:i w:val="0"/>
          <w:sz w:val="21"/>
        </w:rPr>
        <w:t>despite a competitive 60.43% accuracy on the Kaggle dataset, the FIS's macro-F1 there is only 37.67%, well below Random Forest (46.20%) and KNN (49.40%). Accuracy alone hides this: the FIS is comparatively weak on at least one class in real-world conditions.</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Deliberately conservative bias — </w:t>
      </w:r>
      <w:r>
        <w:rPr>
          <w:rFonts w:ascii="Calibri" w:hAnsi="Calibri" w:eastAsia="Calibri"/>
          <w:b w:val="0"/>
          <w:i w:val="0"/>
          <w:sz w:val="21"/>
        </w:rPr>
        <w:t>the FIS achieves perfect recall (1.00) on the NON-POTABLE class but only 0.59 precision on the POTABLE class in the synthetic benchmark, meaning it is more prone to flagging genuinely safe water as marginal than the ML baselines are.</w:t>
      </w:r>
    </w:p>
    <w:p>
      <w:pPr>
        <w:pStyle w:val="Heading2"/>
        <w:spacing w:before="280" w:after="120"/>
      </w:pPr>
      <w:r>
        <w:rPr>
          <w:rFonts w:ascii="Calibri" w:hAnsi="Calibri" w:eastAsia="Calibri"/>
          <w:b/>
          <w:i w:val="0"/>
          <w:sz w:val="27"/>
        </w:rPr>
        <w:t>2. Design &amp; Maintenance Burden</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Manually authored rule base — </w:t>
      </w:r>
      <w:r>
        <w:rPr>
          <w:rFonts w:ascii="Calibri" w:hAnsi="Calibri" w:eastAsia="Calibri"/>
          <w:b w:val="0"/>
          <w:i w:val="0"/>
          <w:sz w:val="21"/>
        </w:rPr>
        <w:t>all 45 rules were hand-written from domain standards rather than learned automatically, so there is no formal guarantee of completeness or consistency; input combinations not explicitly anticipated by a rule author could fall into gaps in rule coverage.</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Hand-tuned membership functions — </w:t>
      </w:r>
      <w:r>
        <w:rPr>
          <w:rFonts w:ascii="Calibri" w:hAnsi="Calibri" w:eastAsia="Calibri"/>
          <w:b w:val="0"/>
          <w:i w:val="0"/>
          <w:sz w:val="21"/>
        </w:rPr>
        <w:t>the breakpoints of each membership function are reasoned approximations of WHO/BIS limits, not fitted to measured data, so they may not be optimally calibrated for a specific real deployment site without manual re-tuning.</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No automatic learning from new data — </w:t>
      </w:r>
      <w:r>
        <w:rPr>
          <w:rFonts w:ascii="Calibri" w:hAnsi="Calibri" w:eastAsia="Calibri"/>
          <w:b w:val="0"/>
          <w:i w:val="0"/>
          <w:sz w:val="21"/>
        </w:rPr>
        <w:t>unlike the ML baselines, the FIS cannot improve itself as more field data becomes available; any correction requires a person to edit the rule base or membership functions directly.</w:t>
      </w:r>
    </w:p>
    <w:p>
      <w:pPr>
        <w:pStyle w:val="Heading2"/>
        <w:spacing w:before="280" w:after="120"/>
      </w:pPr>
      <w:r>
        <w:rPr>
          <w:rFonts w:ascii="Calibri" w:hAnsi="Calibri" w:eastAsia="Calibri"/>
          <w:b/>
          <w:i w:val="0"/>
          <w:sz w:val="27"/>
        </w:rPr>
        <w:t>3. Validation Gaps</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No field validation yet — </w:t>
      </w:r>
      <w:r>
        <w:rPr>
          <w:rFonts w:ascii="Calibri" w:hAnsi="Calibri" w:eastAsia="Calibri"/>
          <w:b w:val="0"/>
          <w:i w:val="0"/>
          <w:sz w:val="21"/>
        </w:rPr>
        <w:t>the system has been evaluated only on a self-generated synthetic dataset and one public Kaggle dataset; it has not yet been tested against real physical water samples or cross-checked against expert human assessments in the field.</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Benchmark asymmetry — </w:t>
      </w:r>
      <w:r>
        <w:rPr>
          <w:rFonts w:ascii="Calibri" w:hAnsi="Calibri" w:eastAsia="Calibri"/>
          <w:b w:val="0"/>
          <w:i w:val="0"/>
          <w:sz w:val="21"/>
        </w:rPr>
        <w:t>on the synthetic dataset, the FIS (which needs no training) was evaluated on the full 5,000-sample set while the ML models were evaluated only on a held-out 20% test split, so the headline numbers are not a perfectly like-for-like comparison.</w:t>
      </w:r>
    </w:p>
    <w:p>
      <w:pPr>
        <w:pStyle w:val="Heading2"/>
        <w:spacing w:before="280" w:after="120"/>
      </w:pPr>
      <w:r>
        <w:rPr>
          <w:rFonts w:ascii="Calibri" w:hAnsi="Calibri" w:eastAsia="Calibri"/>
          <w:b/>
          <w:i w:val="0"/>
          <w:sz w:val="27"/>
        </w:rPr>
        <w:t>4. Hardware &amp; Deployment Limitations</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Low-cost sensor drift and durability — </w:t>
      </w:r>
      <w:r>
        <w:rPr>
          <w:rFonts w:ascii="Calibri" w:hAnsi="Calibri" w:eastAsia="Calibri"/>
          <w:b w:val="0"/>
          <w:i w:val="0"/>
          <w:sz w:val="21"/>
        </w:rPr>
        <w:t>the DFRobot Gravity-series sensors used are not laboratory-grade; they are expected to need periodic recalibration in real deployments, a process not yet demonstrated in this project.</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Partial temperature compensation — </w:t>
      </w:r>
      <w:r>
        <w:rPr>
          <w:rFonts w:ascii="Calibri" w:hAnsi="Calibri" w:eastAsia="Calibri"/>
          <w:b w:val="0"/>
          <w:i w:val="0"/>
          <w:sz w:val="21"/>
        </w:rPr>
        <w:t>temperature correction is currently applied only to the pH and dissolved-oxygen readings; the turbidity and TDS sensors are not compensated, even though both can be somewhat temperature-sensitive in practice.</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Host-computer dependency — </w:t>
      </w:r>
      <w:r>
        <w:rPr>
          <w:rFonts w:ascii="Calibri" w:hAnsi="Calibri" w:eastAsia="Calibri"/>
          <w:b w:val="0"/>
          <w:i w:val="0"/>
          <w:sz w:val="21"/>
        </w:rPr>
        <w:t>in the current implementation, the ESP32 handles only signal acquisition, while preprocessing and FIS inference run on a separate host computer; a fully standalone, edge-only deployment has not yet been realized.</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Single-point sensing — </w:t>
      </w:r>
      <w:r>
        <w:rPr>
          <w:rFonts w:ascii="Calibri" w:hAnsi="Calibri" w:eastAsia="Calibri"/>
          <w:b w:val="0"/>
          <w:i w:val="0"/>
          <w:sz w:val="21"/>
        </w:rPr>
        <w:t>the system monitors one physical location at a time, with only a 60-second rolling trend window; it does not yet aggregate readings across multiple monitoring points or perform longer-horizon historical trend analysis.</w:t>
      </w:r>
    </w:p>
    <w:p>
      <w:pPr>
        <w:pStyle w:val="Heading2"/>
        <w:spacing w:before="280" w:after="120"/>
      </w:pPr>
      <w:r>
        <w:rPr>
          <w:rFonts w:ascii="Calibri" w:hAnsi="Calibri" w:eastAsia="Calibri"/>
          <w:b/>
          <w:i w:val="0"/>
          <w:sz w:val="27"/>
        </w:rPr>
        <w:t>5. Computational Overhead</w:t>
      </w:r>
    </w:p>
    <w:p>
      <w:pPr>
        <w:spacing w:after="140" w:line="276" w:lineRule="auto"/>
        <w:ind w:left="360"/>
      </w:pPr>
      <w:r>
        <w:rPr>
          <w:rFonts w:ascii="Calibri" w:hAnsi="Calibri" w:eastAsia="Calibri"/>
          <w:b/>
          <w:i w:val="0"/>
          <w:color w:val="B42323"/>
          <w:sz w:val="21"/>
        </w:rPr>
        <w:t xml:space="preserve">-  </w:t>
      </w:r>
      <w:r>
        <w:rPr>
          <w:rFonts w:ascii="Calibri" w:hAnsi="Calibri" w:eastAsia="Calibri"/>
          <w:b/>
          <w:i w:val="0"/>
          <w:sz w:val="21"/>
        </w:rPr>
        <w:t xml:space="preserve">Heavier defuzzification — </w:t>
      </w:r>
      <w:r>
        <w:rPr>
          <w:rFonts w:ascii="Calibri" w:hAnsi="Calibri" w:eastAsia="Calibri"/>
          <w:b w:val="0"/>
          <w:i w:val="0"/>
          <w:sz w:val="21"/>
        </w:rPr>
        <w:t>centroid-of-area defuzzification requires numerical integration over a discretized output range on every inference cycle, which is more computationally demanding than simpler defuzzification schemes (e.g. a Sugeno-style weighted average) — a non-issue at the project's ~1 Hz sampling rate, but a consideration if the sampling rate were increased substantially.</w:t>
      </w:r>
    </w:p>
    <w:p>
      <w:r>
        <w:br w:type="page"/>
      </w:r>
    </w:p>
    <w:p>
      <w:pPr>
        <w:pStyle w:val="Heading1"/>
        <w:spacing w:before="280" w:after="120"/>
      </w:pPr>
      <w:r>
        <w:rPr>
          <w:rFonts w:ascii="Calibri" w:hAnsi="Calibri" w:eastAsia="Calibri"/>
          <w:b/>
          <w:i w:val="0"/>
          <w:sz w:val="32"/>
        </w:rPr>
        <w:t>Summary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2304"/>
          </w:tcPr>
          <w:p>
            <w:pPr>
              <w:jc w:val="left"/>
            </w:pPr>
            <w:r/>
            <w:r>
              <w:rPr>
                <w:rFonts w:ascii="Calibri" w:hAnsi="Calibri" w:eastAsia="Calibri"/>
                <w:b/>
                <w:i w:val="0"/>
                <w:sz w:val="19"/>
              </w:rPr>
              <w:t>Aspect</w:t>
            </w:r>
          </w:p>
        </w:tc>
        <w:tc>
          <w:tcPr>
            <w:tcW w:type="dxa" w:w="3600"/>
          </w:tcPr>
          <w:p>
            <w:pPr>
              <w:jc w:val="left"/>
            </w:pPr>
            <w:r/>
            <w:r>
              <w:rPr>
                <w:rFonts w:ascii="Calibri" w:hAnsi="Calibri" w:eastAsia="Calibri"/>
                <w:b/>
                <w:i w:val="0"/>
                <w:sz w:val="19"/>
              </w:rPr>
              <w:t>Advantage</w:t>
            </w:r>
          </w:p>
        </w:tc>
        <w:tc>
          <w:tcPr>
            <w:tcW w:type="dxa" w:w="3600"/>
          </w:tcPr>
          <w:p>
            <w:pPr>
              <w:jc w:val="left"/>
            </w:pPr>
            <w:r/>
            <w:r>
              <w:rPr>
                <w:rFonts w:ascii="Calibri" w:hAnsi="Calibri" w:eastAsia="Calibri"/>
                <w:b/>
                <w:i w:val="0"/>
                <w:sz w:val="19"/>
              </w:rPr>
              <w:t>Disadvantage</w:t>
            </w:r>
          </w:p>
        </w:tc>
      </w:tr>
      <w:tr>
        <w:tc>
          <w:tcPr>
            <w:tcW w:type="dxa" w:w="2304"/>
          </w:tcPr>
          <w:p>
            <w:pPr>
              <w:jc w:val="left"/>
            </w:pPr>
            <w:r/>
            <w:r>
              <w:rPr>
                <w:rFonts w:ascii="Calibri" w:hAnsi="Calibri" w:eastAsia="Calibri"/>
                <w:b w:val="0"/>
                <w:i w:val="0"/>
                <w:sz w:val="19"/>
              </w:rPr>
              <w:t>Interpretability</w:t>
            </w:r>
          </w:p>
        </w:tc>
        <w:tc>
          <w:tcPr>
            <w:tcW w:type="dxa" w:w="3600"/>
          </w:tcPr>
          <w:p>
            <w:pPr>
              <w:jc w:val="left"/>
            </w:pPr>
            <w:r/>
            <w:r>
              <w:rPr>
                <w:rFonts w:ascii="Calibri" w:hAnsi="Calibri" w:eastAsia="Calibri"/>
                <w:b w:val="0"/>
                <w:i w:val="0"/>
                <w:sz w:val="19"/>
              </w:rPr>
              <w:t>Every decision traceable to a named, standards-grounded rule</w:t>
            </w:r>
          </w:p>
        </w:tc>
        <w:tc>
          <w:tcPr>
            <w:tcW w:type="dxa" w:w="3600"/>
          </w:tcPr>
          <w:p>
            <w:pPr>
              <w:jc w:val="left"/>
            </w:pPr>
            <w:r/>
            <w:r>
              <w:rPr>
                <w:rFonts w:ascii="Calibri" w:hAnsi="Calibri" w:eastAsia="Calibri"/>
                <w:b w:val="0"/>
                <w:i w:val="0"/>
                <w:sz w:val="19"/>
              </w:rPr>
              <w:t>Rule base is manually authored; no formal coverage guarantee</w:t>
            </w:r>
          </w:p>
        </w:tc>
      </w:tr>
      <w:tr>
        <w:tc>
          <w:tcPr>
            <w:tcW w:type="dxa" w:w="2304"/>
          </w:tcPr>
          <w:p>
            <w:pPr>
              <w:jc w:val="left"/>
            </w:pPr>
            <w:r/>
            <w:r>
              <w:rPr>
                <w:rFonts w:ascii="Calibri" w:hAnsi="Calibri" w:eastAsia="Calibri"/>
                <w:b w:val="0"/>
                <w:i w:val="0"/>
                <w:sz w:val="19"/>
              </w:rPr>
              <w:t>Accuracy (synthetic data)</w:t>
            </w:r>
          </w:p>
        </w:tc>
        <w:tc>
          <w:tcPr>
            <w:tcW w:type="dxa" w:w="3600"/>
          </w:tcPr>
          <w:p>
            <w:pPr>
              <w:jc w:val="left"/>
            </w:pPr>
            <w:r/>
            <w:r>
              <w:rPr>
                <w:rFonts w:ascii="Calibri" w:hAnsi="Calibri" w:eastAsia="Calibri"/>
                <w:b w:val="0"/>
                <w:i w:val="0"/>
                <w:sz w:val="19"/>
              </w:rPr>
              <w:t>Reasonable at 75.3%</w:t>
            </w:r>
          </w:p>
        </w:tc>
        <w:tc>
          <w:tcPr>
            <w:tcW w:type="dxa" w:w="3600"/>
          </w:tcPr>
          <w:p>
            <w:pPr>
              <w:jc w:val="left"/>
            </w:pPr>
            <w:r/>
            <w:r>
              <w:rPr>
                <w:rFonts w:ascii="Calibri" w:hAnsi="Calibri" w:eastAsia="Calibri"/>
                <w:b w:val="0"/>
                <w:i w:val="0"/>
                <w:sz w:val="19"/>
              </w:rPr>
              <w:t>Well below RF/SVM/KNN (92-99.5%), which were fit to the labelling oracle</w:t>
            </w:r>
          </w:p>
        </w:tc>
      </w:tr>
      <w:tr>
        <w:tc>
          <w:tcPr>
            <w:tcW w:type="dxa" w:w="2304"/>
          </w:tcPr>
          <w:p>
            <w:pPr>
              <w:jc w:val="left"/>
            </w:pPr>
            <w:r/>
            <w:r>
              <w:rPr>
                <w:rFonts w:ascii="Calibri" w:hAnsi="Calibri" w:eastAsia="Calibri"/>
                <w:b w:val="0"/>
                <w:i w:val="0"/>
                <w:sz w:val="19"/>
              </w:rPr>
              <w:t>Accuracy (real-world Kaggle data)</w:t>
            </w:r>
          </w:p>
        </w:tc>
        <w:tc>
          <w:tcPr>
            <w:tcW w:type="dxa" w:w="3600"/>
          </w:tcPr>
          <w:p>
            <w:pPr>
              <w:jc w:val="left"/>
            </w:pPr>
            <w:r/>
            <w:r>
              <w:rPr>
                <w:rFonts w:ascii="Calibri" w:hAnsi="Calibri" w:eastAsia="Calibri"/>
                <w:b w:val="0"/>
                <w:i w:val="0"/>
                <w:sz w:val="19"/>
              </w:rPr>
              <w:t>Best-or-near-best of the 4 methods (60.43%)</w:t>
            </w:r>
          </w:p>
        </w:tc>
        <w:tc>
          <w:tcPr>
            <w:tcW w:type="dxa" w:w="3600"/>
          </w:tcPr>
          <w:p>
            <w:pPr>
              <w:jc w:val="left"/>
            </w:pPr>
            <w:r/>
            <w:r>
              <w:rPr>
                <w:rFonts w:ascii="Calibri" w:hAnsi="Calibri" w:eastAsia="Calibri"/>
                <w:b w:val="0"/>
                <w:i w:val="0"/>
                <w:sz w:val="19"/>
              </w:rPr>
              <w:t>Macro-F1 is comparatively low (37.67%), showing class imbalance in performance</w:t>
            </w:r>
          </w:p>
        </w:tc>
      </w:tr>
      <w:tr>
        <w:tc>
          <w:tcPr>
            <w:tcW w:type="dxa" w:w="2304"/>
          </w:tcPr>
          <w:p>
            <w:pPr>
              <w:jc w:val="left"/>
            </w:pPr>
            <w:r/>
            <w:r>
              <w:rPr>
                <w:rFonts w:ascii="Calibri" w:hAnsi="Calibri" w:eastAsia="Calibri"/>
                <w:b w:val="0"/>
                <w:i w:val="0"/>
                <w:sz w:val="19"/>
              </w:rPr>
              <w:t>Cost</w:t>
            </w:r>
          </w:p>
        </w:tc>
        <w:tc>
          <w:tcPr>
            <w:tcW w:type="dxa" w:w="3600"/>
          </w:tcPr>
          <w:p>
            <w:pPr>
              <w:jc w:val="left"/>
            </w:pPr>
            <w:r/>
            <w:r>
              <w:rPr>
                <w:rFonts w:ascii="Calibri" w:hAnsi="Calibri" w:eastAsia="Calibri"/>
                <w:b w:val="0"/>
                <w:i w:val="0"/>
                <w:sz w:val="19"/>
              </w:rPr>
              <w:t>~Rs. 5,350 total hardware, no cloud/GPU needed</w:t>
            </w:r>
          </w:p>
        </w:tc>
        <w:tc>
          <w:tcPr>
            <w:tcW w:type="dxa" w:w="3600"/>
          </w:tcPr>
          <w:p>
            <w:pPr>
              <w:jc w:val="left"/>
            </w:pPr>
            <w:r/>
            <w:r>
              <w:rPr>
                <w:rFonts w:ascii="Calibri" w:hAnsi="Calibri" w:eastAsia="Calibri"/>
                <w:b w:val="0"/>
                <w:i w:val="0"/>
                <w:sz w:val="19"/>
              </w:rPr>
              <w:t>Low-cost sensors drift and need recalibration</w:t>
            </w:r>
          </w:p>
        </w:tc>
      </w:tr>
      <w:tr>
        <w:tc>
          <w:tcPr>
            <w:tcW w:type="dxa" w:w="2304"/>
          </w:tcPr>
          <w:p>
            <w:pPr>
              <w:jc w:val="left"/>
            </w:pPr>
            <w:r/>
            <w:r>
              <w:rPr>
                <w:rFonts w:ascii="Calibri" w:hAnsi="Calibri" w:eastAsia="Calibri"/>
                <w:b w:val="0"/>
                <w:i w:val="0"/>
                <w:sz w:val="19"/>
              </w:rPr>
              <w:t>Adaptability</w:t>
            </w:r>
          </w:p>
        </w:tc>
        <w:tc>
          <w:tcPr>
            <w:tcW w:type="dxa" w:w="3600"/>
          </w:tcPr>
          <w:p>
            <w:pPr>
              <w:jc w:val="left"/>
            </w:pPr>
            <w:r/>
            <w:r>
              <w:rPr>
                <w:rFonts w:ascii="Calibri" w:hAnsi="Calibri" w:eastAsia="Calibri"/>
                <w:b w:val="0"/>
                <w:i w:val="0"/>
                <w:sz w:val="19"/>
              </w:rPr>
              <w:t>Works zero-shot with no training data</w:t>
            </w:r>
          </w:p>
        </w:tc>
        <w:tc>
          <w:tcPr>
            <w:tcW w:type="dxa" w:w="3600"/>
          </w:tcPr>
          <w:p>
            <w:pPr>
              <w:jc w:val="left"/>
            </w:pPr>
            <w:r/>
            <w:r>
              <w:rPr>
                <w:rFonts w:ascii="Calibri" w:hAnsi="Calibri" w:eastAsia="Calibri"/>
                <w:b w:val="0"/>
                <w:i w:val="0"/>
                <w:sz w:val="19"/>
              </w:rPr>
              <w:t>Cannot self-improve from new field data</w:t>
            </w:r>
          </w:p>
        </w:tc>
      </w:tr>
      <w:tr>
        <w:tc>
          <w:tcPr>
            <w:tcW w:type="dxa" w:w="2304"/>
          </w:tcPr>
          <w:p>
            <w:pPr>
              <w:jc w:val="left"/>
            </w:pPr>
            <w:r/>
            <w:r>
              <w:rPr>
                <w:rFonts w:ascii="Calibri" w:hAnsi="Calibri" w:eastAsia="Calibri"/>
                <w:b w:val="0"/>
                <w:i w:val="0"/>
                <w:sz w:val="19"/>
              </w:rPr>
              <w:t>Real-time capability</w:t>
            </w:r>
          </w:p>
        </w:tc>
        <w:tc>
          <w:tcPr>
            <w:tcW w:type="dxa" w:w="3600"/>
          </w:tcPr>
          <w:p>
            <w:pPr>
              <w:jc w:val="left"/>
            </w:pPr>
            <w:r/>
            <w:r>
              <w:rPr>
                <w:rFonts w:ascii="Calibri" w:hAnsi="Calibri" w:eastAsia="Calibri"/>
                <w:b w:val="0"/>
                <w:i w:val="0"/>
                <w:sz w:val="19"/>
              </w:rPr>
              <w:t>Fast enough at ~1 Hz for a live dashboard</w:t>
            </w:r>
          </w:p>
        </w:tc>
        <w:tc>
          <w:tcPr>
            <w:tcW w:type="dxa" w:w="3600"/>
          </w:tcPr>
          <w:p>
            <w:pPr>
              <w:jc w:val="left"/>
            </w:pPr>
            <w:r/>
            <w:r>
              <w:rPr>
                <w:rFonts w:ascii="Calibri" w:hAnsi="Calibri" w:eastAsia="Calibri"/>
                <w:b w:val="0"/>
                <w:i w:val="0"/>
                <w:sz w:val="19"/>
              </w:rPr>
              <w:t>Defuzzification is heavier than simpler methods</w:t>
            </w:r>
          </w:p>
        </w:tc>
      </w:tr>
      <w:tr>
        <w:tc>
          <w:tcPr>
            <w:tcW w:type="dxa" w:w="2304"/>
          </w:tcPr>
          <w:p>
            <w:pPr>
              <w:jc w:val="left"/>
            </w:pPr>
            <w:r/>
            <w:r>
              <w:rPr>
                <w:rFonts w:ascii="Calibri" w:hAnsi="Calibri" w:eastAsia="Calibri"/>
                <w:b w:val="0"/>
                <w:i w:val="0"/>
                <w:sz w:val="19"/>
              </w:rPr>
              <w:t>Deployment maturity</w:t>
            </w:r>
          </w:p>
        </w:tc>
        <w:tc>
          <w:tcPr>
            <w:tcW w:type="dxa" w:w="3600"/>
          </w:tcPr>
          <w:p>
            <w:pPr>
              <w:jc w:val="left"/>
            </w:pPr>
            <w:r/>
            <w:r>
              <w:rPr>
                <w:rFonts w:ascii="Calibri" w:hAnsi="Calibri" w:eastAsia="Calibri"/>
                <w:b w:val="0"/>
                <w:i w:val="0"/>
                <w:sz w:val="19"/>
              </w:rPr>
              <w:t>Full working prototype with live dashboard</w:t>
            </w:r>
          </w:p>
        </w:tc>
        <w:tc>
          <w:tcPr>
            <w:tcW w:type="dxa" w:w="3600"/>
          </w:tcPr>
          <w:p>
            <w:pPr>
              <w:jc w:val="left"/>
            </w:pPr>
            <w:r/>
            <w:r>
              <w:rPr>
                <w:rFonts w:ascii="Calibri" w:hAnsi="Calibri" w:eastAsia="Calibri"/>
                <w:b w:val="0"/>
                <w:i w:val="0"/>
                <w:sz w:val="19"/>
              </w:rPr>
              <w:t>Not yet field-validated; still host-computer-dependent</w:t>
            </w:r>
          </w:p>
        </w:tc>
      </w:tr>
    </w:tbl>
    <w:p>
      <w:pPr>
        <w:spacing w:after="320" w:before="80"/>
        <w:jc w:val="center"/>
      </w:pPr>
      <w:r>
        <w:rPr>
          <w:rFonts w:ascii="Calibri" w:hAnsi="Calibri" w:eastAsia="Calibri"/>
          <w:b w:val="0"/>
          <w:i/>
          <w:sz w:val="19"/>
        </w:rPr>
        <w:t>Table 1. Advantages and disadvantages by aspect.</w:t>
      </w:r>
    </w:p>
    <w:p>
      <w:pPr>
        <w:pStyle w:val="Heading1"/>
        <w:spacing w:before="280" w:after="120"/>
      </w:pPr>
      <w:r>
        <w:rPr>
          <w:rFonts w:ascii="Calibri" w:hAnsi="Calibri" w:eastAsia="Calibri"/>
          <w:b/>
          <w:i w:val="0"/>
          <w:sz w:val="32"/>
        </w:rPr>
        <w:t>Overall Assessment</w:t>
      </w:r>
    </w:p>
    <w:p>
      <w:pPr>
        <w:spacing w:after="160" w:line="288" w:lineRule="auto"/>
        <w:jc w:val="both"/>
      </w:pPr>
      <w:r>
        <w:rPr>
          <w:rFonts w:ascii="Calibri" w:hAnsi="Calibri" w:eastAsia="Calibri"/>
          <w:b w:val="0"/>
          <w:i w:val="0"/>
          <w:sz w:val="22"/>
        </w:rPr>
        <w:t>On balance, the project's central design bet — trading a measurable amount of raw classification accuracy for full rule-level interpretability and standards traceability — is defensible specifically because water potability is a safety- and trust-sensitive decision, where being able to justify a verdict matters as much as the verdict's raw accuracy. That said, the limitations above are real and unresolved: the rule base and membership functions have not been tuned or validated against real field data or expert assessment, the sensors' long-term reliability is untested, and the system is not yet a standalone edge device. These are reasonable next steps rather than flaws in the underlying approach, and are already noted as future work elsewhere in the project's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