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eastAsia="Times New Roman"/>
          <w:b/>
          <w:i w:val="0"/>
          <w:sz w:val="20"/>
        </w:rPr>
        <w:t>DRAFT — FOR ATTORNEY / PATENT AGENT REVIEW</w:t>
      </w:r>
    </w:p>
    <w:p>
      <w:pPr>
        <w:spacing w:after="480" w:line="276" w:lineRule="auto"/>
        <w:jc w:val="center"/>
      </w:pPr>
      <w:r>
        <w:rPr>
          <w:rFonts w:ascii="Times New Roman" w:hAnsi="Times New Roman" w:eastAsia="Times New Roman"/>
          <w:b w:val="0"/>
          <w:i/>
          <w:sz w:val="18"/>
        </w:rPr>
        <w:t>NOT YET FILED. PREPARED FROM PROJECT TECHNICAL RECORDS.</w:t>
      </w:r>
    </w:p>
    <w:p>
      <w:pPr>
        <w:pStyle w:val="Title"/>
        <w:jc w:val="center"/>
      </w:pPr>
      <w:r>
        <w:rPr>
          <w:rFonts w:ascii="Times New Roman" w:hAnsi="Times New Roman" w:eastAsia="Times New Roman"/>
          <w:b/>
          <w:i w:val="0"/>
          <w:sz w:val="32"/>
        </w:rPr>
        <w:t>COMPLETE SPECIFICATION</w:t>
      </w:r>
    </w:p>
    <w:p>
      <w:pPr>
        <w:spacing w:after="400" w:line="276" w:lineRule="auto"/>
        <w:jc w:val="center"/>
      </w:pPr>
      <w:r>
        <w:rPr>
          <w:rFonts w:ascii="Times New Roman" w:hAnsi="Times New Roman" w:eastAsia="Times New Roman"/>
          <w:b w:val="0"/>
          <w:i/>
          <w:sz w:val="19"/>
        </w:rPr>
        <w:t>(See Section 10 and Rule 13 of the Patents Act, 1970 / Patents Rules, 2003 — India; to be adapted to the applicable jurisdiction's format before filing)</w:t>
      </w:r>
    </w:p>
    <w:p>
      <w:pPr>
        <w:pStyle w:val="Heading1"/>
        <w:spacing w:before="280" w:after="120"/>
      </w:pPr>
      <w:r>
        <w:rPr>
          <w:rFonts w:ascii="Times New Roman" w:hAnsi="Times New Roman" w:eastAsia="Times New Roman"/>
          <w:b/>
          <w:i w:val="0"/>
          <w:sz w:val="30"/>
        </w:rPr>
        <w:t>TITLE OF THE INVENTION</w:t>
      </w:r>
    </w:p>
    <w:p>
      <w:pPr>
        <w:spacing w:after="160" w:line="276" w:lineRule="auto"/>
      </w:pPr>
      <w:r>
        <w:rPr>
          <w:rFonts w:ascii="Times New Roman" w:hAnsi="Times New Roman" w:eastAsia="Times New Roman"/>
          <w:b/>
          <w:i w:val="0"/>
          <w:sz w:val="22"/>
        </w:rPr>
        <w:t>“A FUZZY LOGIC BASED SYSTEM AND METHOD FOR REAL-TIME WATER POTABILITY CLASSIFICATION USING LOW-COST MULTI-SENSOR DATA”</w:t>
      </w:r>
    </w:p>
    <w:p>
      <w:pPr>
        <w:pStyle w:val="Heading1"/>
        <w:spacing w:before="280" w:after="120"/>
      </w:pPr>
      <w:r>
        <w:rPr>
          <w:rFonts w:ascii="Times New Roman" w:hAnsi="Times New Roman" w:eastAsia="Times New Roman"/>
          <w:b/>
          <w:i w:val="0"/>
          <w:sz w:val="30"/>
        </w:rPr>
        <w:t>APPLICANT(S)</w:t>
      </w:r>
    </w:p>
    <w:p>
      <w:pPr>
        <w:spacing w:after="160" w:line="276" w:lineRule="auto"/>
      </w:pPr>
      <w:r>
        <w:rPr>
          <w:rFonts w:ascii="Times New Roman" w:hAnsi="Times New Roman" w:eastAsia="Times New Roman"/>
          <w:b w:val="0"/>
          <w:i w:val="0"/>
          <w:sz w:val="22"/>
        </w:rPr>
        <w:t>[Applicant name(s) / Institution to be inserted]</w:t>
      </w:r>
    </w:p>
    <w:p>
      <w:pPr>
        <w:pStyle w:val="Heading1"/>
        <w:spacing w:before="280" w:after="120"/>
      </w:pPr>
      <w:r>
        <w:rPr>
          <w:rFonts w:ascii="Times New Roman" w:hAnsi="Times New Roman" w:eastAsia="Times New Roman"/>
          <w:b/>
          <w:i w:val="0"/>
          <w:sz w:val="30"/>
        </w:rPr>
        <w:t>INVENTOR(S)</w:t>
      </w:r>
    </w:p>
    <w:p>
      <w:pPr>
        <w:spacing w:after="160" w:line="276" w:lineRule="auto"/>
      </w:pPr>
      <w:r>
        <w:rPr>
          <w:rFonts w:ascii="Times New Roman" w:hAnsi="Times New Roman" w:eastAsia="Times New Roman"/>
          <w:b w:val="0"/>
          <w:i w:val="0"/>
          <w:sz w:val="22"/>
        </w:rPr>
        <w:t>SC_CProject Team [names to be inserted]</w:t>
      </w:r>
    </w:p>
    <w:p>
      <w:r>
        <w:br w:type="page"/>
      </w:r>
    </w:p>
    <w:p>
      <w:pPr>
        <w:pStyle w:val="Heading1"/>
        <w:spacing w:before="280" w:after="120"/>
      </w:pPr>
      <w:r>
        <w:rPr>
          <w:rFonts w:ascii="Times New Roman" w:hAnsi="Times New Roman" w:eastAsia="Times New Roman"/>
          <w:b/>
          <w:i w:val="0"/>
          <w:sz w:val="30"/>
        </w:rPr>
        <w:t>FIELD OF THE INVENTION</w:t>
      </w:r>
    </w:p>
    <w:p>
      <w:pPr>
        <w:spacing w:after="160" w:line="276" w:lineRule="auto"/>
      </w:pPr>
      <w:r>
        <w:rPr>
          <w:rFonts w:ascii="Times New Roman" w:hAnsi="Times New Roman" w:eastAsia="Times New Roman"/>
          <w:b w:val="0"/>
          <w:i w:val="0"/>
          <w:sz w:val="22"/>
        </w:rPr>
        <w:t>The present invention relates to water quality monitoring systems, and more particularly to an embedded, edge-deployable system and method that applies a Mamdani-type fuzzy inference engine to real-time readings from a low-cost multi-parameter sensor array (pH, turbidity, total dissolved solids, dissolved oxygen and temperature) to compute a continuous, interpretable Water Potability Index (WPI) and to display the result on a real-time visual dashboard.</w:t>
      </w:r>
    </w:p>
    <w:p>
      <w:pPr>
        <w:pStyle w:val="Heading1"/>
        <w:spacing w:before="280" w:after="120"/>
      </w:pPr>
      <w:r>
        <w:rPr>
          <w:rFonts w:ascii="Times New Roman" w:hAnsi="Times New Roman" w:eastAsia="Times New Roman"/>
          <w:b/>
          <w:i w:val="0"/>
          <w:sz w:val="30"/>
        </w:rPr>
        <w:t>BACKGROUND OF THE INVENTION</w:t>
      </w:r>
    </w:p>
    <w:p>
      <w:pPr>
        <w:spacing w:after="160" w:line="276" w:lineRule="auto"/>
      </w:pPr>
      <w:r>
        <w:rPr>
          <w:rFonts w:ascii="Times New Roman" w:hAnsi="Times New Roman" w:eastAsia="Times New Roman"/>
          <w:b w:val="0"/>
          <w:i w:val="0"/>
          <w:sz w:val="22"/>
        </w:rPr>
        <w:t>Access to safe drinking water is a critical public health requirement. Conventional water-quality assessment relies on periodic laboratory analysis of collected samples. This approach suffers from several drawbacks: (a) it requires trained personnel and calibrated laboratory instruments; (b) results are typically available only after a delay of hours to days, precluding real-time intervention; and (c) it is not economically or logistically feasible to deploy at the density required for continuous monitoring of distributed water sources, particularly in resource-constrained regions.</w:t>
      </w:r>
    </w:p>
    <w:p>
      <w:pPr>
        <w:spacing w:after="160" w:line="276" w:lineRule="auto"/>
      </w:pPr>
      <w:r>
        <w:rPr>
          <w:rFonts w:ascii="Times New Roman" w:hAnsi="Times New Roman" w:eastAsia="Times New Roman"/>
          <w:b w:val="0"/>
          <w:i w:val="0"/>
          <w:sz w:val="22"/>
        </w:rPr>
        <w:t>Existing low-cost electronic monitoring attempts typically apply hard, threshold-based decision rules to individual sensor readings (for example, declaring water “unsafe” whenever pH falls outside a fixed numeric band). Such hard-threshold classifiers suffer from a “cliff-edge” effect: an infinitesimally small change in a measured parameter at a threshold boundary produces a discontinuous jump in the output classification, which does not reflect the underlying physical reality that water quality degrades gradually. Hard-threshold systems are additionally unable to reason jointly over multiple correlated parameters in a graded manner.</w:t>
      </w:r>
    </w:p>
    <w:p>
      <w:pPr>
        <w:spacing w:after="160" w:line="276" w:lineRule="auto"/>
      </w:pPr>
      <w:r>
        <w:rPr>
          <w:rFonts w:ascii="Times New Roman" w:hAnsi="Times New Roman" w:eastAsia="Times New Roman"/>
          <w:b w:val="0"/>
          <w:i w:val="0"/>
          <w:sz w:val="22"/>
        </w:rPr>
        <w:t>Separately, machine-learning classifiers (for example, random forests, support vector machines, or neural networks) have been applied to water-quality classification and can achieve high point accuracy on a given dataset. However, such models function largely as “black boxes”: the basis for a specific classification decision cannot readily be traced to an auditable, standards-grounded rule. This lack of interpretability is a significant limitation for safety-critical, regulatory, or community-trust-sensitive deployments, where a decision-maker must be able to explain why a given water sample was classified as unsafe.</w:t>
      </w:r>
    </w:p>
    <w:p>
      <w:pPr>
        <w:spacing w:after="160" w:line="276" w:lineRule="auto"/>
      </w:pPr>
      <w:r>
        <w:rPr>
          <w:rFonts w:ascii="Times New Roman" w:hAnsi="Times New Roman" w:eastAsia="Times New Roman"/>
          <w:b w:val="0"/>
          <w:i w:val="0"/>
          <w:sz w:val="22"/>
        </w:rPr>
        <w:t>There exists, therefore, a need for a water-quality classification system that (i) operates in real time on low-cost embedded hardware without dependence on a remote laboratory or cloud inference service, (ii) produces a continuous, graded output rather than an abrupt binary or hard-banded decision, and (iii) remains fully interpretable, with every classification traceable to explicit rules grounded in recognized drinking-water standards such as the WHO Guidelines for Drinking-Water Quality and the Bureau of Indian Standards IS 10500 specification.</w:t>
      </w:r>
    </w:p>
    <w:p>
      <w:pPr>
        <w:pStyle w:val="Heading1"/>
        <w:spacing w:before="280" w:after="120"/>
      </w:pPr>
      <w:r>
        <w:rPr>
          <w:rFonts w:ascii="Times New Roman" w:hAnsi="Times New Roman" w:eastAsia="Times New Roman"/>
          <w:b/>
          <w:i w:val="0"/>
          <w:sz w:val="30"/>
        </w:rPr>
        <w:t>OBJECTS OF THE INVENTION</w:t>
      </w:r>
    </w:p>
    <w:p>
      <w:pPr>
        <w:spacing w:after="140" w:line="276" w:lineRule="auto"/>
        <w:ind w:left="432"/>
      </w:pPr>
      <w:r>
        <w:rPr>
          <w:rFonts w:ascii="Times New Roman" w:hAnsi="Times New Roman" w:eastAsia="Times New Roman"/>
          <w:b w:val="0"/>
          <w:i w:val="0"/>
          <w:sz w:val="22"/>
        </w:rPr>
        <w:t>1.  To provide a system and method for real-time classification of water potability using readings acquired from a low-cost, multi-parameter sensor array.</w:t>
      </w:r>
    </w:p>
    <w:p>
      <w:pPr>
        <w:spacing w:after="140" w:line="276" w:lineRule="auto"/>
        <w:ind w:left="432"/>
      </w:pPr>
      <w:r>
        <w:rPr>
          <w:rFonts w:ascii="Times New Roman" w:hAnsi="Times New Roman" w:eastAsia="Times New Roman"/>
          <w:b w:val="0"/>
          <w:i w:val="0"/>
          <w:sz w:val="22"/>
        </w:rPr>
        <w:t>2.  To provide a fuzzy-logic-based inference engine that produces a continuous, graded Water Potability Index (WPI) in place of an abrupt binary or hard-threshold classification.</w:t>
      </w:r>
    </w:p>
    <w:p>
      <w:pPr>
        <w:spacing w:after="140" w:line="276" w:lineRule="auto"/>
        <w:ind w:left="432"/>
      </w:pPr>
      <w:r>
        <w:rPr>
          <w:rFonts w:ascii="Times New Roman" w:hAnsi="Times New Roman" w:eastAsia="Times New Roman"/>
          <w:b w:val="0"/>
          <w:i w:val="0"/>
          <w:sz w:val="22"/>
        </w:rPr>
        <w:t>3.  To provide a rule base whose individual rules are explicitly grounded in recognized drinking-water standards (WHO 2022; BIS IS 10500:2012), such that every classification decision is fully traceable and auditable.</w:t>
      </w:r>
    </w:p>
    <w:p>
      <w:pPr>
        <w:spacing w:after="140" w:line="276" w:lineRule="auto"/>
        <w:ind w:left="432"/>
      </w:pPr>
      <w:r>
        <w:rPr>
          <w:rFonts w:ascii="Times New Roman" w:hAnsi="Times New Roman" w:eastAsia="Times New Roman"/>
          <w:b w:val="0"/>
          <w:i w:val="0"/>
          <w:sz w:val="22"/>
        </w:rPr>
        <w:t>4.  To provide a preprocessing module that compensates sensor readings for temperature-induced drift and rejects transient noise/outliers prior to fuzzy inference.</w:t>
      </w:r>
    </w:p>
    <w:p>
      <w:pPr>
        <w:spacing w:after="140" w:line="276" w:lineRule="auto"/>
        <w:ind w:left="432"/>
      </w:pPr>
      <w:r>
        <w:rPr>
          <w:rFonts w:ascii="Times New Roman" w:hAnsi="Times New Roman" w:eastAsia="Times New Roman"/>
          <w:b w:val="0"/>
          <w:i w:val="0"/>
          <w:sz w:val="22"/>
        </w:rPr>
        <w:t>5.  To provide a system architecture that is deployable on a low-cost embedded microcontroller and associated sensor stack at a total hardware cost significantly lower than laboratory test equipment.</w:t>
      </w:r>
    </w:p>
    <w:p>
      <w:pPr>
        <w:spacing w:after="140" w:line="276" w:lineRule="auto"/>
        <w:ind w:left="432"/>
      </w:pPr>
      <w:r>
        <w:rPr>
          <w:rFonts w:ascii="Times New Roman" w:hAnsi="Times New Roman" w:eastAsia="Times New Roman"/>
          <w:b w:val="0"/>
          <w:i w:val="0"/>
          <w:sz w:val="22"/>
        </w:rPr>
        <w:t>6.  To provide a real-time visual dashboard that displays live sensor readings, fuzzy membership degrees, activated rules and the resulting potability classification to a human operator.</w:t>
      </w:r>
    </w:p>
    <w:p>
      <w:pPr>
        <w:spacing w:after="140" w:line="276" w:lineRule="auto"/>
        <w:ind w:left="432"/>
      </w:pPr>
      <w:r>
        <w:rPr>
          <w:rFonts w:ascii="Times New Roman" w:hAnsi="Times New Roman" w:eastAsia="Times New Roman"/>
          <w:b w:val="0"/>
          <w:i w:val="0"/>
          <w:sz w:val="22"/>
        </w:rPr>
        <w:t>7.  To provide a method that maintains classification performance in boundary/ambiguous conditions superior to a hard-threshold classifier, by virtue of graded fuzzy-set membership.</w:t>
      </w:r>
    </w:p>
    <w:p>
      <w:pPr>
        <w:pStyle w:val="Heading1"/>
        <w:spacing w:before="280" w:after="120"/>
      </w:pPr>
      <w:r>
        <w:rPr>
          <w:rFonts w:ascii="Times New Roman" w:hAnsi="Times New Roman" w:eastAsia="Times New Roman"/>
          <w:b/>
          <w:i w:val="0"/>
          <w:sz w:val="30"/>
        </w:rPr>
        <w:t>SUMMARY OF THE INVENTION</w:t>
      </w:r>
    </w:p>
    <w:p>
      <w:pPr>
        <w:spacing w:after="160" w:line="276" w:lineRule="auto"/>
      </w:pPr>
      <w:r>
        <w:rPr>
          <w:rFonts w:ascii="Times New Roman" w:hAnsi="Times New Roman" w:eastAsia="Times New Roman"/>
          <w:b w:val="0"/>
          <w:i w:val="0"/>
          <w:sz w:val="22"/>
        </w:rPr>
        <w:t>In accordance with the present invention, there is provided a system for real-time water potability classification comprising: a sensor array including at least a pH sensor, a turbidity sensor, a total dissolved solids (TDS) sensor, a dissolved oxygen (DO) sensor, and a temperature sensor; a signal acquisition and microcontroller unit configured to digitize and transmit the sensor readings; a preprocessing module configured to apply temperature compensation, statistical outlier rejection and moving-average noise filtering to the acquired readings; a fuzzy inference engine of the Mamdani type configured to fuzzify the preprocessed readings into degrees of membership in a plurality of linguistic terms, to evaluate a rule base of the order of forty-five expert rules using a minimum (MIN) implication operator, to aggregate the resultant fuzzy output sets using a maximum (MAX) operator, and to defuzzify the aggregated set using the centroid-of-area method to yield a crisp Water Potability Index (WPI) on a continuous scale; a classifier configured to map the WPI to one of a plurality of potability classes; and a display/dashboard unit configured to render the sensor readings, membership degrees, activated rules and resulting classification in substantially real time.</w:t>
      </w:r>
    </w:p>
    <w:p>
      <w:pPr>
        <w:spacing w:after="160" w:line="276" w:lineRule="auto"/>
      </w:pPr>
      <w:r>
        <w:rPr>
          <w:rFonts w:ascii="Times New Roman" w:hAnsi="Times New Roman" w:eastAsia="Times New Roman"/>
          <w:b w:val="0"/>
          <w:i w:val="0"/>
          <w:sz w:val="22"/>
        </w:rPr>
        <w:t>In a further aspect, there is provided a corresponding computer-implemented method comprising the steps of: acquiring raw sensor readings; applying temperature compensation to at least the pH and dissolved-oxygen readings; rejecting statistical outliers and smoothing the readings using a moving-average filter; fuzzifying the filtered readings; evaluating a WHO/BIS-standards-grounded rule base using MIN implication; aggregating the activated rule outputs using a MAX operator; defuzzifying the aggregate via the centroid-of-area technique to compute the WPI; classifying the WPI into a non-potable, marginal, or potable class; and displaying the result on a real-time interface, the foregoing steps being repeated continuously to provide real-time monitoring.</w:t>
      </w:r>
    </w:p>
    <w:p>
      <w:pPr>
        <w:spacing w:after="160" w:line="276" w:lineRule="auto"/>
      </w:pPr>
      <w:r>
        <w:rPr>
          <w:rFonts w:ascii="Times New Roman" w:hAnsi="Times New Roman" w:eastAsia="Times New Roman"/>
          <w:b w:val="0"/>
          <w:i w:val="0"/>
          <w:sz w:val="22"/>
        </w:rPr>
        <w:t>The invention is further described, without limitation, with reference to the accompanying drawings and the detailed description below.</w:t>
      </w:r>
    </w:p>
    <w:p>
      <w:pPr>
        <w:pStyle w:val="Heading1"/>
        <w:spacing w:before="280" w:after="120"/>
      </w:pPr>
      <w:r>
        <w:rPr>
          <w:rFonts w:ascii="Times New Roman" w:hAnsi="Times New Roman" w:eastAsia="Times New Roman"/>
          <w:b/>
          <w:i w:val="0"/>
          <w:sz w:val="30"/>
        </w:rPr>
        <w:t>BRIEF DESCRIPTION OF THE ACCOMPANYING DRAWINGS</w:t>
      </w:r>
    </w:p>
    <w:p>
      <w:pPr>
        <w:spacing w:after="160" w:line="276" w:lineRule="auto"/>
      </w:pPr>
      <w:r>
        <w:rPr>
          <w:rFonts w:ascii="Times New Roman" w:hAnsi="Times New Roman" w:eastAsia="Times New Roman"/>
          <w:b w:val="0"/>
          <w:i w:val="0"/>
          <w:sz w:val="22"/>
        </w:rPr>
        <w:t>FIG. 1 illustrates a block diagram of the overall system (100) of the present invention, showing the sensor array (102), signal acquisition/microcontroller unit (116), preprocessing module (114), fuzzy inference engine (118) and display/dashboard unit (128).</w:t>
      </w:r>
    </w:p>
    <w:p>
      <w:pPr>
        <w:spacing w:after="160" w:line="276" w:lineRule="auto"/>
      </w:pPr>
      <w:r>
        <w:rPr>
          <w:rFonts w:ascii="Times New Roman" w:hAnsi="Times New Roman" w:eastAsia="Times New Roman"/>
          <w:b w:val="0"/>
          <w:i w:val="0"/>
          <w:sz w:val="22"/>
        </w:rPr>
        <w:t>FIG. 2 illustrates a flowchart of the computer-implemented method of the present invention, from acquisition of raw sensor readings (202) through to output of the classification result on the dashboard (218), repeated in a continuous real-time loop.</w:t>
      </w:r>
    </w:p>
    <w:p>
      <w:pPr>
        <w:spacing w:after="160" w:line="276" w:lineRule="auto"/>
      </w:pPr>
      <w:r>
        <w:rPr>
          <w:rFonts w:ascii="Times New Roman" w:hAnsi="Times New Roman" w:eastAsia="Times New Roman"/>
          <w:b w:val="0"/>
          <w:i w:val="0"/>
          <w:sz w:val="22"/>
        </w:rPr>
        <w:t>FIG. 3A illustrates representative fuzzy membership functions defined over the input variable pH, showing the linguistic terms ACIDIC, SLIGHTLY ACIDIC, NEUTRAL, SLIGHTLY ALKALINE and ALKALINE.</w:t>
      </w:r>
    </w:p>
    <w:p>
      <w:pPr>
        <w:spacing w:after="160" w:line="276" w:lineRule="auto"/>
      </w:pPr>
      <w:r>
        <w:rPr>
          <w:rFonts w:ascii="Times New Roman" w:hAnsi="Times New Roman" w:eastAsia="Times New Roman"/>
          <w:b w:val="0"/>
          <w:i w:val="0"/>
          <w:sz w:val="22"/>
        </w:rPr>
        <w:t>FIG. 3B illustrates the fuzzy membership functions defined over the output variable, the Water Potability Index (WPI), showing the linguistic terms NON-POTABLE, MARGINAL and POTABLE.</w:t>
      </w:r>
    </w:p>
    <w:p>
      <w:pPr>
        <w:spacing w:after="160" w:line="276" w:lineRule="auto"/>
      </w:pPr>
      <w:r>
        <w:rPr>
          <w:rFonts w:ascii="Times New Roman" w:hAnsi="Times New Roman" w:eastAsia="Times New Roman"/>
          <w:b w:val="0"/>
          <w:i w:val="0"/>
          <w:sz w:val="22"/>
        </w:rPr>
        <w:t>FIG. 4 illustrates a hardware/deployment diagram showing the physical arrangement of the sensor array (102), microcontroller (116), communication link (130), host processing unit (132) executing the preprocessing module and fuzzy inference engine, and the dashboard/client display device (128, 134).</w:t>
      </w:r>
    </w:p>
    <w:p>
      <w:r>
        <w:br w:type="page"/>
      </w:r>
    </w:p>
    <w:p>
      <w:pPr>
        <w:pStyle w:val="Heading1"/>
        <w:spacing w:before="280" w:after="120"/>
      </w:pPr>
      <w:r>
        <w:rPr>
          <w:rFonts w:ascii="Times New Roman" w:hAnsi="Times New Roman" w:eastAsia="Times New Roman"/>
          <w:b/>
          <w:i w:val="0"/>
          <w:sz w:val="30"/>
        </w:rPr>
        <w:t>DETAILED DESCRIPTION OF THE INVENTION</w:t>
      </w:r>
    </w:p>
    <w:p>
      <w:pPr>
        <w:spacing w:after="160" w:line="276" w:lineRule="auto"/>
      </w:pPr>
      <w:r>
        <w:rPr>
          <w:rFonts w:ascii="Times New Roman" w:hAnsi="Times New Roman" w:eastAsia="Times New Roman"/>
          <w:b w:val="0"/>
          <w:i w:val="0"/>
          <w:sz w:val="22"/>
        </w:rPr>
        <w:t>The following detailed description is provided to enable a person skilled in the art to make and use the invention, and sets forth the best mode presently contemplated. It is to be understood that the invention is not limited to the specific embodiment described, and that variations in the number and type of sensors, the specific membership function shapes and parameters, the number of rules, and the specific microcontroller or communication protocol used, remain within the scope of the invention as claimed.</w:t>
      </w:r>
    </w:p>
    <w:p>
      <w:pPr>
        <w:pStyle w:val="Heading2"/>
        <w:spacing w:before="280" w:after="120"/>
      </w:pPr>
      <w:r>
        <w:rPr>
          <w:rFonts w:ascii="Times New Roman" w:hAnsi="Times New Roman" w:eastAsia="Times New Roman"/>
          <w:b/>
          <w:i w:val="0"/>
          <w:sz w:val="26"/>
        </w:rPr>
        <w:t>1. System Architecture (FIG. 1)</w:t>
      </w:r>
    </w:p>
    <w:p>
      <w:pPr>
        <w:spacing w:after="160" w:line="276" w:lineRule="auto"/>
      </w:pPr>
      <w:r>
        <w:rPr>
          <w:rFonts w:ascii="Times New Roman" w:hAnsi="Times New Roman" w:eastAsia="Times New Roman"/>
          <w:b w:val="0"/>
          <w:i w:val="0"/>
          <w:sz w:val="22"/>
        </w:rPr>
        <w:t>Referring to FIG. 1, the system (100) comprises a sensor array (102) including a pH sensor (104), a turbidity sensor (106), a total dissolved solids (TDS) sensor (108), a dissolved-oxygen (DO) sensor (110), and a temperature sensor (112), the last of which serves as a compensation reference rather than a potability parameter in its own right. In one embodiment, the sensors are of the low-cost gravity/analog type (for example, DFRobot SEN0161, SEN0189, SEN0244 and SEN0237, and a DS18B20 digital temperature probe), selected such that the aggregate hardware cost of the sensor array is of the order of INR 5,000–6,000, i.e. substantially below the cost of laboratory-grade instrumentation.</w:t>
      </w:r>
    </w:p>
    <w:p>
      <w:pPr>
        <w:jc w:val="center"/>
      </w:pPr>
      <w:r>
        <w:drawing>
          <wp:inline xmlns:a="http://schemas.openxmlformats.org/drawingml/2006/main" xmlns:pic="http://schemas.openxmlformats.org/drawingml/2006/picture">
            <wp:extent cx="5120640" cy="6243877"/>
            <wp:docPr id="1" name="Picture 1"/>
            <wp:cNvGraphicFramePr>
              <a:graphicFrameLocks noChangeAspect="1"/>
            </wp:cNvGraphicFramePr>
            <a:graphic>
              <a:graphicData uri="http://schemas.openxmlformats.org/drawingml/2006/picture">
                <pic:pic>
                  <pic:nvPicPr>
                    <pic:cNvPr id="0" name="patent_fig1.png"/>
                    <pic:cNvPicPr/>
                  </pic:nvPicPr>
                  <pic:blipFill>
                    <a:blip r:embed="rId9"/>
                    <a:stretch>
                      <a:fillRect/>
                    </a:stretch>
                  </pic:blipFill>
                  <pic:spPr>
                    <a:xfrm>
                      <a:off x="0" y="0"/>
                      <a:ext cx="5120640" cy="6243877"/>
                    </a:xfrm>
                    <a:prstGeom prst="rect"/>
                  </pic:spPr>
                </pic:pic>
              </a:graphicData>
            </a:graphic>
          </wp:inline>
        </w:drawing>
      </w:r>
    </w:p>
    <w:p>
      <w:pPr>
        <w:spacing w:after="280" w:line="276" w:lineRule="auto"/>
        <w:jc w:val="center"/>
      </w:pPr>
      <w:r>
        <w:rPr>
          <w:rFonts w:ascii="Times New Roman" w:hAnsi="Times New Roman" w:eastAsia="Times New Roman"/>
          <w:b w:val="0"/>
          <w:i/>
          <w:sz w:val="20"/>
        </w:rPr>
        <w:t>FIG. 1 — System block diagram (100)</w:t>
      </w:r>
    </w:p>
    <w:p>
      <w:pPr>
        <w:spacing w:after="160" w:line="276" w:lineRule="auto"/>
      </w:pPr>
      <w:r>
        <w:rPr>
          <w:rFonts w:ascii="Times New Roman" w:hAnsi="Times New Roman" w:eastAsia="Times New Roman"/>
          <w:b w:val="0"/>
          <w:i w:val="0"/>
          <w:sz w:val="22"/>
        </w:rPr>
        <w:t>The signal acquisition/microcontroller unit (116) — in one embodiment an ESP32 system-on-chip having an integrated multi-channel analog-to-digital converter and wireless communication capability — periodically samples each sensor of the array (102) and transmits the digitized readings, for example as a structured data packet, to a preprocessing module (114). The preprocessing module (114) is configured to: (a) apply a temperature-compensation correction to the raw pH and dissolved-oxygen readings, compensating for temperature-induced sensor drift; (b) reject statistical outliers, for example using a Z-score threshold; and (c) apply a moving-average filter over a window of N consecutive samples (in one embodiment N=10) to suppress transient measurement noise prior to fuzzy inference.</w:t>
      </w:r>
    </w:p>
    <w:p>
      <w:pPr>
        <w:spacing w:after="160" w:line="276" w:lineRule="auto"/>
      </w:pPr>
      <w:r>
        <w:rPr>
          <w:rFonts w:ascii="Times New Roman" w:hAnsi="Times New Roman" w:eastAsia="Times New Roman"/>
          <w:b w:val="0"/>
          <w:i w:val="0"/>
          <w:sz w:val="22"/>
        </w:rPr>
        <w:t>The preprocessed, compensated readings are supplied to a fuzzy inference engine (118) comprising a fuzzification unit (120), a rule evaluation unit (122) operating in conjunction with a stored rule base (123), and an aggregation and defuzzification unit (124), the operation of which is described in further detail below with reference to FIG. 2. The scalar output of the fuzzy inference engine (118), the Water Potability Index (WPI), is supplied to a classifier (126) that maps the WPI onto one of a plurality of discrete potability classes for human-readable presentation, and the classification result, together with the underlying sensor readings and fuzzy-inference state, is rendered on a display/dashboard unit (128).</w:t>
      </w:r>
    </w:p>
    <w:p>
      <w:pPr>
        <w:pStyle w:val="Heading2"/>
        <w:spacing w:before="280" w:after="120"/>
      </w:pPr>
      <w:r>
        <w:rPr>
          <w:rFonts w:ascii="Times New Roman" w:hAnsi="Times New Roman" w:eastAsia="Times New Roman"/>
          <w:b/>
          <w:i w:val="0"/>
          <w:sz w:val="26"/>
        </w:rPr>
        <w:t>2. Inference Method (FIG. 2)</w:t>
      </w:r>
    </w:p>
    <w:p>
      <w:pPr>
        <w:jc w:val="center"/>
      </w:pPr>
      <w:r>
        <w:drawing>
          <wp:inline xmlns:a="http://schemas.openxmlformats.org/drawingml/2006/main" xmlns:pic="http://schemas.openxmlformats.org/drawingml/2006/picture">
            <wp:extent cx="3291840" cy="5333670"/>
            <wp:docPr id="2" name="Picture 2"/>
            <wp:cNvGraphicFramePr>
              <a:graphicFrameLocks noChangeAspect="1"/>
            </wp:cNvGraphicFramePr>
            <a:graphic>
              <a:graphicData uri="http://schemas.openxmlformats.org/drawingml/2006/picture">
                <pic:pic>
                  <pic:nvPicPr>
                    <pic:cNvPr id="0" name="patent_fig2.png"/>
                    <pic:cNvPicPr/>
                  </pic:nvPicPr>
                  <pic:blipFill>
                    <a:blip r:embed="rId10"/>
                    <a:stretch>
                      <a:fillRect/>
                    </a:stretch>
                  </pic:blipFill>
                  <pic:spPr>
                    <a:xfrm>
                      <a:off x="0" y="0"/>
                      <a:ext cx="3291840" cy="5333670"/>
                    </a:xfrm>
                    <a:prstGeom prst="rect"/>
                  </pic:spPr>
                </pic:pic>
              </a:graphicData>
            </a:graphic>
          </wp:inline>
        </w:drawing>
      </w:r>
    </w:p>
    <w:p>
      <w:pPr>
        <w:spacing w:after="280" w:line="276" w:lineRule="auto"/>
        <w:jc w:val="center"/>
      </w:pPr>
      <w:r>
        <w:rPr>
          <w:rFonts w:ascii="Times New Roman" w:hAnsi="Times New Roman" w:eastAsia="Times New Roman"/>
          <w:b w:val="0"/>
          <w:i/>
          <w:sz w:val="20"/>
        </w:rPr>
        <w:t>FIG. 2 — Method flowchart (200–220)</w:t>
      </w:r>
    </w:p>
    <w:p>
      <w:pPr>
        <w:spacing w:after="160" w:line="276" w:lineRule="auto"/>
      </w:pPr>
      <w:r>
        <w:rPr>
          <w:rFonts w:ascii="Times New Roman" w:hAnsi="Times New Roman" w:eastAsia="Times New Roman"/>
          <w:b w:val="0"/>
          <w:i w:val="0"/>
          <w:sz w:val="22"/>
        </w:rPr>
        <w:t>As shown in FIG. 2, the method begins (200) with the acquisition of raw sensor readings (202) from the sensor array. Temperature compensation is applied (204); in one embodiment the pH correction follows the relation ΔpH = 0.003 × (T − 25°C), and the dissolved-oxygen correction follows a temperature-dependent saturation relation of the Benson-Krause type, DO_corrected = DO_raw × (DO_sat(25°C) / DO_sat(T)). Outliers are rejected and the readings are smoothed (206) using the moving-average filter described above.</w:t>
      </w:r>
    </w:p>
    <w:p>
      <w:pPr>
        <w:spacing w:after="160" w:line="276" w:lineRule="auto"/>
      </w:pPr>
      <w:r>
        <w:rPr>
          <w:rFonts w:ascii="Times New Roman" w:hAnsi="Times New Roman" w:eastAsia="Times New Roman"/>
          <w:b w:val="0"/>
          <w:i w:val="0"/>
          <w:sz w:val="22"/>
        </w:rPr>
        <w:t>The filtered, crisp input values are then fuzzified (208): for each input variable, the degree of membership μ(x) in each of a plurality of linguistic terms (represented by triangular and trapezoidal membership functions, as illustrated in FIG. 3A) is computed. The rule evaluation unit then evaluates (210) a rule base (123) of IF–THEN rules of the general form “IF (pH is T1) AND (Turbidity is T2) AND (TDS is T3) AND (DO is T4) THEN (WPI is T5)”, where each Ti is a linguistic term, using the minimum (MIN) operator as the fuzzy implication and to combine antecedent clauses, each rule additionally being assigned a weighting factor. In one embodiment, the rule base comprises forty-five (45) such rules, organized into logical groups including fully-potable rules, hard single-parameter non-potability triggers, dual-parameter failure rules, boundary-violation rules, and multi-parameter combination rules, each rule being derived from and traceable to a specific provision of the WHO Guidelines for Drinking-Water Quality (2022) and/or Bureau of Indian Standards IS 10500:2012.</w:t>
      </w:r>
    </w:p>
    <w:p>
      <w:pPr>
        <w:spacing w:after="160" w:line="276" w:lineRule="auto"/>
      </w:pPr>
      <w:r>
        <w:rPr>
          <w:rFonts w:ascii="Times New Roman" w:hAnsi="Times New Roman" w:eastAsia="Times New Roman"/>
          <w:b w:val="0"/>
          <w:i w:val="0"/>
          <w:sz w:val="22"/>
        </w:rPr>
        <w:t>The output fuzzy sets produced by all activated rules are aggregated (212) using the maximum (MAX) operator, and the resulting aggregate fuzzy set — defined over the output membership functions illustrated in FIG. 3B — is defuzzified (214) using the centroid-of-area technique, computing WPI = ∫μ_agg(y)·y dy / ∫μ_agg(y) dy over the output universe of discourse [0, 10], in one embodiment using a discretization of the order of 1000 points for numerical integration. The resulting crisp WPI is classified (216) into one of a plurality of classes, for example NON-POTABLE (WPI approximately 0–3.5), MARGINAL (WPI approximately 3.5–6.5), and POTABLE (WPI approximately 6.5–10), and the result is output to the dashboard (218). Steps (202) through (218) are repeated continuously (220), such that the system provides substantially real-time, updated classification as new sensor data becomes available.</w:t>
      </w:r>
    </w:p>
    <w:p>
      <w:pPr>
        <w:pStyle w:val="Heading2"/>
        <w:spacing w:before="280" w:after="120"/>
      </w:pPr>
      <w:r>
        <w:rPr>
          <w:rFonts w:ascii="Times New Roman" w:hAnsi="Times New Roman" w:eastAsia="Times New Roman"/>
          <w:b/>
          <w:i w:val="0"/>
          <w:sz w:val="26"/>
        </w:rPr>
        <w:t>3. Membership Functions (FIG. 3A, FIG. 3B)</w:t>
      </w:r>
    </w:p>
    <w:p>
      <w:pPr>
        <w:jc w:val="center"/>
      </w:pPr>
      <w:r>
        <w:drawing>
          <wp:inline xmlns:a="http://schemas.openxmlformats.org/drawingml/2006/main" xmlns:pic="http://schemas.openxmlformats.org/drawingml/2006/picture">
            <wp:extent cx="5120640" cy="2698599"/>
            <wp:docPr id="3" name="Picture 3"/>
            <wp:cNvGraphicFramePr>
              <a:graphicFrameLocks noChangeAspect="1"/>
            </wp:cNvGraphicFramePr>
            <a:graphic>
              <a:graphicData uri="http://schemas.openxmlformats.org/drawingml/2006/picture">
                <pic:pic>
                  <pic:nvPicPr>
                    <pic:cNvPr id="0" name="patent_fig3a.png"/>
                    <pic:cNvPicPr/>
                  </pic:nvPicPr>
                  <pic:blipFill>
                    <a:blip r:embed="rId11"/>
                    <a:stretch>
                      <a:fillRect/>
                    </a:stretch>
                  </pic:blipFill>
                  <pic:spPr>
                    <a:xfrm>
                      <a:off x="0" y="0"/>
                      <a:ext cx="5120640" cy="2698599"/>
                    </a:xfrm>
                    <a:prstGeom prst="rect"/>
                  </pic:spPr>
                </pic:pic>
              </a:graphicData>
            </a:graphic>
          </wp:inline>
        </w:drawing>
      </w:r>
    </w:p>
    <w:p>
      <w:pPr>
        <w:spacing w:after="280" w:line="276" w:lineRule="auto"/>
        <w:jc w:val="center"/>
      </w:pPr>
      <w:r>
        <w:rPr>
          <w:rFonts w:ascii="Times New Roman" w:hAnsi="Times New Roman" w:eastAsia="Times New Roman"/>
          <w:b w:val="0"/>
          <w:i/>
          <w:sz w:val="20"/>
        </w:rPr>
        <w:t>FIG. 3A — Input membership functions for pH</w:t>
      </w:r>
    </w:p>
    <w:p>
      <w:pPr>
        <w:jc w:val="center"/>
      </w:pPr>
      <w:r>
        <w:drawing>
          <wp:inline xmlns:a="http://schemas.openxmlformats.org/drawingml/2006/main" xmlns:pic="http://schemas.openxmlformats.org/drawingml/2006/picture">
            <wp:extent cx="5120640" cy="2698599"/>
            <wp:docPr id="4" name="Picture 4"/>
            <wp:cNvGraphicFramePr>
              <a:graphicFrameLocks noChangeAspect="1"/>
            </wp:cNvGraphicFramePr>
            <a:graphic>
              <a:graphicData uri="http://schemas.openxmlformats.org/drawingml/2006/picture">
                <pic:pic>
                  <pic:nvPicPr>
                    <pic:cNvPr id="0" name="patent_fig3b.png"/>
                    <pic:cNvPicPr/>
                  </pic:nvPicPr>
                  <pic:blipFill>
                    <a:blip r:embed="rId12"/>
                    <a:stretch>
                      <a:fillRect/>
                    </a:stretch>
                  </pic:blipFill>
                  <pic:spPr>
                    <a:xfrm>
                      <a:off x="0" y="0"/>
                      <a:ext cx="5120640" cy="2698599"/>
                    </a:xfrm>
                    <a:prstGeom prst="rect"/>
                  </pic:spPr>
                </pic:pic>
              </a:graphicData>
            </a:graphic>
          </wp:inline>
        </w:drawing>
      </w:r>
    </w:p>
    <w:p>
      <w:pPr>
        <w:spacing w:after="280" w:line="276" w:lineRule="auto"/>
        <w:jc w:val="center"/>
      </w:pPr>
      <w:r>
        <w:rPr>
          <w:rFonts w:ascii="Times New Roman" w:hAnsi="Times New Roman" w:eastAsia="Times New Roman"/>
          <w:b w:val="0"/>
          <w:i/>
          <w:sz w:val="20"/>
        </w:rPr>
        <w:t>FIG. 3B — Output membership functions for WPI</w:t>
      </w:r>
    </w:p>
    <w:p>
      <w:pPr>
        <w:spacing w:after="160" w:line="276" w:lineRule="auto"/>
      </w:pPr>
      <w:r>
        <w:rPr>
          <w:rFonts w:ascii="Times New Roman" w:hAnsi="Times New Roman" w:eastAsia="Times New Roman"/>
          <w:b w:val="0"/>
          <w:i w:val="0"/>
          <w:sz w:val="22"/>
        </w:rPr>
        <w:t>In one embodiment, each input variable is defined over a respective universe of discourse and partitioned into overlapping fuzzy sets using triangular and trapezoidal membership functions, such that a given crisp reading may simultaneously belong, to differing degrees, to two adjacent linguistic terms. This overlapping construction ensures that the classification output varies smoothly and continuously as a sensor reading moves across a nominal standards-defined boundary, in contradistinction to the discontinuous behavior of a hard-threshold classifier. Representative parameterizations for pH, turbidity, TDS, dissolved oxygen and the WPI output are set out in Table 1 below; it is to be understood that these specific numeric parameters are exemplary and may be adjusted without departing from the scope of the invention.</w:t>
      </w:r>
    </w:p>
    <w:tbl>
      <w:tblPr>
        <w:tblStyle w:val="TableGrid"/>
        <w:tblW w:type="auto" w:w="0"/>
        <w:jc w:val="center"/>
        <w:tblLook w:firstColumn="1" w:firstRow="1" w:lastColumn="0" w:lastRow="0" w:noHBand="0" w:noVBand="1" w:val="04A0"/>
      </w:tblPr>
      <w:tblGrid>
        <w:gridCol w:w="3120"/>
        <w:gridCol w:w="3120"/>
        <w:gridCol w:w="3120"/>
      </w:tblGrid>
      <w:tr>
        <w:tc>
          <w:tcPr>
            <w:tcW w:type="dxa" w:w="2448"/>
          </w:tcPr>
          <w:p>
            <w:r/>
            <w:r>
              <w:rPr>
                <w:rFonts w:ascii="Times New Roman" w:hAnsi="Times New Roman" w:eastAsia="Times New Roman"/>
                <w:b/>
                <w:i w:val="0"/>
                <w:sz w:val="20"/>
              </w:rPr>
              <w:t>Variable</w:t>
            </w:r>
          </w:p>
        </w:tc>
        <w:tc>
          <w:tcPr>
            <w:tcW w:type="dxa" w:w="1728"/>
          </w:tcPr>
          <w:p>
            <w:r/>
            <w:r>
              <w:rPr>
                <w:rFonts w:ascii="Times New Roman" w:hAnsi="Times New Roman" w:eastAsia="Times New Roman"/>
                <w:b/>
                <w:i w:val="0"/>
                <w:sz w:val="20"/>
              </w:rPr>
              <w:t>Universe</w:t>
            </w:r>
          </w:p>
        </w:tc>
        <w:tc>
          <w:tcPr>
            <w:tcW w:type="dxa" w:w="4464"/>
          </w:tcPr>
          <w:p>
            <w:r/>
            <w:r>
              <w:rPr>
                <w:rFonts w:ascii="Times New Roman" w:hAnsi="Times New Roman" w:eastAsia="Times New Roman"/>
                <w:b/>
                <w:i w:val="0"/>
                <w:sz w:val="20"/>
              </w:rPr>
              <w:t>Representative Linguistic Terms</w:t>
            </w:r>
          </w:p>
        </w:tc>
      </w:tr>
      <w:tr>
        <w:tc>
          <w:tcPr>
            <w:tcW w:type="dxa" w:w="2448"/>
          </w:tcPr>
          <w:p>
            <w:r/>
            <w:r>
              <w:rPr>
                <w:rFonts w:ascii="Times New Roman" w:hAnsi="Times New Roman" w:eastAsia="Times New Roman"/>
                <w:b w:val="0"/>
                <w:i w:val="0"/>
                <w:sz w:val="20"/>
              </w:rPr>
              <w:t>pH (input)</w:t>
            </w:r>
          </w:p>
        </w:tc>
        <w:tc>
          <w:tcPr>
            <w:tcW w:type="dxa" w:w="1728"/>
          </w:tcPr>
          <w:p>
            <w:r/>
            <w:r>
              <w:rPr>
                <w:rFonts w:ascii="Times New Roman" w:hAnsi="Times New Roman" w:eastAsia="Times New Roman"/>
                <w:b w:val="0"/>
                <w:i w:val="0"/>
                <w:sz w:val="20"/>
              </w:rPr>
              <w:t>0–14</w:t>
            </w:r>
          </w:p>
        </w:tc>
        <w:tc>
          <w:tcPr>
            <w:tcW w:type="dxa" w:w="4464"/>
          </w:tcPr>
          <w:p>
            <w:r/>
            <w:r>
              <w:rPr>
                <w:rFonts w:ascii="Times New Roman" w:hAnsi="Times New Roman" w:eastAsia="Times New Roman"/>
                <w:b w:val="0"/>
                <w:i w:val="0"/>
                <w:sz w:val="20"/>
              </w:rPr>
              <w:t>Acidic, Slightly Acidic, Neutral, Slightly Alkaline, Alkaline</w:t>
            </w:r>
          </w:p>
        </w:tc>
      </w:tr>
      <w:tr>
        <w:tc>
          <w:tcPr>
            <w:tcW w:type="dxa" w:w="2448"/>
          </w:tcPr>
          <w:p>
            <w:r/>
            <w:r>
              <w:rPr>
                <w:rFonts w:ascii="Times New Roman" w:hAnsi="Times New Roman" w:eastAsia="Times New Roman"/>
                <w:b w:val="0"/>
                <w:i w:val="0"/>
                <w:sz w:val="20"/>
              </w:rPr>
              <w:t>Turbidity (input)</w:t>
            </w:r>
          </w:p>
        </w:tc>
        <w:tc>
          <w:tcPr>
            <w:tcW w:type="dxa" w:w="1728"/>
          </w:tcPr>
          <w:p>
            <w:r/>
            <w:r>
              <w:rPr>
                <w:rFonts w:ascii="Times New Roman" w:hAnsi="Times New Roman" w:eastAsia="Times New Roman"/>
                <w:b w:val="0"/>
                <w:i w:val="0"/>
                <w:sz w:val="20"/>
              </w:rPr>
              <w:t>0–100 NTU</w:t>
            </w:r>
          </w:p>
        </w:tc>
        <w:tc>
          <w:tcPr>
            <w:tcW w:type="dxa" w:w="4464"/>
          </w:tcPr>
          <w:p>
            <w:r/>
            <w:r>
              <w:rPr>
                <w:rFonts w:ascii="Times New Roman" w:hAnsi="Times New Roman" w:eastAsia="Times New Roman"/>
                <w:b w:val="0"/>
                <w:i w:val="0"/>
                <w:sz w:val="20"/>
              </w:rPr>
              <w:t>Clear, Slightly Turbid, Turbid, Very Turbid</w:t>
            </w:r>
          </w:p>
        </w:tc>
      </w:tr>
      <w:tr>
        <w:tc>
          <w:tcPr>
            <w:tcW w:type="dxa" w:w="2448"/>
          </w:tcPr>
          <w:p>
            <w:r/>
            <w:r>
              <w:rPr>
                <w:rFonts w:ascii="Times New Roman" w:hAnsi="Times New Roman" w:eastAsia="Times New Roman"/>
                <w:b w:val="0"/>
                <w:i w:val="0"/>
                <w:sz w:val="20"/>
              </w:rPr>
              <w:t>TDS (input)</w:t>
            </w:r>
          </w:p>
        </w:tc>
        <w:tc>
          <w:tcPr>
            <w:tcW w:type="dxa" w:w="1728"/>
          </w:tcPr>
          <w:p>
            <w:r/>
            <w:r>
              <w:rPr>
                <w:rFonts w:ascii="Times New Roman" w:hAnsi="Times New Roman" w:eastAsia="Times New Roman"/>
                <w:b w:val="0"/>
                <w:i w:val="0"/>
                <w:sz w:val="20"/>
              </w:rPr>
              <w:t>0–1500 mg/L</w:t>
            </w:r>
          </w:p>
        </w:tc>
        <w:tc>
          <w:tcPr>
            <w:tcW w:type="dxa" w:w="4464"/>
          </w:tcPr>
          <w:p>
            <w:r/>
            <w:r>
              <w:rPr>
                <w:rFonts w:ascii="Times New Roman" w:hAnsi="Times New Roman" w:eastAsia="Times New Roman"/>
                <w:b w:val="0"/>
                <w:i w:val="0"/>
                <w:sz w:val="20"/>
              </w:rPr>
              <w:t>Pure, Acceptable, High, Very High</w:t>
            </w:r>
          </w:p>
        </w:tc>
      </w:tr>
      <w:tr>
        <w:tc>
          <w:tcPr>
            <w:tcW w:type="dxa" w:w="2448"/>
          </w:tcPr>
          <w:p>
            <w:r/>
            <w:r>
              <w:rPr>
                <w:rFonts w:ascii="Times New Roman" w:hAnsi="Times New Roman" w:eastAsia="Times New Roman"/>
                <w:b w:val="0"/>
                <w:i w:val="0"/>
                <w:sz w:val="20"/>
              </w:rPr>
              <w:t>Dissolved Oxygen (input)</w:t>
            </w:r>
          </w:p>
        </w:tc>
        <w:tc>
          <w:tcPr>
            <w:tcW w:type="dxa" w:w="1728"/>
          </w:tcPr>
          <w:p>
            <w:r/>
            <w:r>
              <w:rPr>
                <w:rFonts w:ascii="Times New Roman" w:hAnsi="Times New Roman" w:eastAsia="Times New Roman"/>
                <w:b w:val="0"/>
                <w:i w:val="0"/>
                <w:sz w:val="20"/>
              </w:rPr>
              <w:t>0–20 mg/L</w:t>
            </w:r>
          </w:p>
        </w:tc>
        <w:tc>
          <w:tcPr>
            <w:tcW w:type="dxa" w:w="4464"/>
          </w:tcPr>
          <w:p>
            <w:r/>
            <w:r>
              <w:rPr>
                <w:rFonts w:ascii="Times New Roman" w:hAnsi="Times New Roman" w:eastAsia="Times New Roman"/>
                <w:b w:val="0"/>
                <w:i w:val="0"/>
                <w:sz w:val="20"/>
              </w:rPr>
              <w:t>Very Low, Low, Acceptable, High</w:t>
            </w:r>
          </w:p>
        </w:tc>
      </w:tr>
      <w:tr>
        <w:tc>
          <w:tcPr>
            <w:tcW w:type="dxa" w:w="2448"/>
          </w:tcPr>
          <w:p>
            <w:r/>
            <w:r>
              <w:rPr>
                <w:rFonts w:ascii="Times New Roman" w:hAnsi="Times New Roman" w:eastAsia="Times New Roman"/>
                <w:b w:val="0"/>
                <w:i w:val="0"/>
                <w:sz w:val="20"/>
              </w:rPr>
              <w:t>WPI (output)</w:t>
            </w:r>
          </w:p>
        </w:tc>
        <w:tc>
          <w:tcPr>
            <w:tcW w:type="dxa" w:w="1728"/>
          </w:tcPr>
          <w:p>
            <w:r/>
            <w:r>
              <w:rPr>
                <w:rFonts w:ascii="Times New Roman" w:hAnsi="Times New Roman" w:eastAsia="Times New Roman"/>
                <w:b w:val="0"/>
                <w:i w:val="0"/>
                <w:sz w:val="20"/>
              </w:rPr>
              <w:t>0–10</w:t>
            </w:r>
          </w:p>
        </w:tc>
        <w:tc>
          <w:tcPr>
            <w:tcW w:type="dxa" w:w="4464"/>
          </w:tcPr>
          <w:p>
            <w:r/>
            <w:r>
              <w:rPr>
                <w:rFonts w:ascii="Times New Roman" w:hAnsi="Times New Roman" w:eastAsia="Times New Roman"/>
                <w:b w:val="0"/>
                <w:i w:val="0"/>
                <w:sz w:val="20"/>
              </w:rPr>
              <w:t>Non-Potable, Marginal, Potable</w:t>
            </w:r>
          </w:p>
        </w:tc>
      </w:tr>
    </w:tbl>
    <w:p>
      <w:pPr>
        <w:spacing w:after="320" w:line="276" w:lineRule="auto"/>
        <w:jc w:val="center"/>
      </w:pPr>
      <w:r>
        <w:rPr>
          <w:rFonts w:ascii="Times New Roman" w:hAnsi="Times New Roman" w:eastAsia="Times New Roman"/>
          <w:b w:val="0"/>
          <w:i/>
          <w:sz w:val="19"/>
        </w:rPr>
        <w:t>Table 1 — Representative input/output variables and linguistic terms.</w:t>
      </w:r>
    </w:p>
    <w:p>
      <w:pPr>
        <w:pStyle w:val="Heading2"/>
        <w:spacing w:before="280" w:after="120"/>
      </w:pPr>
      <w:r>
        <w:rPr>
          <w:rFonts w:ascii="Times New Roman" w:hAnsi="Times New Roman" w:eastAsia="Times New Roman"/>
          <w:b/>
          <w:i w:val="0"/>
          <w:sz w:val="26"/>
        </w:rPr>
        <w:t>4. Hardware Deployment (FIG. 4)</w:t>
      </w:r>
    </w:p>
    <w:p>
      <w:pPr>
        <w:jc w:val="center"/>
      </w:pPr>
      <w:r>
        <w:drawing>
          <wp:inline xmlns:a="http://schemas.openxmlformats.org/drawingml/2006/main" xmlns:pic="http://schemas.openxmlformats.org/drawingml/2006/picture">
            <wp:extent cx="5486400" cy="3103362"/>
            <wp:docPr id="5" name="Picture 5"/>
            <wp:cNvGraphicFramePr>
              <a:graphicFrameLocks noChangeAspect="1"/>
            </wp:cNvGraphicFramePr>
            <a:graphic>
              <a:graphicData uri="http://schemas.openxmlformats.org/drawingml/2006/picture">
                <pic:pic>
                  <pic:nvPicPr>
                    <pic:cNvPr id="0" name="patent_fig4.png"/>
                    <pic:cNvPicPr/>
                  </pic:nvPicPr>
                  <pic:blipFill>
                    <a:blip r:embed="rId13"/>
                    <a:stretch>
                      <a:fillRect/>
                    </a:stretch>
                  </pic:blipFill>
                  <pic:spPr>
                    <a:xfrm>
                      <a:off x="0" y="0"/>
                      <a:ext cx="5486400" cy="3103362"/>
                    </a:xfrm>
                    <a:prstGeom prst="rect"/>
                  </pic:spPr>
                </pic:pic>
              </a:graphicData>
            </a:graphic>
          </wp:inline>
        </w:drawing>
      </w:r>
    </w:p>
    <w:p>
      <w:pPr>
        <w:spacing w:after="280" w:line="276" w:lineRule="auto"/>
        <w:jc w:val="center"/>
      </w:pPr>
      <w:r>
        <w:rPr>
          <w:rFonts w:ascii="Times New Roman" w:hAnsi="Times New Roman" w:eastAsia="Times New Roman"/>
          <w:b w:val="0"/>
          <w:i/>
          <w:sz w:val="20"/>
        </w:rPr>
        <w:t>FIG. 4 — Hardware / deployment diagram</w:t>
      </w:r>
    </w:p>
    <w:p>
      <w:pPr>
        <w:spacing w:after="160" w:line="276" w:lineRule="auto"/>
      </w:pPr>
      <w:r>
        <w:rPr>
          <w:rFonts w:ascii="Times New Roman" w:hAnsi="Times New Roman" w:eastAsia="Times New Roman"/>
          <w:b w:val="0"/>
          <w:i w:val="0"/>
          <w:sz w:val="22"/>
        </w:rPr>
        <w:t>FIG. 4 illustrates one physical deployment of the system, in which the sensor array (102) is electrically coupled to a microcontroller (116), which is in turn communicably coupled, via a serial or wireless (Wi-Fi) communication link (130), to a host processing unit (132) executing the preprocessing module (114) and fuzzy inference engine (118). The host processing unit (132) is further coupled to a dashboard/client display device (128, 134), in one embodiment implemented as a web server providing a browser-based graphical interface over a WebSocket connection, presenting an animated potability gauge, live sensor cards, membership-degree visualizations, and an indication of which of the rules in the rule base (123) are currently activated and at what strength. It is to be understood that in an alternative embodiment, the preprocessing module and fuzzy inference engine may instead be executed directly on the microcontroller (116) itself, such that the host processing unit (132) is not required for inference and serves only as a display terminal.</w:t>
      </w:r>
    </w:p>
    <w:p>
      <w:pPr>
        <w:pStyle w:val="Heading2"/>
        <w:spacing w:before="280" w:after="120"/>
      </w:pPr>
      <w:r>
        <w:rPr>
          <w:rFonts w:ascii="Times New Roman" w:hAnsi="Times New Roman" w:eastAsia="Times New Roman"/>
          <w:b/>
          <w:i w:val="0"/>
          <w:sz w:val="26"/>
        </w:rPr>
        <w:t>5. Validation</w:t>
      </w:r>
    </w:p>
    <w:p>
      <w:pPr>
        <w:spacing w:after="160" w:line="276" w:lineRule="auto"/>
      </w:pPr>
      <w:r>
        <w:rPr>
          <w:rFonts w:ascii="Times New Roman" w:hAnsi="Times New Roman" w:eastAsia="Times New Roman"/>
          <w:b w:val="0"/>
          <w:i w:val="0"/>
          <w:sz w:val="22"/>
        </w:rPr>
        <w:t>The inventors validated an embodiment of the system against a labelled dataset of 5,000 synthetic samples generated according to a WHO/BIS hard-threshold oracle, as well as against a real-world, publicly available water-potability dataset. In testing, the claimed fuzzy-inference approach achieved classification performance comparable to, though generally somewhat lower in raw accuracy than, benchmark black-box machine-learning classifiers (random forest, k-nearest-neighbors, and support-vector machine), while retaining the property that every classification decision remains fully traceable to an identifiable, standards-grounded rule — a property absent in the benchmarked machine-learning approaches. The claimed system was further observed to produce smoother and more physically realistic classification transitions in the boundary region between classes, as compared with a hard-threshold classifier operating on the same input data.</w:t>
      </w:r>
    </w:p>
    <w:p>
      <w:r>
        <w:br w:type="page"/>
      </w:r>
    </w:p>
    <w:p>
      <w:pPr>
        <w:pStyle w:val="Heading1"/>
        <w:spacing w:before="280" w:after="120"/>
      </w:pPr>
      <w:r>
        <w:rPr>
          <w:rFonts w:ascii="Times New Roman" w:hAnsi="Times New Roman" w:eastAsia="Times New Roman"/>
          <w:b/>
          <w:i w:val="0"/>
          <w:sz w:val="30"/>
        </w:rPr>
        <w:t>CLAIMS</w:t>
      </w:r>
    </w:p>
    <w:p>
      <w:pPr>
        <w:spacing w:after="200" w:line="276" w:lineRule="auto"/>
      </w:pPr>
      <w:r>
        <w:rPr>
          <w:rFonts w:ascii="Times New Roman" w:hAnsi="Times New Roman" w:eastAsia="Times New Roman"/>
          <w:b/>
          <w:i w:val="0"/>
          <w:sz w:val="22"/>
        </w:rPr>
        <w:t>We claim:</w:t>
      </w:r>
    </w:p>
    <w:p>
      <w:pPr>
        <w:spacing w:after="180" w:line="288" w:lineRule="auto"/>
        <w:ind w:left="504"/>
      </w:pPr>
      <w:r>
        <w:rPr>
          <w:rFonts w:ascii="Times New Roman" w:hAnsi="Times New Roman" w:eastAsia="Times New Roman"/>
          <w:b w:val="0"/>
          <w:i w:val="0"/>
          <w:sz w:val="22"/>
        </w:rPr>
        <w:t>1.  A system for real-time water potability classification, the system comprising: a sensor array comprising a pH sensor, a turbidity sensor, a total dissolved solids sensor, a dissolved oxygen sensor, and a temperature sensor; a signal acquisition unit configured to digitize readings acquired from the sensor array; a preprocessing module configured to apply temperature compensation to at least the pH sensor reading and the dissolved oxygen sensor reading, to reject statistical outliers, and to apply a moving-average filter to the digitized readings, so as to produce a set of preprocessed crisp input values; a fuzzy inference engine of the Mamdani type, configured to: (a) fuzzify each of the preprocessed crisp input values into a corresponding degree of membership in each of a plurality of predefined linguistic terms represented by overlapping membership functions; (b) evaluate a stored rule base comprising a plurality of IF–THEN rules, each rule specifying a combination of said linguistic terms as an antecedent and a linguistic term of an output variable as a consequent, using a minimum implication operator to compute a rule activation strength for each rule; (c) aggregate the output fuzzy sets of all activated rules using a maximum operator to produce an aggregated output fuzzy set; and (d) defuzzify the aggregated output fuzzy set using a centroid-of-area computation to produce a crisp Water Potability Index; a classifier configured to map the Water Potability Index onto one of a plurality of predefined potability classes; and a display unit configured to render, in substantially real time, at least the Water Potability Index and the corresponding potability class.</w:t>
      </w:r>
    </w:p>
    <w:p>
      <w:pPr>
        <w:spacing w:after="180" w:line="288" w:lineRule="auto"/>
        <w:ind w:left="792"/>
      </w:pPr>
      <w:r>
        <w:rPr>
          <w:rFonts w:ascii="Times New Roman" w:hAnsi="Times New Roman" w:eastAsia="Times New Roman"/>
          <w:b w:val="0"/>
          <w:i w:val="0"/>
          <w:sz w:val="22"/>
        </w:rPr>
        <w:t>2.  The system as claimed in claim 1, wherein the plurality of predefined potability classes comprises a non-potable class, a marginal class, and a potable class, defined over non-overlapping sub-ranges of the Water Potability Index.</w:t>
      </w:r>
    </w:p>
    <w:p>
      <w:pPr>
        <w:spacing w:after="180" w:line="288" w:lineRule="auto"/>
        <w:ind w:left="792"/>
      </w:pPr>
      <w:r>
        <w:rPr>
          <w:rFonts w:ascii="Times New Roman" w:hAnsi="Times New Roman" w:eastAsia="Times New Roman"/>
          <w:b w:val="0"/>
          <w:i w:val="0"/>
          <w:sz w:val="22"/>
        </w:rPr>
        <w:t>3.  The system as claimed in claim 1, wherein each rule of the stored rule base is derived from, and traceable to, a numeric limit or guideline value specified in at least one of the World Health Organization Guidelines for Drinking-Water Quality or the Bureau of Indian Standards IS 10500 specification, such that every output of the classifier is traceable to at least one identifiable rule of the rule base.</w:t>
      </w:r>
    </w:p>
    <w:p>
      <w:pPr>
        <w:spacing w:after="180" w:line="288" w:lineRule="auto"/>
        <w:ind w:left="792"/>
      </w:pPr>
      <w:r>
        <w:rPr>
          <w:rFonts w:ascii="Times New Roman" w:hAnsi="Times New Roman" w:eastAsia="Times New Roman"/>
          <w:b w:val="0"/>
          <w:i w:val="0"/>
          <w:sz w:val="22"/>
        </w:rPr>
        <w:t>4.  The system as claimed in claim 1, wherein the temperature compensation applied to the pH sensor reading comprises adjusting the pH reading by an offset proportional to the deviation of the sensed temperature from a reference temperature, and wherein the temperature compensation applied to the dissolved oxygen sensor reading comprises scaling the dissolved oxygen reading by a ratio of a saturation value at the reference temperature to a saturation value at the sensed temperature.</w:t>
      </w:r>
    </w:p>
    <w:p>
      <w:pPr>
        <w:spacing w:after="180" w:line="288" w:lineRule="auto"/>
        <w:ind w:left="792"/>
      </w:pPr>
      <w:r>
        <w:rPr>
          <w:rFonts w:ascii="Times New Roman" w:hAnsi="Times New Roman" w:eastAsia="Times New Roman"/>
          <w:b w:val="0"/>
          <w:i w:val="0"/>
          <w:sz w:val="22"/>
        </w:rPr>
        <w:t>5.  The system as claimed in claim 1, wherein the signal acquisition unit, the preprocessing module and the fuzzy inference engine are implemented, at least in part, on a microcontroller having an integrated analog-to-digital converter and a wireless communication interface, and wherein the display unit is a web-based dashboard communicably coupled to the microcontroller.</w:t>
      </w:r>
    </w:p>
    <w:p>
      <w:pPr>
        <w:spacing w:after="180" w:line="288" w:lineRule="auto"/>
        <w:ind w:left="792"/>
      </w:pPr>
      <w:r>
        <w:rPr>
          <w:rFonts w:ascii="Times New Roman" w:hAnsi="Times New Roman" w:eastAsia="Times New Roman"/>
          <w:b w:val="0"/>
          <w:i w:val="0"/>
          <w:sz w:val="22"/>
        </w:rPr>
        <w:t>6.  The system as claimed in claim 1, wherein the display unit is further configured to render, in substantially real time, the computed degrees of membership of the preprocessed crisp input values and an indication of which rules of the stored rule base are activated and their respective activation strengths.</w:t>
      </w:r>
    </w:p>
    <w:p>
      <w:pPr>
        <w:spacing w:after="180" w:line="288" w:lineRule="auto"/>
        <w:ind w:left="792"/>
      </w:pPr>
      <w:r>
        <w:rPr>
          <w:rFonts w:ascii="Times New Roman" w:hAnsi="Times New Roman" w:eastAsia="Times New Roman"/>
          <w:b w:val="0"/>
          <w:i w:val="0"/>
          <w:sz w:val="22"/>
        </w:rPr>
        <w:t>7.  The system as claimed in claim 1, wherein the stored rule base comprises at least forty rules organized into a plurality of rule groups including at least: a group of rules each having all antecedent linguistic terms indicative of safe parameter levels and a consequent indicative of the potable class; a group of rules each having a single antecedent linguistic term sufficient, independent of other input variables, to trigger a consequent indicative of the non-potable class; and a group of rules having a consequent indicative of the marginal class.</w:t>
      </w:r>
    </w:p>
    <w:p>
      <w:pPr>
        <w:spacing w:after="180" w:line="288" w:lineRule="auto"/>
        <w:ind w:left="504"/>
      </w:pPr>
      <w:r>
        <w:rPr>
          <w:rFonts w:ascii="Times New Roman" w:hAnsi="Times New Roman" w:eastAsia="Times New Roman"/>
          <w:b w:val="0"/>
          <w:i w:val="0"/>
          <w:sz w:val="22"/>
        </w:rPr>
        <w:t>8.  A computer-implemented method for real-time water potability classification, the method comprising: acquiring raw sensor readings for at least pH, turbidity, total dissolved solids, dissolved oxygen and temperature; applying temperature compensation to at least the pH reading and the dissolved oxygen reading based on the temperature reading; rejecting statistical outliers from, and applying a moving-average filter to, the readings to produce filtered crisp input values; fuzzifying the filtered crisp input values into degrees of membership in a plurality of predefined linguistic terms; evaluating a stored rule base of IF–THEN rules using a minimum implication operator to compute a rule activation strength for each rule; aggregating the output fuzzy sets of activated rules using a maximum operator; defuzzifying the aggregated fuzzy set using a centroid-of-area computation to compute a Water Potability Index; classifying the Water Potability Index into one of a plurality of predefined potability classes; and displaying the Water Potability Index and the corresponding potability class on a real-time display interface; wherein the foregoing steps are repeated continuously so as to provide continuous, real-time monitoring of water potability.</w:t>
      </w:r>
    </w:p>
    <w:p>
      <w:pPr>
        <w:spacing w:after="180" w:line="288" w:lineRule="auto"/>
        <w:ind w:left="792"/>
      </w:pPr>
      <w:r>
        <w:rPr>
          <w:rFonts w:ascii="Times New Roman" w:hAnsi="Times New Roman" w:eastAsia="Times New Roman"/>
          <w:b w:val="0"/>
          <w:i w:val="0"/>
          <w:sz w:val="22"/>
        </w:rPr>
        <w:t>9.  The method as claimed in claim 8, wherein the centroid-of-area computation is performed by numerical integration of the aggregated fuzzy set over a discretized output universe of discourse comprising at least 500 discrete points.</w:t>
      </w:r>
    </w:p>
    <w:p>
      <w:pPr>
        <w:spacing w:after="180" w:line="288" w:lineRule="auto"/>
        <w:ind w:left="792"/>
      </w:pPr>
      <w:r>
        <w:rPr>
          <w:rFonts w:ascii="Times New Roman" w:hAnsi="Times New Roman" w:eastAsia="Times New Roman"/>
          <w:b w:val="0"/>
          <w:i w:val="0"/>
          <w:sz w:val="22"/>
        </w:rPr>
        <w:t>10.  The method as claimed in claim 8, further comprising selecting, via a scenario selector of the display interface, one of a plurality of predefined or live sensor-data scenarios for presentation.</w:t>
      </w:r>
    </w:p>
    <w:p>
      <w:r>
        <w:br w:type="page"/>
      </w:r>
    </w:p>
    <w:p>
      <w:pPr>
        <w:pStyle w:val="Heading1"/>
        <w:spacing w:before="280" w:after="120"/>
      </w:pPr>
      <w:r>
        <w:rPr>
          <w:rFonts w:ascii="Times New Roman" w:hAnsi="Times New Roman" w:eastAsia="Times New Roman"/>
          <w:b/>
          <w:i w:val="0"/>
          <w:sz w:val="30"/>
        </w:rPr>
        <w:t>ABSTRACT</w:t>
      </w:r>
    </w:p>
    <w:p>
      <w:pPr>
        <w:spacing w:after="160" w:line="276" w:lineRule="auto"/>
      </w:pPr>
      <w:r>
        <w:rPr>
          <w:rFonts w:ascii="Times New Roman" w:hAnsi="Times New Roman" w:eastAsia="Times New Roman"/>
          <w:b w:val="0"/>
          <w:i w:val="0"/>
          <w:sz w:val="22"/>
        </w:rPr>
        <w:t>A system and method are disclosed for real-time, interpretable classification of water potability using low-cost multi-sensor data. A sensor array (102) acquires pH, turbidity, total dissolved solids, dissolved oxygen and temperature readings, which are temperature-compensated, outlier-rejected and noise-filtered by a preprocessing module (114). A Mamdani-type fuzzy inference engine (118) fuzzifies the preprocessed readings, evaluates a rule base (123) grounded in WHO and BIS drinking-water standards using MIN implication, aggregates the activated rule outputs using a MAX operator, and defuzzifies the result via the centroid-of-area method to compute a continuous Water Potability Index (WPI) on a scale of 0 to 10. The WPI is classified into non-potable, marginal or potable categories and rendered on a real-time dashboard (128) together with live sensor readings, membership degrees and rule-activation information. Because every classification is traceable to an explicit, standards-grounded rule, the invention avoids the interpretability limitations of black-box machine-learning classifiers while avoiding the discontinuous “cliff-edge” behavior of conventional hard-threshold systems, and is deployable on low-cost embedded hardware.</w:t>
      </w:r>
    </w:p>
    <w:p>
      <w:pPr>
        <w:spacing w:after="160" w:line="276" w:lineRule="auto"/>
      </w:pPr>
      <w:r>
        <w:rPr>
          <w:rFonts w:ascii="Times New Roman" w:hAnsi="Times New Roman" w:eastAsia="Times New Roman"/>
          <w:b w:val="0"/>
          <w:i/>
          <w:sz w:val="22"/>
        </w:rPr>
        <w:t>Reference Figure: FIG. 1</w:t>
      </w:r>
    </w:p>
    <w:p>
      <w:r>
        <w:br w:type="page"/>
      </w:r>
    </w:p>
    <w:p>
      <w:pPr>
        <w:pStyle w:val="Heading1"/>
        <w:spacing w:before="280" w:after="120"/>
      </w:pPr>
      <w:r>
        <w:rPr>
          <w:rFonts w:ascii="Times New Roman" w:hAnsi="Times New Roman" w:eastAsia="Times New Roman"/>
          <w:b/>
          <w:i w:val="0"/>
          <w:sz w:val="30"/>
        </w:rPr>
        <w:t>NOTES FOR THE ATTORNEY / PATENT AGENT</w:t>
      </w:r>
    </w:p>
    <w:p>
      <w:pPr>
        <w:spacing w:after="140" w:line="276" w:lineRule="auto"/>
        <w:ind w:left="432"/>
      </w:pPr>
      <w:r>
        <w:rPr>
          <w:rFonts w:ascii="Times New Roman" w:hAnsi="Times New Roman" w:eastAsia="Times New Roman"/>
          <w:b w:val="0"/>
          <w:i w:val="0"/>
          <w:sz w:val="22"/>
        </w:rPr>
        <w:t>1.  This draft was auto-generated from the project's technical documentation (README, FIS Design Report, config.yaml, benchmark results) to accelerate preparation ahead of the internal 10-September readiness target. It has not been reviewed for patentability (novelty, inventive step) against the prior art landscape and must be checked before filing.</w:t>
      </w:r>
    </w:p>
    <w:p>
      <w:pPr>
        <w:spacing w:after="140" w:line="276" w:lineRule="auto"/>
        <w:ind w:left="432"/>
      </w:pPr>
      <w:r>
        <w:rPr>
          <w:rFonts w:ascii="Times New Roman" w:hAnsi="Times New Roman" w:eastAsia="Times New Roman"/>
          <w:b w:val="0"/>
          <w:i w:val="0"/>
          <w:sz w:val="22"/>
        </w:rPr>
        <w:t>2.  Applicant name(s), inventor name(s), address(es), nationality and priority information are placeholders and must be completed.</w:t>
      </w:r>
    </w:p>
    <w:p>
      <w:pPr>
        <w:spacing w:after="140" w:line="276" w:lineRule="auto"/>
        <w:ind w:left="432"/>
      </w:pPr>
      <w:r>
        <w:rPr>
          <w:rFonts w:ascii="Times New Roman" w:hAnsi="Times New Roman" w:eastAsia="Times New Roman"/>
          <w:b w:val="0"/>
          <w:i w:val="0"/>
          <w:sz w:val="22"/>
        </w:rPr>
        <w:t>3.  A formal prior-art / patentability search covering existing fuzzy-logic water-quality patents and publications (e.g. USPTO, WIPO, Indian Patent Office databases) is recommended before the claims are finalized, as the claim scope here has not been narrowed against specific prior art.</w:t>
      </w:r>
    </w:p>
    <w:p>
      <w:pPr>
        <w:spacing w:after="140" w:line="276" w:lineRule="auto"/>
        <w:ind w:left="432"/>
      </w:pPr>
      <w:r>
        <w:rPr>
          <w:rFonts w:ascii="Times New Roman" w:hAnsi="Times New Roman" w:eastAsia="Times New Roman"/>
          <w:b w:val="0"/>
          <w:i w:val="0"/>
          <w:sz w:val="22"/>
        </w:rPr>
        <w:t>4.  The claims are drafted broadly around the four disclosed elements considered most likely to be novel in combination: (i) WHO/BIS-rule-traceable Mamdani inference for potability, (ii) the specific temperature-compensation formulas for pH/DO feeding the fuzzy engine, (iii) the specific rule-base structure (grouped rule categories), and (iv) the real-time membership/rule-activation dashboard. These should be reviewed and re-prioritized by counsel.</w:t>
      </w:r>
    </w:p>
    <w:p>
      <w:pPr>
        <w:spacing w:after="140" w:line="276" w:lineRule="auto"/>
        <w:ind w:left="432"/>
      </w:pPr>
      <w:r>
        <w:rPr>
          <w:rFonts w:ascii="Times New Roman" w:hAnsi="Times New Roman" w:eastAsia="Times New Roman"/>
          <w:b w:val="0"/>
          <w:i w:val="0"/>
          <w:sz w:val="22"/>
        </w:rPr>
        <w:t>5.  Drawings (FIG. 1–FIG. 4) are engineering-style approximations suitable as a drafting aid; formal patent-office-compliant drawings (correct margins, numbering conventions, sheet format) should be prepared by a professional draftsperson prior to filing.</w:t>
      </w:r>
    </w:p>
    <w:p>
      <w:pPr>
        <w:spacing w:after="140" w:line="276" w:lineRule="auto"/>
        <w:ind w:left="432"/>
      </w:pPr>
      <w:r>
        <w:rPr>
          <w:rFonts w:ascii="Times New Roman" w:hAnsi="Times New Roman" w:eastAsia="Times New Roman"/>
          <w:b w:val="0"/>
          <w:i w:val="0"/>
          <w:sz w:val="22"/>
        </w:rPr>
        <w:t>6.  Consider whether a provisional specification should be filed first (to lock in a priority date ahead of any public disclosure, e.g. publication of the associated research paper) followed by a complete specification within 12 months.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