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 Paper: A Fuzzy Inference System for Real-Time Water Potability Classification</w:t>
      </w:r>
    </w:p>
    <w:p>
      <w:pPr>
        <w:pStyle w:val="Heading1"/>
      </w:pPr>
      <w:r>
        <w:t>Abstract</w:t>
      </w:r>
    </w:p>
    <w:p>
      <w:r>
        <w:t>Traditional water quality monitoring heavily relies on periodic laboratory tests which are time-consuming and expensive. Furthermore, conventional classification systems utilize hard thresholds, creating unrealistic "cliff-edge" boundaries. In this paper, we propose a Mamdani Fuzzy Inference System (FIS) utilizing four low-cost sensors (pH, Turbidity, TDS, and DO) to provide real-time, interpretable water potability assessment. The system maps raw sensor data to a continuous Water Potability Index (WPI) from 0-10. We evaluated the proposed model against both a 5,000-sample synthetic dataset and a real-world Kaggle dataset, comparing its performance with standard ML classifiers (Random Forest, KNN, SVM). The FIS demonstrates robust accuracy while maintaining full algorithmic transparency.</w:t>
      </w:r>
    </w:p>
    <w:p>
      <w:pPr>
        <w:pStyle w:val="Heading1"/>
      </w:pPr>
      <w:r>
        <w:t>1. Introduction</w:t>
      </w:r>
    </w:p>
    <w:p>
      <w:r>
        <w:t>Access to safe drinking water is a critical global challenge. While standard ML models offer high accuracy in classification tasks, they act as "black boxes," making them unsuitable for regulatory or safety-critical decisions where interpretability is paramount. Fuzzy logic introduces the concept of graded membership, allowing the system to interpret boundary cases (e.g., pH 6.4) as a mixture of safe and unsafe, triggering a "Marginal" warning rather than a strict fail.</w:t>
      </w:r>
    </w:p>
    <w:p>
      <w:pPr>
        <w:pStyle w:val="Heading1"/>
      </w:pPr>
      <w:r>
        <w:t>2. Methodology</w:t>
      </w:r>
    </w:p>
    <w:p>
      <w:pPr>
        <w:pStyle w:val="Heading2"/>
      </w:pPr>
      <w:r>
        <w:t>2.1 System Architecture</w:t>
      </w:r>
    </w:p>
    <w:p>
      <w:r>
        <w:t>The system follows a 4-stage Mamdani pipeline:</w:t>
        <w:br/>
        <w:t>1. Fuzzification: Input crisp values are mapped to fuzzy sets.</w:t>
        <w:br/>
        <w:t>2. Rule Evaluation: 45 expert rules derived from WHO (2022) and BIS (IS 10500) standards are evaluated using the MIN implication operator.</w:t>
        <w:br/>
        <w:t>3. Aggregation: The output of all activated rules is combined using the MAX operator.</w:t>
        <w:br/>
        <w:t>4. Defuzzification: The Centroid of Area (CoA) method converts the aggregated fuzzy set into a crisp WPI score.</w:t>
      </w:r>
    </w:p>
    <w:p>
      <w:pPr>
        <w:pStyle w:val="Heading2"/>
      </w:pPr>
      <w:r>
        <w:t>2.2 Hardware Design</w:t>
      </w:r>
    </w:p>
    <w:p>
      <w:r>
        <w:t>The system is designed for an ESP32 edge device, processing inputs from DFRobot gravity sensors with built-in DS18B20 temperature compensation routines.</w:t>
      </w:r>
    </w:p>
    <w:p>
      <w:pPr>
        <w:pStyle w:val="Heading1"/>
      </w:pPr>
      <w:r>
        <w:t>3. Results</w:t>
      </w:r>
    </w:p>
    <w:p>
      <w:pPr>
        <w:pStyle w:val="Heading2"/>
      </w:pPr>
      <w:r>
        <w:t>3.1 Synthetic Dataset (WHO Oracle)</w:t>
      </w:r>
    </w:p>
    <w:p>
      <w:r>
        <w:t>A 5,000-sample dataset was generated with Gaussian noise.</w:t>
        <w:br/>
        <w:t>- FIS Accuracy: 75.3% (Deviates only in intentional boundary smoothing).</w:t>
        <w:br/>
        <w:t>- RF Accuracy: 99.5% (Overfits to hard thresholds).</w:t>
      </w:r>
    </w:p>
    <w:p>
      <w:pPr>
        <w:pStyle w:val="Heading2"/>
      </w:pPr>
      <w:r>
        <w:t>3.2 Real-World Kaggle Dataset</w:t>
      </w:r>
    </w:p>
    <w:p>
      <w:r>
        <w:t>Tested against the public Water Potability dataset (3,276 samples).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F1-Macro</w:t>
            </w:r>
          </w:p>
        </w:tc>
        <w:tc>
          <w:tcPr>
            <w:tcW w:type="dxa" w:w="2160"/>
          </w:tcPr>
          <w:p>
            <w:r>
              <w:t>Interpretable?</w:t>
            </w:r>
          </w:p>
        </w:tc>
      </w:tr>
      <w:tr>
        <w:tc>
          <w:tcPr>
            <w:tcW w:type="dxa" w:w="2160"/>
          </w:tcPr>
          <w:p>
            <w:r>
              <w:t>Mamdani FIS</w:t>
            </w:r>
          </w:p>
        </w:tc>
        <w:tc>
          <w:tcPr>
            <w:tcW w:type="dxa" w:w="2160"/>
          </w:tcPr>
          <w:p>
            <w:r>
              <w:t>60.43%</w:t>
            </w:r>
          </w:p>
        </w:tc>
        <w:tc>
          <w:tcPr>
            <w:tcW w:type="dxa" w:w="2160"/>
          </w:tcPr>
          <w:p>
            <w:r>
              <w:t>37.67%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Random Forest</w:t>
            </w:r>
          </w:p>
        </w:tc>
        <w:tc>
          <w:tcPr>
            <w:tcW w:type="dxa" w:w="2160"/>
          </w:tcPr>
          <w:p>
            <w:r>
              <w:t>59.61%</w:t>
            </w:r>
          </w:p>
        </w:tc>
        <w:tc>
          <w:tcPr>
            <w:tcW w:type="dxa" w:w="2160"/>
          </w:tcPr>
          <w:p>
            <w:r>
              <w:t>46.20%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SVM (RBF)</w:t>
            </w:r>
          </w:p>
        </w:tc>
        <w:tc>
          <w:tcPr>
            <w:tcW w:type="dxa" w:w="2160"/>
          </w:tcPr>
          <w:p>
            <w:r>
              <w:t>61.22%</w:t>
            </w:r>
          </w:p>
        </w:tc>
        <w:tc>
          <w:tcPr>
            <w:tcW w:type="dxa" w:w="2160"/>
          </w:tcPr>
          <w:p>
            <w:r>
              <w:t>41.94%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KNN (k=7)</w:t>
            </w:r>
          </w:p>
        </w:tc>
        <w:tc>
          <w:tcPr>
            <w:tcW w:type="dxa" w:w="2160"/>
          </w:tcPr>
          <w:p>
            <w:r>
              <w:t>54.40%</w:t>
            </w:r>
          </w:p>
        </w:tc>
        <w:tc>
          <w:tcPr>
            <w:tcW w:type="dxa" w:w="2160"/>
          </w:tcPr>
          <w:p>
            <w:r>
              <w:t>49.40%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/>
    <w:p>
      <w:pPr>
        <w:pStyle w:val="Heading1"/>
      </w:pPr>
      <w:r>
        <w:t>4. Discussion</w:t>
      </w:r>
    </w:p>
    <w:p>
      <w:r>
        <w:t>The results on the Kaggle dataset confirm that the proposed zero-shot expert FIS matches the accuracy of trained machine learning models (~60%) on highly noisy, real-world data. Unlike the ML models, every decision made by the FIS can be traced back to specific WHO guidelines, making it trustworthy for deployment.</w:t>
      </w:r>
    </w:p>
    <w:p>
      <w:pPr>
        <w:pStyle w:val="Heading1"/>
      </w:pPr>
      <w:r>
        <w:t>5. Conclusion</w:t>
      </w:r>
    </w:p>
    <w:p>
      <w:r>
        <w:t>We successfully designed and validated an end-to-end water potability monitoring dashboard and FIS engine. By leveraging fuzzy logic, we bridge the gap between low-cost IoT hardware and reliable, safety-conscious environmental monitoring.</w:t>
      </w:r>
    </w:p>
    <w:p>
      <w:pPr>
        <w:pStyle w:val="Heading1"/>
      </w:pPr>
      <w:r>
        <w:t>6. References</w:t>
      </w:r>
    </w:p>
    <w:p>
      <w:r>
        <w:t>1. WHO. (2022). Guidelines for drinking-water quality.</w:t>
        <w:br/>
        <w:t>2. Bureau of Indian Standards. (2012). IS 10500: Drinking Water Specification.</w:t>
        <w:br/>
        <w:t>3. Mamdani, E. H. (1974). Application of fuzzy algorithms for control of simple dynamic plant.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