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9" w:lineRule="auto" w:before="72"/>
        <w:ind w:left="3108" w:right="3099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Architecture</w:t>
      </w:r>
    </w:p>
    <w:p>
      <w:pPr>
        <w:pStyle w:val="BodyText"/>
        <w:spacing w:before="46"/>
        <w:rPr>
          <w:rFonts w:ascii="Calibri"/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535" w:hRule="atLeast"/>
        </w:trPr>
        <w:tc>
          <w:tcPr>
            <w:tcW w:w="4512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95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spacing w:line="274" w:lineRule="exact" w:before="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52"/>
        <w:rPr>
          <w:rFonts w:ascii="Calibri"/>
          <w:b/>
        </w:rPr>
      </w:pPr>
    </w:p>
    <w:p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2"/>
          <w:sz w:val="24"/>
        </w:rPr>
        <w:t>Architecture:</w:t>
      </w:r>
    </w:p>
    <w:p>
      <w:pPr>
        <w:pStyle w:val="BodyText"/>
        <w:spacing w:line="235" w:lineRule="auto" w:before="179"/>
        <w:ind w:left="23"/>
      </w:pPr>
      <w:r>
        <w:rPr/>
        <w:t>Solution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process –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sub-processes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bridges the gap between business problems and technology solutions. Its goals are to: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solve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35" w:lineRule="auto" w:before="143" w:after="0"/>
        <w:ind w:left="744" w:right="55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structure,</w:t>
      </w:r>
      <w:r>
        <w:rPr>
          <w:spacing w:val="-6"/>
          <w:sz w:val="24"/>
        </w:rPr>
        <w:t> </w:t>
      </w:r>
      <w:r>
        <w:rPr>
          <w:sz w:val="24"/>
        </w:rPr>
        <w:t>characteristics,</w:t>
      </w:r>
      <w:r>
        <w:rPr>
          <w:spacing w:val="-6"/>
          <w:sz w:val="24"/>
        </w:rPr>
        <w:t> </w:t>
      </w:r>
      <w:r>
        <w:rPr>
          <w:sz w:val="24"/>
        </w:rPr>
        <w:t>behavior,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aspects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 software to project stakeholders.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45" w:after="0"/>
        <w:ind w:left="743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features,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phases,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2"/>
          <w:sz w:val="24"/>
        </w:rPr>
        <w:t> requirements.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35" w:lineRule="auto" w:before="144" w:after="0"/>
        <w:ind w:left="744" w:right="363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specifications</w:t>
      </w:r>
      <w:r>
        <w:rPr>
          <w:spacing w:val="-5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defined,</w:t>
      </w:r>
      <w:r>
        <w:rPr>
          <w:spacing w:val="-7"/>
          <w:sz w:val="24"/>
        </w:rPr>
        <w:t> </w:t>
      </w:r>
      <w:r>
        <w:rPr>
          <w:sz w:val="24"/>
        </w:rPr>
        <w:t>managed, and delivered.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904875</wp:posOffset>
                </wp:positionH>
                <wp:positionV relativeFrom="paragraph">
                  <wp:posOffset>573233</wp:posOffset>
                </wp:positionV>
                <wp:extent cx="5750560" cy="25787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50560" cy="2578735"/>
                          <a:chExt cx="5750560" cy="2578735"/>
                        </a:xfrm>
                      </wpg:grpSpPr>
                      <pic:pic>
                        <pic:nvPicPr>
                          <pic:cNvPr id="2" name="Image 2" descr="Voice applications in clinical research powered by AI on AWS – Part 1:  Architecture and design considerations | AWS for Industries (Rectangle)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12" y="4381"/>
                            <a:ext cx="5640407" cy="256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741035" cy="256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569210">
                                <a:moveTo>
                                  <a:pt x="0" y="0"/>
                                </a:moveTo>
                                <a:lnTo>
                                  <a:pt x="0" y="2569083"/>
                                </a:lnTo>
                                <a:lnTo>
                                  <a:pt x="5741034" y="2569083"/>
                                </a:lnTo>
                                <a:lnTo>
                                  <a:pt x="574103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45.136486pt;width:452.8pt;height:203.05pt;mso-position-horizontal-relative:page;mso-position-vertical-relative:paragraph;z-index:15728640" id="docshapegroup1" coordorigin="1425,903" coordsize="9056,4061">
                <v:shape style="position:absolute;left:1489;top:909;width:8883;height:4039" type="#_x0000_t75" id="docshape2" alt="Voice applications in clinical research powered by AI on AWS – Part 1:  Architecture and design considerations | AWS for Industries (Rectangle)" stroked="false">
                  <v:imagedata r:id="rId5" o:title=""/>
                </v:shape>
                <v:shape style="position:absolute;left:1432;top:910;width:9041;height:4046" id="docshape3" coordorigin="1433,910" coordsize="9041,4046" path="m1433,910l1433,4956,10474,4956,10474,910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Example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Architecture</w:t>
      </w:r>
      <w:r>
        <w:rPr>
          <w:spacing w:val="-3"/>
        </w:rPr>
        <w:t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53"/>
        <w:rPr>
          <w:rFonts w:ascii="Calibri"/>
          <w:b/>
        </w:rPr>
      </w:pPr>
    </w:p>
    <w:p>
      <w:pPr>
        <w:spacing w:before="0"/>
        <w:ind w:left="23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7"/>
          <w:sz w:val="21"/>
        </w:rPr>
        <w:t> </w:t>
      </w:r>
      <w:r>
        <w:rPr>
          <w:rFonts w:ascii="Arial"/>
          <w:i/>
          <w:color w:val="333333"/>
          <w:sz w:val="21"/>
        </w:rPr>
        <w:t>1: Architecture</w:t>
      </w:r>
      <w:r>
        <w:rPr>
          <w:rFonts w:ascii="Arial"/>
          <w:i/>
          <w:color w:val="333333"/>
          <w:spacing w:val="-4"/>
          <w:sz w:val="21"/>
        </w:rPr>
        <w:t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5"/>
          <w:sz w:val="21"/>
        </w:rPr>
        <w:t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4"/>
          <w:sz w:val="21"/>
        </w:rPr>
        <w:t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5"/>
          <w:sz w:val="21"/>
        </w:rPr>
        <w:t> </w:t>
      </w:r>
      <w:r>
        <w:rPr>
          <w:rFonts w:ascii="Arial"/>
          <w:i/>
          <w:color w:val="333333"/>
          <w:sz w:val="21"/>
        </w:rPr>
        <w:t>of the</w:t>
      </w:r>
      <w:r>
        <w:rPr>
          <w:rFonts w:ascii="Arial"/>
          <w:i/>
          <w:color w:val="333333"/>
          <w:spacing w:val="-5"/>
          <w:sz w:val="21"/>
        </w:rPr>
        <w:t> </w:t>
      </w:r>
      <w:r>
        <w:rPr>
          <w:rFonts w:ascii="Arial"/>
          <w:i/>
          <w:color w:val="333333"/>
          <w:sz w:val="21"/>
        </w:rPr>
        <w:t>voice patient diary</w:t>
      </w:r>
      <w:r>
        <w:rPr>
          <w:rFonts w:ascii="Arial"/>
          <w:i/>
          <w:color w:val="333333"/>
          <w:spacing w:val="-3"/>
          <w:sz w:val="21"/>
        </w:rPr>
        <w:t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4"/>
          <w:sz w:val="21"/>
        </w:rPr>
        <w:t> </w:t>
      </w:r>
      <w:r>
        <w:rPr>
          <w:rFonts w:ascii="Arial"/>
          <w:i/>
          <w:color w:val="333333"/>
          <w:spacing w:val="-2"/>
          <w:sz w:val="21"/>
        </w:rPr>
        <w:t>application</w:t>
      </w:r>
    </w:p>
    <w:p>
      <w:pPr>
        <w:spacing w:line="259" w:lineRule="auto" w:before="181"/>
        <w:ind w:left="23" w:right="51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Reference:</w:t>
      </w:r>
      <w:r>
        <w:rPr>
          <w:rFonts w:ascii="Calibri"/>
          <w:b/>
          <w:spacing w:val="-13"/>
          <w:sz w:val="22"/>
        </w:rPr>
        <w:t> </w:t>
      </w:r>
      <w:hyperlink r:id="rId6">
        <w:r>
          <w:rPr>
            <w:rFonts w:ascii="Calibri"/>
            <w:b/>
            <w:color w:val="0462C1"/>
            <w:sz w:val="22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  <w:sz w:val="22"/>
        </w:rPr>
        <w:t> </w:t>
      </w:r>
      <w:hyperlink r:id="rId6">
        <w:r>
          <w:rPr>
            <w:rFonts w:ascii="Calibri"/>
            <w:b/>
            <w:color w:val="0462C1"/>
            <w:spacing w:val="-2"/>
            <w:sz w:val="22"/>
            <w:u w:val="single" w:color="0462C1"/>
          </w:rPr>
          <w:t>powered-by-ai-on-aws-part-1-architecture-and-design-considerations/</w:t>
        </w:r>
      </w:hyperlink>
    </w:p>
    <w:sectPr>
      <w:type w:val="continuous"/>
      <w:pgSz w:w="11910" w:h="16840"/>
      <w:pgMar w:top="7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4" w:hanging="36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2025-08-05T15:47:21Z</dcterms:created>
  <dcterms:modified xsi:type="dcterms:W3CDTF">2025-08-05T15:47:21Z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