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685E70B" w:rsidR="00E370AF" w:rsidRDefault="008377C5">
            <w:r>
              <w:t>2</w:t>
            </w:r>
            <w:r w:rsidR="00267921" w:rsidRPr="00267921">
              <w:t>5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AE27631" w:rsidR="00E370AF" w:rsidRDefault="008377C5">
            <w:r w:rsidRPr="008377C5">
              <w:t>LTVIP2026TMIDS41392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834DB8" w:rsidR="00E370AF" w:rsidRDefault="008377C5">
            <w:r w:rsidRPr="008377C5">
              <w:t>AI-Powered Multi-Language Translator using Gemini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7AFEA8F" w14:textId="77777777" w:rsidR="008377C5" w:rsidRPr="008377C5" w:rsidRDefault="008377C5" w:rsidP="008377C5">
      <w:pP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structured process that connects business problems with appropriate technology solutions. In the </w:t>
      </w:r>
      <w:proofErr w:type="spellStart"/>
      <w:r w:rsidRPr="008377C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TransLingua</w:t>
      </w:r>
      <w:proofErr w:type="spellEnd"/>
      <w:r w:rsidRPr="008377C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: AI-Powered Multi-Language Translator</w:t>
      </w: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, the architecture defines how user inputs are processed through a web interface and translated using an AI-powered language model to deliver accurate multilingual results.</w:t>
      </w:r>
    </w:p>
    <w:p w14:paraId="52C622F9" w14:textId="77777777" w:rsidR="008377C5" w:rsidRPr="008377C5" w:rsidRDefault="008377C5" w:rsidP="008377C5">
      <w:pP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The goals of the solution architecture are to:</w:t>
      </w:r>
    </w:p>
    <w:p w14:paraId="16389F0C" w14:textId="77777777" w:rsidR="008377C5" w:rsidRPr="008377C5" w:rsidRDefault="008377C5" w:rsidP="008377C5">
      <w:pP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● Find an effective AI-based technological solution to overcome language communication barriers.</w:t>
      </w:r>
    </w:p>
    <w:p w14:paraId="153A5B1D" w14:textId="77777777" w:rsidR="008377C5" w:rsidRPr="008377C5" w:rsidRDefault="008377C5" w:rsidP="008377C5">
      <w:pP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● Describe the overall system structure, components, and workflow for stakeholders and developers.</w:t>
      </w:r>
    </w:p>
    <w:p w14:paraId="7AC63382" w14:textId="77777777" w:rsidR="008377C5" w:rsidRPr="008377C5" w:rsidRDefault="008377C5" w:rsidP="008377C5">
      <w:pP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● Define application features such as text input, language selection, AI translation processing, and result display.</w:t>
      </w:r>
    </w:p>
    <w:p w14:paraId="20B30979" w14:textId="77777777" w:rsidR="008377C5" w:rsidRPr="008377C5" w:rsidRDefault="008377C5" w:rsidP="008377C5">
      <w:pP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377C5">
        <w:rPr>
          <w:rFonts w:ascii="Times New Roman" w:eastAsia="Arial" w:hAnsi="Times New Roman" w:cs="Times New Roman"/>
          <w:color w:val="000000"/>
          <w:sz w:val="24"/>
          <w:szCs w:val="24"/>
        </w:rPr>
        <w:t>● Provide clear specifications for development, deployment, and management of the translation system.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299ED04E" w:rsidR="00E370AF" w:rsidRDefault="008377C5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4CAA0F03" wp14:editId="7D9F3843">
            <wp:extent cx="5553075" cy="1733550"/>
            <wp:effectExtent l="0" t="0" r="9525" b="0"/>
            <wp:docPr id="152309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7423" name="Picture 1523097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524D7D8B" w:rsidR="00E370AF" w:rsidRDefault="00000000" w:rsidP="008377C5">
      <w:pPr>
        <w:jc w:val="center"/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</w:t>
      </w:r>
    </w:p>
    <w:p w14:paraId="4E909796" w14:textId="4253C998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692F65C-ED81-425B-83EF-11D6C4F708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3925B9-1BC4-41D7-8010-977E8CF6765F}"/>
    <w:embedBold r:id="rId3" w:fontKey="{429677BE-9E40-41F4-B897-168D85C844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91BCFF-EA4F-4C01-AF58-A3C19ED7F7A4}"/>
    <w:embedItalic r:id="rId5" w:fontKey="{F3DF634E-90F4-4ED3-A2F4-DA111DDA6F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2A0751F-4DE8-4C20-A35D-14EBEFAB7991}"/>
    <w:embedItalic r:id="rId7" w:fontKey="{B01B772E-C15B-4447-A6D3-3E533320C4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5A99C2-4F4B-4027-AF94-17DF616B71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54D7A"/>
    <w:rsid w:val="00267921"/>
    <w:rsid w:val="008377C5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</dc:creator>
  <cp:lastModifiedBy>Geethanjali G</cp:lastModifiedBy>
  <cp:revision>2</cp:revision>
  <dcterms:created xsi:type="dcterms:W3CDTF">2026-02-24T14:29:00Z</dcterms:created>
  <dcterms:modified xsi:type="dcterms:W3CDTF">2026-02-24T14:29:00Z</dcterms:modified>
</cp:coreProperties>
</file>