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Bronchial: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auscultated over anterior chest and heard over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u w:val="single"/>
          <w:rtl w:val="0"/>
        </w:rPr>
        <w:t xml:space="preserve">tracheal area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892702" cy="21669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702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Bronchi Vesicular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i w:val="1"/>
          <w:color w:val="333333"/>
          <w:sz w:val="24"/>
          <w:szCs w:val="24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Found where?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auscultated anteriorly and posteriorly and heard over the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 bronchi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anteriorly: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1st and 2nd intercostal space near the sternum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72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posteriorly: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between the scapulae</w:t>
      </w:r>
    </w:p>
    <w:p w:rsidR="00000000" w:rsidDel="00000000" w:rsidP="00000000" w:rsidRDefault="00000000" w:rsidRPr="00000000" w14:paraId="0000000B">
      <w:pPr>
        <w:shd w:fill="ffffff" w:val="clear"/>
        <w:spacing w:after="720" w:lineRule="auto"/>
        <w:ind w:left="0" w:firstLine="0"/>
        <w:rPr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</w:rPr>
        <w:drawing>
          <wp:inline distB="114300" distT="114300" distL="114300" distR="114300">
            <wp:extent cx="3256390" cy="21383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390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333333"/>
          <w:sz w:val="24"/>
          <w:szCs w:val="24"/>
        </w:rPr>
        <w:drawing>
          <wp:inline distB="114300" distT="114300" distL="114300" distR="114300">
            <wp:extent cx="3090863" cy="22769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27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60" w:before="0" w:line="288" w:lineRule="auto"/>
        <w:rPr>
          <w:b w:val="1"/>
          <w:color w:val="333333"/>
          <w:sz w:val="27"/>
          <w:szCs w:val="27"/>
        </w:rPr>
      </w:pPr>
      <w:bookmarkStart w:colFirst="0" w:colLast="0" w:name="_pnpw93e5mvjg" w:id="0"/>
      <w:bookmarkEnd w:id="0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Vesicular: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Found where?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auscultated anteriorly and posteriorly and heard over </w:t>
      </w:r>
      <w:r w:rsidDel="00000000" w:rsidR="00000000" w:rsidRPr="00000000">
        <w:rPr>
          <w:b w:val="1"/>
          <w:i w:val="1"/>
          <w:color w:val="333333"/>
          <w:sz w:val="24"/>
          <w:szCs w:val="24"/>
          <w:rtl w:val="0"/>
        </w:rPr>
        <w:t xml:space="preserve">peripheral lung fields</w:t>
      </w:r>
    </w:p>
    <w:p w:rsidR="00000000" w:rsidDel="00000000" w:rsidP="00000000" w:rsidRDefault="00000000" w:rsidRPr="00000000" w14:paraId="0000000E">
      <w:pPr>
        <w:shd w:fill="ffffff" w:val="clear"/>
        <w:spacing w:after="7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55300" cy="2471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300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72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76588" cy="249891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49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720" w:lineRule="auto"/>
        <w:ind w:left="0" w:firstLine="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Instead of Vesicular if bronchial is sound is heard in the place where vesicular sound should be heard then it denotes a disease called “Consolidated lung pneumonia”.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