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PROJECT QUOTATION</w:t>
      </w:r>
    </w:p>
    <w:p>
      <w:pPr>
        <w:pStyle w:val="Subtitle"/>
      </w:pPr>
      <w:r>
        <w:t xml:space="preserve">Sudha Collections • E-commerce website</w:t>
      </w:r>
    </w:p>
    <w:p>
      <w:pPr>
        <w:pStyle w:val="Normal"/>
      </w:pPr>
      <w:r>
        <w:t xml:space="preserve">PROPOSED QUOTATION — for client review and approval</w:t>
      </w:r>
    </w:p>
    <w:p>
      <w:pPr>
        <w:pStyle w:val="Normal"/>
      </w:pPr>
      <w:r>
        <w:t xml:space="preserve">Quotation no.: SC-QTN-20261003-01    Date: 3 October 2026</w:t>
      </w:r>
    </w:p>
    <w:p>
      <w:pPr>
        <w:pStyle w:val="Normal"/>
      </w:pPr>
      <w:r>
        <w:t xml:space="preserve">Proposed validity: through 18 October 2026    Currency: INR</w:t>
      </w:r>
    </w:p>
    <w:p>
      <w:pPr>
        <w:pStyle w:val="Normal"/>
      </w:pPr>
      <w:r>
        <w:t xml:space="preserve">Prepared for: Vishal </w:t>
      </w:r>
    </w:p>
    <w:p>
      <w:pPr>
        <w:pStyle w:val="Normal"/>
      </w:pPr>
      <w:r>
        <w:t xml:space="preserve">Prepared by: Chandru </w:t>
      </w:r>
    </w:p>
    <w:p>
      <w:pPr>
        <w:pStyle w:val="Normal"/>
      </w:pPr>
      <w:r>
        <w:t xml:space="preserve">Developer email / phone: [To be completed]    GST: Not charged</w:t>
      </w:r>
    </w:p>
    <w:p>
      <w:pPr>
        <w:pStyle w:val="Heading1"/>
      </w:pPr>
      <w:r>
        <w:t xml:space="preserve">Proposed project investment</w:t>
      </w:r>
    </w:p>
    <w:p>
      <w:pPr>
        <w:pStyle w:val="Normal"/>
      </w:pPr>
      <w:r>
        <w:t xml:space="preserve">Design, development and launch preparation for the Sudha Collections online store at shopsudha.in, including the existing project features and the remaining deployment work described in this quotation.</w:t>
      </w:r>
    </w:p>
    <w:tbl>
      <w:tblPr>
        <w:tblW w:w="9360" w:type="dxa"/>
        <w:tblInd w:w="120" w:type="dxa"/>
        <w:tblLayout w:type="fixed"/>
        <w:tblBorders>
          <w:top w:val="single" w:sz="4" w:color="D0D5DD"/>
          <w:left w:val="single" w:sz="4" w:color="D0D5DD"/>
          <w:bottom w:val="single" w:sz="4" w:color="D0D5DD"/>
          <w:right w:val="single" w:sz="4" w:color="D0D5DD"/>
          <w:insideH w:val="single" w:sz="4" w:color="D0D5DD"/>
          <w:insideV w:val="single" w:sz="4" w:color="D0D5DD"/>
        </w:tblBorders>
        <w:tblCellMar>
          <w:top w:w="80" w:type="dxa"/>
          <w:bottom w:w="80" w:type="dxa"/>
          <w:start w:w="120" w:type="dxa"/>
          <w:end w:w="120" w:type="dxa"/>
        </w:tblCellMar>
      </w:tblPr>
      <w:tblGrid>
        <w:gridCol w:w="7200"/>
        <w:gridCol w:w="2160"/>
      </w:tblGrid>
      <w:tr>
        <w:trPr>
          <w:cantSplit/>
          <w:tblHeader/>
        </w:trPr>
        <w:tc>
          <w:tcPr>
            <w:tcW w:w="7200" w:type="dxa"/>
            <w:shd w:fill="F2F4F7"/>
          </w:tcPr>
          <w:p>
            <w:pPr>
              <w:pStyle w:val="TableText"/>
            </w:pPr>
            <w:r>
              <w:rPr>
                <w:b/>
              </w:rPr>
              <w:t>Work package</w:t>
            </w:r>
          </w:p>
        </w:tc>
        <w:tc>
          <w:tcPr>
            <w:tcW w:w="2160" w:type="dxa"/>
            <w:shd w:fill="F2F4F7"/>
          </w:tcPr>
          <w:p>
            <w:pPr>
              <w:pStyle w:val="TableText"/>
              <w:jc w:val="right"/>
            </w:pPr>
            <w:r>
              <w:rPr>
                <w:b/>
              </w:rPr>
              <w:t>Amount (INR)</w:t>
            </w:r>
          </w:p>
        </w:tc>
      </w:tr>
      <w:tr>
        <w:trPr>
          <w:cantSplit/>
        </w:trPr>
        <w:tc>
          <w:tcPr>
            <w:tcW w:w="7200" w:type="dxa"/>
          </w:tcPr>
          <w:p>
            <w:pPr>
              <w:pStyle w:val="TableText"/>
            </w:pPr>
            <w:r>
              <w:rPr/>
              <w:t>Responsive storefront and shopping experience</w:t>
            </w:r>
          </w:p>
        </w:tc>
        <w:tc>
          <w:tcPr>
            <w:tcW w:w="2160" w:type="dxa"/>
          </w:tcPr>
          <w:p>
            <w:pPr>
              <w:pStyle w:val="TableText"/>
              <w:jc w:val="right"/>
            </w:pPr>
            <w:r>
              <w:rPr/>
              <w:t>20,000</w:t>
            </w:r>
          </w:p>
        </w:tc>
      </w:tr>
      <w:tr>
        <w:trPr>
          <w:cantSplit/>
        </w:trPr>
        <w:tc>
          <w:tcPr>
            <w:tcW w:w="7200" w:type="dxa"/>
          </w:tcPr>
          <w:p>
            <w:pPr>
              <w:pStyle w:val="TableText"/>
            </w:pPr>
            <w:r>
              <w:rPr/>
              <w:t>Product catalogue and inventory features</w:t>
            </w:r>
          </w:p>
        </w:tc>
        <w:tc>
          <w:tcPr>
            <w:tcW w:w="2160" w:type="dxa"/>
          </w:tcPr>
          <w:p>
            <w:pPr>
              <w:pStyle w:val="TableText"/>
              <w:jc w:val="right"/>
            </w:pPr>
            <w:r>
              <w:rPr/>
              <w:t>18,000</w:t>
            </w:r>
          </w:p>
        </w:tc>
      </w:tr>
      <w:tr>
        <w:trPr>
          <w:cantSplit/>
        </w:trPr>
        <w:tc>
          <w:tcPr>
            <w:tcW w:w="7200" w:type="dxa"/>
          </w:tcPr>
          <w:p>
            <w:pPr>
              <w:pStyle w:val="TableText"/>
            </w:pPr>
            <w:r>
              <w:rPr/>
              <w:t>Customer accounts, checkout and Razorpay</w:t>
            </w:r>
          </w:p>
        </w:tc>
        <w:tc>
          <w:tcPr>
            <w:tcW w:w="2160" w:type="dxa"/>
          </w:tcPr>
          <w:p>
            <w:pPr>
              <w:pStyle w:val="TableText"/>
              <w:jc w:val="right"/>
            </w:pPr>
            <w:r>
              <w:rPr/>
              <w:t>15,000</w:t>
            </w:r>
          </w:p>
        </w:tc>
      </w:tr>
      <w:tr>
        <w:trPr>
          <w:cantSplit/>
        </w:trPr>
        <w:tc>
          <w:tcPr>
            <w:tcW w:w="7200" w:type="dxa"/>
          </w:tcPr>
          <w:p>
            <w:pPr>
              <w:pStyle w:val="TableText"/>
            </w:pPr>
            <w:r>
              <w:rPr/>
              <w:t>Admin operations, coupons and reports</w:t>
            </w:r>
          </w:p>
        </w:tc>
        <w:tc>
          <w:tcPr>
            <w:tcW w:w="2160" w:type="dxa"/>
          </w:tcPr>
          <w:p>
            <w:pPr>
              <w:pStyle w:val="TableText"/>
              <w:jc w:val="right"/>
            </w:pPr>
            <w:r>
              <w:rPr/>
              <w:t>17,000</w:t>
            </w:r>
          </w:p>
        </w:tc>
      </w:tr>
      <w:tr>
        <w:trPr>
          <w:cantSplit/>
        </w:trPr>
        <w:tc>
          <w:tcPr>
            <w:tcW w:w="7200" w:type="dxa"/>
          </w:tcPr>
          <w:p>
            <w:pPr>
              <w:pStyle w:val="TableText"/>
            </w:pPr>
            <w:r>
              <w:rPr/>
              <w:t>Homepage CMS and banner configuration</w:t>
            </w:r>
          </w:p>
        </w:tc>
        <w:tc>
          <w:tcPr>
            <w:tcW w:w="2160" w:type="dxa"/>
          </w:tcPr>
          <w:p>
            <w:pPr>
              <w:pStyle w:val="TableText"/>
              <w:jc w:val="right"/>
            </w:pPr>
            <w:r>
              <w:rPr/>
              <w:t>10,000</w:t>
            </w:r>
          </w:p>
        </w:tc>
      </w:tr>
      <w:tr>
        <w:trPr>
          <w:cantSplit/>
        </w:trPr>
        <w:tc>
          <w:tcPr>
            <w:tcW w:w="7200" w:type="dxa"/>
          </w:tcPr>
          <w:p>
            <w:pPr>
              <w:pStyle w:val="TableText"/>
            </w:pPr>
            <w:r>
              <w:rPr/>
              <w:t>Email and WhatsApp message templates</w:t>
            </w:r>
          </w:p>
        </w:tc>
        <w:tc>
          <w:tcPr>
            <w:tcW w:w="2160" w:type="dxa"/>
          </w:tcPr>
          <w:p>
            <w:pPr>
              <w:pStyle w:val="TableText"/>
              <w:jc w:val="right"/>
            </w:pPr>
            <w:r>
              <w:rPr/>
              <w:t>8,000</w:t>
            </w:r>
          </w:p>
        </w:tc>
      </w:tr>
      <w:tr>
        <w:trPr>
          <w:cantSplit/>
        </w:trPr>
        <w:tc>
          <w:tcPr>
            <w:tcW w:w="7200" w:type="dxa"/>
          </w:tcPr>
          <w:p>
            <w:pPr>
              <w:pStyle w:val="TableText"/>
            </w:pPr>
            <w:r>
              <w:rPr/>
              <w:t>Vercel readiness, testing and handover</w:t>
            </w:r>
          </w:p>
        </w:tc>
        <w:tc>
          <w:tcPr>
            <w:tcW w:w="2160" w:type="dxa"/>
          </w:tcPr>
          <w:p>
            <w:pPr>
              <w:pStyle w:val="TableText"/>
              <w:jc w:val="right"/>
            </w:pPr>
            <w:r>
              <w:rPr/>
              <w:t>7,000</w:t>
            </w:r>
          </w:p>
        </w:tc>
      </w:tr>
      <w:tr>
        <w:trPr>
          <w:cantSplit/>
        </w:trPr>
        <w:tc>
          <w:tcPr>
            <w:tcW w:w="7200" w:type="dxa"/>
          </w:tcPr>
          <w:p>
            <w:pPr>
              <w:pStyle w:val="TableText"/>
            </w:pPr>
            <w:r>
              <w:rPr>
                <w:b/>
              </w:rPr>
              <w:t>Total professional fee — no GST</w:t>
            </w:r>
          </w:p>
        </w:tc>
        <w:tc>
          <w:tcPr>
            <w:tcW w:w="2160" w:type="dxa"/>
          </w:tcPr>
          <w:p>
            <w:pPr>
              <w:pStyle w:val="TableText"/>
              <w:jc w:val="right"/>
            </w:pPr>
            <w:r>
              <w:rPr>
                <w:b/>
              </w:rPr>
              <w:t>95,000</w:t>
            </w:r>
          </w:p>
        </w:tc>
      </w:tr>
    </w:tbl>
    <w:p>
      <w:pPr>
        <w:pStyle w:val="Source"/>
      </w:pPr>
    </w:p>
    <w:p>
      <w:pPr>
        <w:pStyle w:val="Normal"/>
      </w:pPr>
      <w:r>
        <w:t xml:space="preserve">Proposed professional fee: INR 95,000 (Rupees Ninety-Five Thousand Only).</w:t>
      </w:r>
    </w:p>
    <w:p>
      <w:pPr>
        <w:pStyle w:val="Normal"/>
      </w:pPr>
      <w:r>
        <w:t xml:space="preserve">GST: INR 0 (not charged, as requested). Total quoted professional fee: INR 95,000. This quotation is not an invoice.</w:t>
      </w:r>
    </w:p>
    <w:p>
      <w:pPr>
        <w:pStyle w:val="Normal"/>
      </w:pPr>
      <w:r>
        <w:t xml:space="preserve">Domain, hosting, database, storage, email-provider subscriptions and payment-gateway transaction charges are paid separately by the client. No third-party recurring charges are included in the professional fee.</w:t>
      </w:r>
    </w:p>
    <w:p>
      <w:pPr>
        <w:pStyle w:val="Normal"/>
      </w:pPr>
      <w:r>
        <w:t xml:space="preserve">Pricing basis: an indicative commercial proposal for this project, not a verified market valuation, invoice or record of an agreed price. Scope, fees and terms require approval before acceptance.</w:t>
      </w:r>
    </w:p>
    <w:p>
      <w:pPr>
        <w:pStyle w:val="Heading1"/>
        <w:pageBreakBefore/>
      </w:pPr>
      <w:r>
        <w:t xml:space="preserve">Included project scope</w:t>
      </w:r>
    </w:p>
    <w:p>
      <w:pPr>
        <w:pStyle w:val="Heading2"/>
      </w:pPr>
      <w:r>
        <w:t xml:space="preserve">Storefront and product catalogue</w:t>
      </w:r>
    </w:p>
    <w:p>
      <w:pPr>
        <w:pStyle w:val="Normal"/>
      </w:pPr>
      <w:r>
        <w:t xml:space="preserve">Responsive Sudha Collections storefront for desktop and mobile; homepage, navigation, product listing and details, search, category browsing, wishlist and shopping cart. Product administration includes categories, brands, images, variants, pricing and stock controls within the existing application.</w:t>
      </w:r>
    </w:p>
    <w:p>
      <w:pPr>
        <w:pStyle w:val="Heading2"/>
      </w:pPr>
      <w:r>
        <w:t xml:space="preserve">Customer accounts and checkout</w:t>
      </w:r>
    </w:p>
    <w:p>
      <w:pPr>
        <w:pStyle w:val="Normal"/>
      </w:pPr>
      <w:r>
        <w:t xml:space="preserve">Customer registration and login, saved addresses, account profile and order history. Checkout and Razorpay integration include order creation, payment status handling, webhook processing and the existing payment-recovery flow. Provider account activation remains the client's responsibility.</w:t>
      </w:r>
    </w:p>
    <w:p>
      <w:pPr>
        <w:pStyle w:val="Heading2"/>
      </w:pPr>
      <w:r>
        <w:t xml:space="preserve">Administration and operations</w:t>
      </w:r>
    </w:p>
    <w:p>
      <w:pPr>
        <w:pStyle w:val="Normal"/>
      </w:pPr>
      <w:r>
        <w:t xml:space="preserve">The existing admin workflows for products, inventory, orders, customers, coupons, banner management, review moderation, payment operations and available reports/exports. Scope covers configuration and verification of these workflows, not a new ERP or a redesigned reporting system.</w:t>
      </w:r>
    </w:p>
    <w:p>
      <w:pPr>
        <w:pStyle w:val="Heading2"/>
      </w:pPr>
      <w:r>
        <w:t xml:space="preserve">Homepage CMS and message templates</w:t>
      </w:r>
    </w:p>
    <w:p>
      <w:pPr>
        <w:pStyle w:val="Normal"/>
      </w:pPr>
      <w:r>
        <w:t xml:space="preserve">Separate CMS editing pages for desktop/mobile navigation, the New arrivals link, the post-banner story section and the heritage section. Editable text, images and links use database-backed settings.</w:t>
      </w:r>
    </w:p>
    <w:p>
      <w:pPr>
        <w:pStyle w:val="Normal"/>
      </w:pPr>
      <w:r>
        <w:t xml:space="preserve">Template Management includes creating, editing and deleting reusable messages, name/store placeholders, a preview, selected-customer email sending and prepared WhatsApp links. Email results and duplicate-request protection are included. Automatic WhatsApp broadcasts and WhatsApp Business API integration are excluded.</w:t>
      </w:r>
    </w:p>
    <w:p>
      <w:pPr>
        <w:pStyle w:val="Heading2"/>
      </w:pPr>
      <w:r>
        <w:t xml:space="preserve">Vercel launch preparation and handover</w:t>
      </w:r>
    </w:p>
    <w:p>
      <w:pPr>
        <w:pStyle w:val="Normal"/>
      </w:pPr>
      <w:r>
        <w:t xml:space="preserve">One production deployment and shopsudha.in DNS connection; hosted PostgreSQL connection and migrations; migration of the existing supplied upload folder to one object-storage provider; adaptation of payment maintenance to scheduled requests; environment configuration and HTTPS verification.</w:t>
      </w:r>
    </w:p>
    <w:p>
      <w:pPr>
        <w:pStyle w:val="Normal"/>
      </w:pPr>
      <w:r>
        <w:t xml:space="preserve">One transfer of the existing project database is included if requested and technically compatible. Data cleansing, reconstruction, bulk catalogue entry and importing unrelated systems are excluded. Email batches must be tested against function limits; a separate background email queue is outside this draft scope.</w:t>
      </w:r>
    </w:p>
    <w:p>
      <w:pPr>
        <w:pStyle w:val="Normal"/>
      </w:pPr>
      <w:r>
        <w:t xml:space="preserve">Deliverables: project source handover, production configuration notes without exposed secrets, the deployment guide and one remote admin handover session of up to 60 minutes. Proposed scope is limited to this existing codebase and one storefront.</w:t>
      </w:r>
    </w:p>
    <w:p>
      <w:pPr>
        <w:pStyle w:val="Heading1"/>
        <w:pageBreakBefore/>
      </w:pPr>
      <w:r>
        <w:t xml:space="preserve">Delivery and commercial terms</w:t>
      </w:r>
    </w:p>
    <w:p>
      <w:pPr>
        <w:pStyle w:val="Heading2"/>
      </w:pPr>
      <w:r>
        <w:t xml:space="preserve">Proposed payment milestones</w:t>
      </w:r>
    </w:p>
    <w:tbl>
      <w:tblPr>
        <w:tblW w:w="9360" w:type="dxa"/>
        <w:tblInd w:w="120" w:type="dxa"/>
        <w:tblLayout w:type="fixed"/>
        <w:tblBorders>
          <w:top w:val="single" w:sz="4" w:color="D0D5DD"/>
          <w:left w:val="single" w:sz="4" w:color="D0D5DD"/>
          <w:bottom w:val="single" w:sz="4" w:color="D0D5DD"/>
          <w:right w:val="single" w:sz="4" w:color="D0D5DD"/>
          <w:insideH w:val="single" w:sz="4" w:color="D0D5DD"/>
          <w:insideV w:val="single" w:sz="4" w:color="D0D5DD"/>
        </w:tblBorders>
        <w:tblCellMar>
          <w:top w:w="80" w:type="dxa"/>
          <w:bottom w:w="80" w:type="dxa"/>
          <w:start w:w="120" w:type="dxa"/>
          <w:end w:w="120" w:type="dxa"/>
        </w:tblCellMar>
      </w:tblPr>
      <w:tblGrid>
        <w:gridCol w:w="5400"/>
        <w:gridCol w:w="1440"/>
        <w:gridCol w:w="2520"/>
      </w:tblGrid>
      <w:tr>
        <w:trPr>
          <w:cantSplit/>
          <w:tblHeader/>
        </w:trPr>
        <w:tc>
          <w:tcPr>
            <w:tcW w:w="5400" w:type="dxa"/>
            <w:shd w:fill="F2F4F7"/>
          </w:tcPr>
          <w:p>
            <w:pPr>
              <w:pStyle w:val="TableText"/>
            </w:pPr>
            <w:r>
              <w:rPr>
                <w:b/>
              </w:rPr>
              <w:t>Milestone</w:t>
            </w:r>
          </w:p>
        </w:tc>
        <w:tc>
          <w:tcPr>
            <w:tcW w:w="1440" w:type="dxa"/>
            <w:shd w:fill="F2F4F7"/>
          </w:tcPr>
          <w:p>
            <w:pPr>
              <w:pStyle w:val="TableText"/>
              <w:jc w:val="right"/>
            </w:pPr>
            <w:r>
              <w:rPr>
                <w:b/>
              </w:rPr>
              <w:t>Share</w:t>
            </w:r>
          </w:p>
        </w:tc>
        <w:tc>
          <w:tcPr>
            <w:tcW w:w="2520" w:type="dxa"/>
            <w:shd w:fill="F2F4F7"/>
          </w:tcPr>
          <w:p>
            <w:pPr>
              <w:pStyle w:val="TableText"/>
              <w:jc w:val="right"/>
            </w:pPr>
            <w:r>
              <w:rPr>
                <w:b/>
              </w:rPr>
              <w:t>Amount (INR)</w:t>
            </w:r>
          </w:p>
        </w:tc>
      </w:tr>
      <w:tr>
        <w:trPr>
          <w:cantSplit/>
        </w:trPr>
        <w:tc>
          <w:tcPr>
            <w:tcW w:w="5400" w:type="dxa"/>
          </w:tcPr>
          <w:p>
            <w:pPr>
              <w:pStyle w:val="TableText"/>
            </w:pPr>
            <w:r>
              <w:rPr/>
              <w:t>Approval / commencement</w:t>
            </w:r>
          </w:p>
        </w:tc>
        <w:tc>
          <w:tcPr>
            <w:tcW w:w="1440" w:type="dxa"/>
          </w:tcPr>
          <w:p>
            <w:pPr>
              <w:pStyle w:val="TableText"/>
              <w:jc w:val="right"/>
            </w:pPr>
            <w:r>
              <w:rPr/>
              <w:t>30%</w:t>
            </w:r>
          </w:p>
        </w:tc>
        <w:tc>
          <w:tcPr>
            <w:tcW w:w="2520" w:type="dxa"/>
          </w:tcPr>
          <w:p>
            <w:pPr>
              <w:pStyle w:val="TableText"/>
              <w:jc w:val="right"/>
            </w:pPr>
            <w:r>
              <w:rPr/>
              <w:t>28,500</w:t>
            </w:r>
          </w:p>
        </w:tc>
      </w:tr>
      <w:tr>
        <w:trPr>
          <w:cantSplit/>
        </w:trPr>
        <w:tc>
          <w:tcPr>
            <w:tcW w:w="5400" w:type="dxa"/>
          </w:tcPr>
          <w:p>
            <w:pPr>
              <w:pStyle w:val="TableText"/>
            </w:pPr>
            <w:r>
              <w:rPr/>
              <w:t>Review-ready agreed scope</w:t>
            </w:r>
          </w:p>
        </w:tc>
        <w:tc>
          <w:tcPr>
            <w:tcW w:w="1440" w:type="dxa"/>
          </w:tcPr>
          <w:p>
            <w:pPr>
              <w:pStyle w:val="TableText"/>
              <w:jc w:val="right"/>
            </w:pPr>
            <w:r>
              <w:rPr/>
              <w:t>40%</w:t>
            </w:r>
          </w:p>
        </w:tc>
        <w:tc>
          <w:tcPr>
            <w:tcW w:w="2520" w:type="dxa"/>
          </w:tcPr>
          <w:p>
            <w:pPr>
              <w:pStyle w:val="TableText"/>
              <w:jc w:val="right"/>
            </w:pPr>
            <w:r>
              <w:rPr/>
              <w:t>38,000</w:t>
            </w:r>
          </w:p>
        </w:tc>
      </w:tr>
      <w:tr>
        <w:trPr>
          <w:cantSplit/>
        </w:trPr>
        <w:tc>
          <w:tcPr>
            <w:tcW w:w="5400" w:type="dxa"/>
          </w:tcPr>
          <w:p>
            <w:pPr>
              <w:pStyle w:val="TableText"/>
            </w:pPr>
            <w:r>
              <w:rPr/>
              <w:t>Production handover / acceptance</w:t>
            </w:r>
          </w:p>
        </w:tc>
        <w:tc>
          <w:tcPr>
            <w:tcW w:w="1440" w:type="dxa"/>
          </w:tcPr>
          <w:p>
            <w:pPr>
              <w:pStyle w:val="TableText"/>
              <w:jc w:val="right"/>
            </w:pPr>
            <w:r>
              <w:rPr/>
              <w:t>30%</w:t>
            </w:r>
          </w:p>
        </w:tc>
        <w:tc>
          <w:tcPr>
            <w:tcW w:w="2520" w:type="dxa"/>
          </w:tcPr>
          <w:p>
            <w:pPr>
              <w:pStyle w:val="TableText"/>
              <w:jc w:val="right"/>
            </w:pPr>
            <w:r>
              <w:rPr/>
              <w:t>28,500</w:t>
            </w:r>
          </w:p>
        </w:tc>
      </w:tr>
    </w:tbl>
    <w:p>
      <w:pPr>
        <w:pStyle w:val="Source"/>
      </w:pPr>
    </w:p>
    <w:p>
      <w:pPr>
        <w:pStyle w:val="Normal"/>
      </w:pPr>
      <w:r>
        <w:t xml:space="preserve">These milestones are proposed for the full project value. If development is already underway, the parties should agree the applicable stage and deduct any verified prior payments before issuing an invoice. This draft does not assert that any amount is already due.</w:t>
      </w:r>
    </w:p>
    <w:p>
      <w:pPr>
        <w:pStyle w:val="Heading2"/>
      </w:pPr>
      <w:r>
        <w:t xml:space="preserve">Schedule and acceptance</w:t>
      </w:r>
    </w:p>
    <w:p>
      <w:pPr>
        <w:pStyle w:val="Normal"/>
      </w:pPr>
      <w:r>
        <w:t xml:space="preserve">Estimated remaining readiness, testing and handover period: 10–15 working days after written scope approval and receipt of required accounts, content and the agreed payment. This is a planning estimate, not a confirmed delivery date; provider approvals and client feedback can affect it.</w:t>
      </w:r>
    </w:p>
    <w:p>
      <w:pPr>
        <w:pStyle w:val="Normal"/>
      </w:pPr>
      <w:r>
        <w:t xml:space="preserve">Allow five working days for client testing after the review delivery. Record acceptance in writing after the agreed scope is demonstrated and material defects are resolved. Include up to two consolidated minor revision rounds within the existing design and scope; new features or redesigns need a separate estimate.</w:t>
      </w:r>
    </w:p>
    <w:p>
      <w:pPr>
        <w:pStyle w:val="Heading2"/>
      </w:pPr>
      <w:r>
        <w:t xml:space="preserve">Support and exclusions</w:t>
      </w:r>
    </w:p>
    <w:p>
      <w:pPr>
        <w:pStyle w:val="Normal"/>
      </w:pPr>
      <w:r>
        <w:t xml:space="preserve">Include 30 calendar days of defect support from production handover for reproducible issues in the delivered scope. Ongoing maintenance, content updates, new features, provider outages and third-party policy changes are separate services.</w:t>
      </w:r>
    </w:p>
    <w:p>
      <w:pPr>
        <w:pStyle w:val="Normal"/>
      </w:pPr>
      <w:r>
        <w:t xml:space="preserve">Excluded: mobile apps; automated WhatsApp campaigns or API approval; SEO campaigns, advertising and photography; courier/ERP integrations; legal-policy drafting; unlimited data entry; recurring subscriptions and transaction fees. No sales, ranking or email-delivery guarantees are proposed.</w:t>
      </w:r>
    </w:p>
    <w:p>
      <w:pPr>
        <w:pStyle w:val="Heading2"/>
      </w:pPr>
      <w:r>
        <w:t xml:space="preserve">Client responsibilities and approval</w:t>
      </w:r>
    </w:p>
    <w:p>
      <w:pPr>
        <w:pStyle w:val="Normal"/>
      </w:pPr>
      <w:r>
        <w:t xml:space="preserve">The client supplies approved product content and policies, domain/DNS access, service accounts, payment-provider approvals and business sender details. Business subscriptions should remain client-owned. Confirm the final price, timeline and any changes in writing before this draft becomes an accepted quotation.</w:t>
      </w:r>
    </w:p>
    <w:p>
      <w:pPr>
        <w:pStyle w:val="Normal"/>
      </w:pPr>
      <w:r>
        <w:t xml:space="preserve">Client: Vishal </w:t>
      </w:r>
    </w:p>
    <w:p>
      <w:pPr>
        <w:pStyle w:val="Normal"/>
      </w:pPr>
      <w:r>
        <w:t xml:space="preserve">Developer: Chandru </w:t>
      </w:r>
    </w:p>
    <w:sectPr>
      <w:headerReference w:type="default" r:id="header"/>
      <w:footerReference w:type="default" r:id="footer"/>
      <w:pgSz w:w="12240" w:h="15840"/>
      <w:pgMar w:top="1440" w:right="1440" w:bottom="1440" w:left="1440" w:header="708" w:footer="708"/>
    </w:sectPr>
  </w:body>
</w:document>
</file>

<file path=word/footer.xml><?xml version="1.0" encoding="utf-8"?>
<w:ftr xmlns:w="http://schemas.openxmlformats.org/wordprocessingml/2006/main">
  <w:p>
    <w:pPr>
      <w:pStyle w:val="Furniture"/>
      <w:jc w:val="right"/>
    </w:pPr>
    <w:r>
      <w:t xml:space="preserve">3 October 2026 | Page </w:t>
    </w:r>
    <w:fldSimple w:instr="PAGE">
      <w:r>
        <w:t>1</w:t>
      </w:r>
    </w:fldSimple>
  </w:p>
</w:ftr>
</file>

<file path=word/header.xml><?xml version="1.0" encoding="utf-8"?>
<w:hdr xmlns:w="http://schemas.openxmlformats.org/wordprocessingml/2006/main">
  <w:p>
    <w:pPr>
      <w:pStyle w:val="Furniture"/>
    </w:pPr>
    <w:r>
      <w:t>Sudha Collections | Project quotation | Chandru to Vishal</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lvl>
  </w:abstractNum>
  <w:abstractNum w:abstractNumId="1">
    <w:multiLevelType w:val="singleLevel"/>
    <w:lvl w:ilvl="0">
      <w:start w:val="1"/>
      <w:numFmt w:val="decimal"/>
      <w:lvlText w:val="%1."/>
      <w:lvlJc w:val="left"/>
      <w:pPr>
        <w:tabs>
          <w:tab w:val="num" w:pos="720"/>
        </w:tabs>
        <w:ind w:left="720" w:hanging="360"/>
      </w:pPr>
    </w:lvl>
  </w:abstractNum>
  <w:num w:numId="1">
    <w:abstractNumId w:val="0"/>
  </w:num>
  <w:num w:numId="2">
    <w:abstractNumId w:val="1"/>
  </w:num>
  <w:num w:numId="3">
    <w:abstractNumId w:val="1"/>
  </w:num>
  <w:num w:numId="4">
    <w:abstractNumId w:val="1"/>
  </w:num>
</w:numbering>
</file>

<file path=word/styles.xml><?xml version="1.0" encoding="utf-8"?>
<w:styles xmlns:w="http://schemas.openxmlformats.org/wordprocessingml/2006/main">
  <w:style w:type="paragraph" w:styleId="Source">
    <w:name w:val="Source"/>
    <w:pPr>
      <w:spacing w:before="0" w:after="100" w:line="264" w:lineRule="auto"/>
      <w:widowControl/>
    </w:pPr>
    <w:rPr>
      <w:rFonts w:ascii="Calibri" w:hAnsi="Calibri"/>
      <w:sz w:val="18"/>
      <w:color w:val="222222"/>
    </w:rPr>
  </w:style>
  <w:style w:type="paragraph" w:styleId="Heading2">
    <w:name w:val="Heading2"/>
    <w:pPr>
      <w:spacing w:before="240" w:after="120" w:line="264" w:lineRule="auto"/>
      <w:widowControl/>
      <w:keepNext/>
      <w:keepLines/>
      <w:outlineLvl w:val="1"/>
    </w:pPr>
    <w:rPr>
      <w:rFonts w:ascii="Calibri" w:hAnsi="Calibri"/>
      <w:sz w:val="26"/>
      <w:color w:val="2E74B5"/>
      <w:b/>
    </w:rPr>
  </w:style>
  <w:style w:type="paragraph" w:styleId="Subtitle">
    <w:name w:val="Subtitle"/>
    <w:pPr>
      <w:spacing w:before="0" w:after="200" w:line="264" w:lineRule="auto"/>
      <w:widowControl/>
      <w:keepNext/>
    </w:pPr>
    <w:rPr>
      <w:rFonts w:ascii="Calibri" w:hAnsi="Calibri"/>
      <w:sz w:val="32"/>
      <w:color w:val="555555"/>
    </w:rPr>
  </w:style>
  <w:style w:type="paragraph" w:styleId="Heading1">
    <w:name w:val="Heading1"/>
    <w:pPr>
      <w:spacing w:before="320" w:after="160" w:line="264" w:lineRule="auto"/>
      <w:widowControl/>
      <w:keepNext/>
      <w:keepLines/>
      <w:outlineLvl w:val="0"/>
    </w:pPr>
    <w:rPr>
      <w:rFonts w:ascii="Calibri" w:hAnsi="Calibri"/>
      <w:sz w:val="32"/>
      <w:color w:val="2E74B5"/>
      <w:b/>
    </w:rPr>
  </w:style>
  <w:style w:type="paragraph" w:styleId="List">
    <w:name w:val="List"/>
    <w:pPr>
      <w:spacing w:before="0" w:after="160" w:line="280" w:lineRule="auto"/>
      <w:widowControl/>
    </w:pPr>
    <w:rPr>
      <w:rFonts w:ascii="Calibri" w:hAnsi="Calibri"/>
      <w:sz w:val="22"/>
      <w:color w:val="222222"/>
    </w:rPr>
  </w:style>
  <w:style w:type="paragraph" w:styleId="Furniture">
    <w:name w:val="Furniture"/>
    <w:pPr>
      <w:spacing w:before="0" w:after="0" w:line="264" w:lineRule="auto"/>
      <w:widowControl/>
    </w:pPr>
    <w:rPr>
      <w:rFonts w:ascii="Calibri" w:hAnsi="Calibri"/>
      <w:sz w:val="18"/>
      <w:color w:val="666666"/>
    </w:rPr>
  </w:style>
  <w:style w:type="paragraph" w:default="1" w:styleId="Normal">
    <w:name w:val="Normal"/>
    <w:pPr>
      <w:spacing w:before="0" w:after="120" w:line="264" w:lineRule="auto"/>
      <w:widowControl/>
    </w:pPr>
    <w:rPr>
      <w:rFonts w:ascii="Calibri" w:hAnsi="Calibri"/>
      <w:sz w:val="22"/>
      <w:color w:val="222222"/>
    </w:rPr>
  </w:style>
  <w:style w:type="paragraph" w:styleId="Code">
    <w:name w:val="Code"/>
    <w:pPr>
      <w:spacing w:before="0" w:after="0" w:line="220" w:lineRule="exact"/>
      <w:shd w:fill="F4F6F9"/>
    </w:pPr>
    <w:rPr>
      <w:rFonts w:ascii="Consolas" w:hAnsi="Consolas"/>
      <w:sz w:val="18"/>
      <w:color w:val="222222"/>
    </w:rPr>
  </w:style>
  <w:style w:type="paragraph" w:styleId="Title">
    <w:name w:val="Title"/>
    <w:pPr>
      <w:spacing w:before="0" w:after="160" w:line="264" w:lineRule="auto"/>
      <w:widowControl/>
      <w:keepNext/>
    </w:pPr>
    <w:rPr>
      <w:rFonts w:ascii="Calibri" w:hAnsi="Calibri"/>
      <w:sz w:val="56"/>
      <w:color w:val="0B2545"/>
    </w:rPr>
  </w:style>
  <w:style w:type="paragraph" w:styleId="Heading3">
    <w:name w:val="Heading3"/>
    <w:pPr>
      <w:spacing w:before="160" w:after="80" w:line="264" w:lineRule="auto"/>
      <w:widowControl/>
      <w:keepNext/>
      <w:keepLines/>
      <w:outlineLvl w:val="2"/>
    </w:pPr>
    <w:rPr>
      <w:rFonts w:ascii="Calibri" w:hAnsi="Calibri"/>
      <w:sz w:val="24"/>
      <w:color w:val="1F4D78"/>
      <w:b/>
    </w:rPr>
  </w:style>
  <w:style w:type="paragraph" w:styleId="TableText">
    <w:name w:val="Table Text"/>
    <w:pPr>
      <w:spacing w:before="0" w:after="0" w:line="264" w:lineRule="auto"/>
    </w:pPr>
    <w:rPr>
      <w:rFonts w:ascii="Calibri" w:hAnsi="Calibri"/>
      <w:sz w:val="20"/>
    </w:rPr>
  </w:style>
</w:styles>
</file>

<file path=word/_rels/document.xml.rels><Relationships xmlns="http://schemas.openxmlformats.org/package/2006/relationships"><Relationship Id="styles" Type="http://schemas.openxmlformats.org/officeDocument/2006/relationships/styles" Target="styles.xml"/><Relationship Id="numbering" Type="http://schemas.openxmlformats.org/officeDocument/2006/relationships/numbering" Target="numbering.xml"/><Relationship Id="header" Type="http://schemas.openxmlformats.org/officeDocument/2006/relationships/header" Target="header.xml"/><Relationship Id="footer" Type="http://schemas.openxmlformats.org/officeDocument/2006/relationships/footer" Target="footer.xml"/></Relationships>
</file>

<file path=docProps/core.xml><?xml version="1.0" encoding="utf-8"?>
<cp:coreProperties xmlns:cp="http://schemas.openxmlformats.org/package/2006/metadata/core-properties" xmlns:dc="http://purl.org/dc/elements/1.1/">
  <dc:title>Sudha Collections: Project Quotation - Chandru to Vishal</dc:title>
  <dc:creator>Sudha Collections</dc:creator>
</cp:coreProperties>
</file>