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b/>
          <w:color w:val="2563EB"/>
          <w:sz w:val="19"/>
        </w:rPr>
        <w:t>ENTERPRISE ARCHITECTURE &amp; IMPLEMENTATION REVIEW DOCUMENT</w:t>
        <w:br/>
      </w:r>
      <w:r>
        <w:rPr>
          <w:b/>
          <w:color w:val="0F172A"/>
          <w:sz w:val="48"/>
        </w:rPr>
        <w:t>Telecom Churn Analytics &amp; Operations System</w:t>
      </w:r>
    </w:p>
    <w:p>
      <w:pPr>
        <w:spacing w:after="320"/>
      </w:pPr>
      <w:r>
        <w:rPr>
          <w:color w:val="64748B"/>
          <w:sz w:val="24"/>
        </w:rPr>
        <w:t>End-to-End System Specifications, Lakehouse Pipelines, Relational Ingestion, ML Ensembles, Guardrailed AI Assistant, and Decision Console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484"/>
        <w:gridCol w:w="2484"/>
        <w:gridCol w:w="2484"/>
        <w:gridCol w:w="2484"/>
      </w:tblGrid>
      <w:tr>
        <w:tc>
          <w:tcPr>
            <w:tcW w:type="dxa" w:w="2484"/>
            <w:shd w:val="clear" w:color="auto" w:fill="F8FAFC"/>
            <w:tcMar>
              <w:top w:w="80" w:type="dxa"/>
              <w:bottom w:w="80" w:type="dxa"/>
              <w:left w:w="100" w:type="dxa"/>
              <w:right w:w="100" w:type="dxa"/>
            </w:tcMar>
          </w:tcPr>
          <w:p>
            <w:pPr>
              <w:spacing w:after="0"/>
            </w:pPr>
            <w:r>
              <w:rPr>
                <w:b/>
                <w:color w:val="64748B"/>
                <w:sz w:val="17"/>
              </w:rPr>
              <w:t>Document Version</w:t>
            </w:r>
          </w:p>
        </w:tc>
        <w:tc>
          <w:tcPr>
            <w:tcW w:type="dxa" w:w="2484"/>
            <w:shd w:val="clear" w:color="auto" w:fill="F8FAFC"/>
            <w:tcMar>
              <w:top w:w="80" w:type="dxa"/>
              <w:bottom w:w="80" w:type="dxa"/>
              <w:left w:w="100" w:type="dxa"/>
              <w:right w:w="100" w:type="dxa"/>
            </w:tcMar>
          </w:tcPr>
          <w:p>
            <w:pPr>
              <w:spacing w:after="0"/>
            </w:pPr>
            <w:r>
              <w:rPr>
                <w:b/>
                <w:color w:val="64748B"/>
                <w:sz w:val="17"/>
              </w:rPr>
              <w:t>Target Subscriber Volume</w:t>
            </w:r>
          </w:p>
        </w:tc>
        <w:tc>
          <w:tcPr>
            <w:tcW w:type="dxa" w:w="2484"/>
            <w:shd w:val="clear" w:color="auto" w:fill="F8FAFC"/>
            <w:tcMar>
              <w:top w:w="80" w:type="dxa"/>
              <w:bottom w:w="80" w:type="dxa"/>
              <w:left w:w="100" w:type="dxa"/>
              <w:right w:w="100" w:type="dxa"/>
            </w:tcMar>
          </w:tcPr>
          <w:p>
            <w:pPr>
              <w:spacing w:after="0"/>
            </w:pPr>
            <w:r>
              <w:rPr>
                <w:b/>
                <w:color w:val="64748B"/>
                <w:sz w:val="17"/>
              </w:rPr>
              <w:t>Status</w:t>
            </w:r>
          </w:p>
        </w:tc>
        <w:tc>
          <w:tcPr>
            <w:tcW w:type="dxa" w:w="2484"/>
            <w:shd w:val="clear" w:color="auto" w:fill="F8FAFC"/>
            <w:tcMar>
              <w:top w:w="80" w:type="dxa"/>
              <w:bottom w:w="80" w:type="dxa"/>
              <w:left w:w="100" w:type="dxa"/>
              <w:right w:w="100" w:type="dxa"/>
            </w:tcMar>
          </w:tcPr>
          <w:p>
            <w:pPr>
              <w:spacing w:after="0"/>
            </w:pPr>
            <w:r>
              <w:rPr>
                <w:b/>
                <w:color w:val="64748B"/>
                <w:sz w:val="17"/>
              </w:rPr>
              <w:t>Review Classification</w:t>
            </w:r>
          </w:p>
        </w:tc>
      </w:tr>
      <w:tr>
        <w:tc>
          <w:tcPr>
            <w:tcW w:type="dxa" w:w="2484"/>
            <w:shd w:val="clear" w:color="auto" w:fill="FFFFFF"/>
            <w:tcMar>
              <w:top w:w="80" w:type="dxa"/>
              <w:bottom w:w="80" w:type="dxa"/>
              <w:left w:w="100" w:type="dxa"/>
              <w:right w:w="100" w:type="dxa"/>
            </w:tcMar>
          </w:tcPr>
          <w:p>
            <w:pPr>
              <w:spacing w:after="0"/>
            </w:pPr>
            <w:r>
              <w:rPr>
                <w:b/>
                <w:color w:val="0F172A"/>
                <w:sz w:val="19"/>
              </w:rPr>
              <w:t>2.4.0-PROD-SPEC</w:t>
            </w:r>
          </w:p>
        </w:tc>
        <w:tc>
          <w:tcPr>
            <w:tcW w:type="dxa" w:w="2484"/>
            <w:shd w:val="clear" w:color="auto" w:fill="FFFFFF"/>
            <w:tcMar>
              <w:top w:w="80" w:type="dxa"/>
              <w:bottom w:w="80" w:type="dxa"/>
              <w:left w:w="100" w:type="dxa"/>
              <w:right w:w="100" w:type="dxa"/>
            </w:tcMar>
          </w:tcPr>
          <w:p>
            <w:pPr>
              <w:spacing w:after="0"/>
            </w:pPr>
            <w:r>
              <w:rPr>
                <w:b/>
                <w:color w:val="0F172A"/>
                <w:sz w:val="19"/>
              </w:rPr>
              <w:t>243,553 Active Subscribers</w:t>
            </w:r>
          </w:p>
        </w:tc>
        <w:tc>
          <w:tcPr>
            <w:tcW w:type="dxa" w:w="2484"/>
            <w:shd w:val="clear" w:color="auto" w:fill="FFFFFF"/>
            <w:tcMar>
              <w:top w:w="80" w:type="dxa"/>
              <w:bottom w:w="80" w:type="dxa"/>
              <w:left w:w="100" w:type="dxa"/>
              <w:right w:w="100" w:type="dxa"/>
            </w:tcMar>
          </w:tcPr>
          <w:p>
            <w:pPr>
              <w:spacing w:after="0"/>
            </w:pPr>
            <w:r>
              <w:rPr>
                <w:b/>
                <w:color w:val="0F172A"/>
                <w:sz w:val="19"/>
              </w:rPr>
              <w:t>Peer-Review Ready</w:t>
            </w:r>
          </w:p>
        </w:tc>
        <w:tc>
          <w:tcPr>
            <w:tcW w:type="dxa" w:w="2484"/>
            <w:shd w:val="clear" w:color="auto" w:fill="FFFFFF"/>
            <w:tcMar>
              <w:top w:w="80" w:type="dxa"/>
              <w:bottom w:w="80" w:type="dxa"/>
              <w:left w:w="100" w:type="dxa"/>
              <w:right w:w="100" w:type="dxa"/>
            </w:tcMar>
          </w:tcPr>
          <w:p>
            <w:pPr>
              <w:spacing w:after="0"/>
            </w:pPr>
            <w:r>
              <w:rPr>
                <w:b/>
                <w:color w:val="0F172A"/>
                <w:sz w:val="19"/>
              </w:rPr>
              <w:t>Architecture &amp; Technical Review</w:t>
            </w:r>
          </w:p>
        </w:tc>
      </w:tr>
    </w:tbl>
    <w:p>
      <w:pPr>
        <w:spacing w:after="240"/>
      </w:pPr>
    </w:p>
    <w:p>
      <w:pPr>
        <w:keepNext/>
        <w:spacing w:before="360" w:after="120"/>
      </w:pPr>
      <w:r>
        <w:rPr>
          <w:b/>
          <w:color w:val="1E3A8A"/>
          <w:sz w:val="32"/>
        </w:rPr>
        <w:t>1. Executive Architecture &amp; Global Topology</w:t>
      </w:r>
    </w:p>
    <w:p>
      <w:pPr>
        <w:spacing w:after="80" w:line="288" w:lineRule="auto"/>
      </w:pPr>
      <w:r>
        <w:t>The CoWork Telecom Churn Analytics &amp; Operations System is engineered to process, model, and operationalize high-volume subscriber telemetry across distributed lakehouse environments, transactional relational stores, and real-time analytical services. The architecture decouples data ingestion throughput, analytical read latency, and inference workloads across dedicated execution tiers.</w:t>
      </w:r>
    </w:p>
    <w:tbl>
      <w:tblPr>
        <w:tblW w:type="auto" w:w="0"/>
        <w:jc w:val="center"/>
        <w:tblLook w:firstColumn="1" w:firstRow="1" w:lastColumn="0" w:lastRow="0" w:noHBand="0" w:noVBand="1" w:val="04A0"/>
        <w:tblBorders>
          <w:top w:val="single" w:sz="8" w:space="0" w:color="93C5FD"/>
          <w:left w:val="single" w:sz="8" w:space="0" w:color="93C5FD"/>
          <w:bottom w:val="single" w:sz="8" w:space="0" w:color="93C5FD"/>
          <w:right w:val="single" w:sz="8" w:space="0" w:color="93C5FD"/>
          <w:insideH w:val="single" w:sz="8" w:space="0" w:color="93C5FD"/>
          <w:insideV w:val="single" w:sz="8" w:space="0" w:color="93C5FD"/>
        </w:tblBorders>
      </w:tblPr>
      <w:tblGrid>
        <w:gridCol w:w="9936"/>
      </w:tblGrid>
      <w:tr>
        <w:tc>
          <w:tcPr>
            <w:tcW w:type="dxa" w:w="9936"/>
            <w:shd w:val="clear" w:color="auto" w:fill="EFF6FF"/>
            <w:tcMar>
              <w:top w:w="120" w:type="dxa"/>
              <w:bottom w:w="120" w:type="dxa"/>
              <w:left w:w="180" w:type="dxa"/>
              <w:right w:w="140" w:type="dxa"/>
            </w:tcMar>
          </w:tcPr>
          <w:p>
            <w:pPr>
              <w:spacing w:after="0"/>
            </w:pPr>
            <w:r>
              <w:rPr>
                <w:b/>
                <w:color w:val="2563EB"/>
                <w:sz w:val="19"/>
              </w:rPr>
              <w:t xml:space="preserve">SYSTEM SCOPE: </w:t>
            </w:r>
            <w:r>
              <w:rPr>
                <w:color w:val="1F2937"/>
                <w:sz w:val="19"/>
              </w:rPr>
              <w:t>The system processes over 240,000 subscriber records, supporting sub-second analytical queries, deterministic heuristic risk classifications, probabilistic 3-model ensemble inference, and an auditable operational AI assistant strictly bounded by non-negotiable verification guardrails.</w:t>
            </w:r>
          </w:p>
        </w:tc>
      </w:tr>
    </w:tbl>
    <w:p>
      <w:pPr>
        <w:spacing w:after="80"/>
      </w:pPr>
    </w:p>
    <w:p>
      <w:pPr>
        <w:keepNext/>
        <w:spacing w:before="280" w:after="80"/>
      </w:pPr>
      <w:r>
        <w:rPr>
          <w:b/>
          <w:color w:val="2563EB"/>
          <w:sz w:val="26"/>
        </w:rPr>
        <w:t>1.1 Technology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016"/>
            <w:shd w:val="clear" w:color="auto" w:fill="1E3A8A"/>
            <w:tcMar>
              <w:top w:w="100" w:type="dxa"/>
              <w:bottom w:w="100" w:type="dxa"/>
              <w:left w:w="120" w:type="dxa"/>
              <w:right w:w="120" w:type="dxa"/>
            </w:tcMar>
          </w:tcPr>
          <w:p>
            <w:pPr>
              <w:spacing w:after="0"/>
            </w:pPr>
            <w:r>
              <w:rPr>
                <w:b/>
                <w:color w:val="FFFFFF"/>
                <w:sz w:val="18"/>
              </w:rPr>
              <w:t>Layer</w:t>
            </w:r>
          </w:p>
        </w:tc>
        <w:tc>
          <w:tcPr>
            <w:tcW w:type="dxa" w:w="2592"/>
            <w:shd w:val="clear" w:color="auto" w:fill="1E3A8A"/>
            <w:tcMar>
              <w:top w:w="100" w:type="dxa"/>
              <w:bottom w:w="100" w:type="dxa"/>
              <w:left w:w="120" w:type="dxa"/>
              <w:right w:w="120" w:type="dxa"/>
            </w:tcMar>
          </w:tcPr>
          <w:p>
            <w:pPr>
              <w:spacing w:after="0"/>
            </w:pPr>
            <w:r>
              <w:rPr>
                <w:b/>
                <w:color w:val="FFFFFF"/>
                <w:sz w:val="18"/>
              </w:rPr>
              <w:t>Technology Stack</w:t>
            </w:r>
          </w:p>
        </w:tc>
        <w:tc>
          <w:tcPr>
            <w:tcW w:type="dxa" w:w="2592"/>
            <w:shd w:val="clear" w:color="auto" w:fill="1E3A8A"/>
            <w:tcMar>
              <w:top w:w="100" w:type="dxa"/>
              <w:bottom w:w="100" w:type="dxa"/>
              <w:left w:w="120" w:type="dxa"/>
              <w:right w:w="120" w:type="dxa"/>
            </w:tcMar>
          </w:tcPr>
          <w:p>
            <w:pPr>
              <w:spacing w:after="0"/>
            </w:pPr>
            <w:r>
              <w:rPr>
                <w:b/>
                <w:color w:val="FFFFFF"/>
                <w:sz w:val="18"/>
              </w:rPr>
              <w:t>Version / Specification</w:t>
            </w:r>
          </w:p>
        </w:tc>
        <w:tc>
          <w:tcPr>
            <w:tcW w:type="dxa" w:w="3168"/>
            <w:shd w:val="clear" w:color="auto" w:fill="1E3A8A"/>
            <w:tcMar>
              <w:top w:w="100" w:type="dxa"/>
              <w:bottom w:w="100" w:type="dxa"/>
              <w:left w:w="120" w:type="dxa"/>
              <w:right w:w="120" w:type="dxa"/>
            </w:tcMar>
          </w:tcPr>
          <w:p>
            <w:pPr>
              <w:spacing w:after="0"/>
            </w:pPr>
            <w:r>
              <w:rPr>
                <w:b/>
                <w:color w:val="FFFFFF"/>
                <w:sz w:val="18"/>
              </w:rPr>
              <w:t>Primary Responsibility</w:t>
            </w:r>
          </w:p>
        </w:tc>
      </w:tr>
      <w:tr>
        <w:tc>
          <w:tcPr>
            <w:tcW w:type="dxa" w:w="2016"/>
            <w:shd w:val="clear" w:color="auto" w:fill="FFFFFF"/>
            <w:tcMar>
              <w:top w:w="80" w:type="dxa"/>
              <w:bottom w:w="80" w:type="dxa"/>
              <w:left w:w="120" w:type="dxa"/>
              <w:right w:w="120" w:type="dxa"/>
            </w:tcMar>
          </w:tcPr>
          <w:p>
            <w:pPr>
              <w:spacing w:after="0"/>
            </w:pPr>
            <w:r>
              <w:rPr>
                <w:color w:val="1F2937"/>
                <w:sz w:val="18"/>
              </w:rPr>
              <w:t>Lakehouse Engine</w:t>
            </w:r>
          </w:p>
        </w:tc>
        <w:tc>
          <w:tcPr>
            <w:tcW w:type="dxa" w:w="2592"/>
            <w:shd w:val="clear" w:color="auto" w:fill="FFFFFF"/>
            <w:tcMar>
              <w:top w:w="80" w:type="dxa"/>
              <w:bottom w:w="80" w:type="dxa"/>
              <w:left w:w="120" w:type="dxa"/>
              <w:right w:w="120" w:type="dxa"/>
            </w:tcMar>
          </w:tcPr>
          <w:p>
            <w:pPr>
              <w:spacing w:after="0"/>
            </w:pPr>
            <w:r>
              <w:rPr>
                <w:color w:val="1F2937"/>
                <w:sz w:val="18"/>
              </w:rPr>
              <w:t>Apache Spark, PySpark, Hadoop WinUtils</w:t>
            </w:r>
          </w:p>
        </w:tc>
        <w:tc>
          <w:tcPr>
            <w:tcW w:type="dxa" w:w="2592"/>
            <w:shd w:val="clear" w:color="auto" w:fill="FFFFFF"/>
            <w:tcMar>
              <w:top w:w="80" w:type="dxa"/>
              <w:bottom w:w="80" w:type="dxa"/>
              <w:left w:w="120" w:type="dxa"/>
              <w:right w:w="120" w:type="dxa"/>
            </w:tcMar>
          </w:tcPr>
          <w:p>
            <w:pPr>
              <w:spacing w:after="0"/>
            </w:pPr>
            <w:r>
              <w:rPr>
                <w:color w:val="1F2937"/>
                <w:sz w:val="18"/>
              </w:rPr>
              <w:t>Python 3.14, Spark 3.x, Parquet Snappy</w:t>
            </w:r>
          </w:p>
        </w:tc>
        <w:tc>
          <w:tcPr>
            <w:tcW w:type="dxa" w:w="3168"/>
            <w:shd w:val="clear" w:color="auto" w:fill="FFFFFF"/>
            <w:tcMar>
              <w:top w:w="80" w:type="dxa"/>
              <w:bottom w:w="80" w:type="dxa"/>
              <w:left w:w="120" w:type="dxa"/>
              <w:right w:w="120" w:type="dxa"/>
            </w:tcMar>
          </w:tcPr>
          <w:p>
            <w:pPr>
              <w:spacing w:after="0"/>
            </w:pPr>
            <w:r>
              <w:rPr>
                <w:color w:val="1F2937"/>
                <w:sz w:val="18"/>
              </w:rPr>
              <w:t>Distributed ETL, schema validation, data quality assertion, dimensional modeling.</w:t>
            </w:r>
          </w:p>
        </w:tc>
      </w:tr>
      <w:tr>
        <w:tc>
          <w:tcPr>
            <w:tcW w:type="dxa" w:w="2016"/>
            <w:shd w:val="clear" w:color="auto" w:fill="F1F5F9"/>
            <w:tcMar>
              <w:top w:w="80" w:type="dxa"/>
              <w:bottom w:w="80" w:type="dxa"/>
              <w:left w:w="120" w:type="dxa"/>
              <w:right w:w="120" w:type="dxa"/>
            </w:tcMar>
          </w:tcPr>
          <w:p>
            <w:pPr>
              <w:spacing w:after="0"/>
            </w:pPr>
            <w:r>
              <w:rPr>
                <w:color w:val="1F2937"/>
                <w:sz w:val="18"/>
              </w:rPr>
              <w:t>Relational Storage</w:t>
            </w:r>
          </w:p>
        </w:tc>
        <w:tc>
          <w:tcPr>
            <w:tcW w:type="dxa" w:w="2592"/>
            <w:shd w:val="clear" w:color="auto" w:fill="F1F5F9"/>
            <w:tcMar>
              <w:top w:w="80" w:type="dxa"/>
              <w:bottom w:w="80" w:type="dxa"/>
              <w:left w:w="120" w:type="dxa"/>
              <w:right w:w="120" w:type="dxa"/>
            </w:tcMar>
          </w:tcPr>
          <w:p>
            <w:pPr>
              <w:spacing w:after="0"/>
            </w:pPr>
            <w:r>
              <w:rPr>
                <w:color w:val="1F2937"/>
                <w:sz w:val="18"/>
              </w:rPr>
              <w:t>MySQL Community Server, SQLAlchemy ORM</w:t>
            </w:r>
          </w:p>
        </w:tc>
        <w:tc>
          <w:tcPr>
            <w:tcW w:type="dxa" w:w="2592"/>
            <w:shd w:val="clear" w:color="auto" w:fill="F1F5F9"/>
            <w:tcMar>
              <w:top w:w="80" w:type="dxa"/>
              <w:bottom w:w="80" w:type="dxa"/>
              <w:left w:w="120" w:type="dxa"/>
              <w:right w:w="120" w:type="dxa"/>
            </w:tcMar>
          </w:tcPr>
          <w:p>
            <w:pPr>
              <w:spacing w:after="0"/>
            </w:pPr>
            <w:r>
              <w:rPr>
                <w:color w:val="1F2937"/>
                <w:sz w:val="18"/>
              </w:rPr>
              <w:t>MySQL 8.0, InnoDB Storage Engine</w:t>
            </w:r>
          </w:p>
        </w:tc>
        <w:tc>
          <w:tcPr>
            <w:tcW w:type="dxa" w:w="3168"/>
            <w:shd w:val="clear" w:color="auto" w:fill="F1F5F9"/>
            <w:tcMar>
              <w:top w:w="80" w:type="dxa"/>
              <w:bottom w:w="80" w:type="dxa"/>
              <w:left w:w="120" w:type="dxa"/>
              <w:right w:w="120" w:type="dxa"/>
            </w:tcMar>
          </w:tcPr>
          <w:p>
            <w:pPr>
              <w:spacing w:after="0"/>
            </w:pPr>
            <w:r>
              <w:rPr>
                <w:color w:val="1F2937"/>
                <w:sz w:val="18"/>
              </w:rPr>
              <w:t>3NF normalized persistence, referential integrity, B-Tree indexed analytical queries.</w:t>
            </w:r>
          </w:p>
        </w:tc>
      </w:tr>
      <w:tr>
        <w:tc>
          <w:tcPr>
            <w:tcW w:type="dxa" w:w="2016"/>
            <w:shd w:val="clear" w:color="auto" w:fill="FFFFFF"/>
            <w:tcMar>
              <w:top w:w="80" w:type="dxa"/>
              <w:bottom w:w="80" w:type="dxa"/>
              <w:left w:w="120" w:type="dxa"/>
              <w:right w:w="120" w:type="dxa"/>
            </w:tcMar>
          </w:tcPr>
          <w:p>
            <w:pPr>
              <w:spacing w:after="0"/>
            </w:pPr>
            <w:r>
              <w:rPr>
                <w:color w:val="1F2937"/>
                <w:sz w:val="18"/>
              </w:rPr>
              <w:t>Ingestion Engine</w:t>
            </w:r>
          </w:p>
        </w:tc>
        <w:tc>
          <w:tcPr>
            <w:tcW w:type="dxa" w:w="2592"/>
            <w:shd w:val="clear" w:color="auto" w:fill="FFFFFF"/>
            <w:tcMar>
              <w:top w:w="80" w:type="dxa"/>
              <w:bottom w:w="80" w:type="dxa"/>
              <w:left w:w="120" w:type="dxa"/>
              <w:right w:w="120" w:type="dxa"/>
            </w:tcMar>
          </w:tcPr>
          <w:p>
            <w:pPr>
              <w:spacing w:after="0"/>
            </w:pPr>
            <w:r>
              <w:rPr>
                <w:color w:val="1F2937"/>
                <w:sz w:val="18"/>
              </w:rPr>
              <w:t>Python Multiprocessing, SQLAlchemy Core</w:t>
            </w:r>
          </w:p>
        </w:tc>
        <w:tc>
          <w:tcPr>
            <w:tcW w:type="dxa" w:w="2592"/>
            <w:shd w:val="clear" w:color="auto" w:fill="FFFFFF"/>
            <w:tcMar>
              <w:top w:w="80" w:type="dxa"/>
              <w:bottom w:w="80" w:type="dxa"/>
              <w:left w:w="120" w:type="dxa"/>
              <w:right w:w="120" w:type="dxa"/>
            </w:tcMar>
          </w:tcPr>
          <w:p>
            <w:pPr>
              <w:spacing w:after="0"/>
            </w:pPr>
            <w:r>
              <w:rPr>
                <w:color w:val="1F2937"/>
                <w:sz w:val="18"/>
              </w:rPr>
              <w:t>CPython 3.14, Multi-Core Process Pool</w:t>
            </w:r>
          </w:p>
        </w:tc>
        <w:tc>
          <w:tcPr>
            <w:tcW w:type="dxa" w:w="3168"/>
            <w:shd w:val="clear" w:color="auto" w:fill="FFFFFF"/>
            <w:tcMar>
              <w:top w:w="80" w:type="dxa"/>
              <w:bottom w:w="80" w:type="dxa"/>
              <w:left w:w="120" w:type="dxa"/>
              <w:right w:w="120" w:type="dxa"/>
            </w:tcMar>
          </w:tcPr>
          <w:p>
            <w:pPr>
              <w:spacing w:after="0"/>
            </w:pPr>
            <w:r>
              <w:rPr>
                <w:color w:val="1F2937"/>
                <w:sz w:val="18"/>
              </w:rPr>
              <w:t>Parent-first atomic loading, parallel chunking, insertion-time risk calculation.</w:t>
            </w:r>
          </w:p>
        </w:tc>
      </w:tr>
      <w:tr>
        <w:tc>
          <w:tcPr>
            <w:tcW w:type="dxa" w:w="2016"/>
            <w:shd w:val="clear" w:color="auto" w:fill="F1F5F9"/>
            <w:tcMar>
              <w:top w:w="80" w:type="dxa"/>
              <w:bottom w:w="80" w:type="dxa"/>
              <w:left w:w="120" w:type="dxa"/>
              <w:right w:w="120" w:type="dxa"/>
            </w:tcMar>
          </w:tcPr>
          <w:p>
            <w:pPr>
              <w:spacing w:after="0"/>
            </w:pPr>
            <w:r>
              <w:rPr>
                <w:color w:val="1F2937"/>
                <w:sz w:val="18"/>
              </w:rPr>
              <w:t>Serving API</w:t>
            </w:r>
          </w:p>
        </w:tc>
        <w:tc>
          <w:tcPr>
            <w:tcW w:type="dxa" w:w="2592"/>
            <w:shd w:val="clear" w:color="auto" w:fill="F1F5F9"/>
            <w:tcMar>
              <w:top w:w="80" w:type="dxa"/>
              <w:bottom w:w="80" w:type="dxa"/>
              <w:left w:w="120" w:type="dxa"/>
              <w:right w:w="120" w:type="dxa"/>
            </w:tcMar>
          </w:tcPr>
          <w:p>
            <w:pPr>
              <w:spacing w:after="0"/>
            </w:pPr>
            <w:r>
              <w:rPr>
                <w:color w:val="1F2937"/>
                <w:sz w:val="18"/>
              </w:rPr>
              <w:t>FastAPI, Uvicorn, Pydantic v2</w:t>
            </w:r>
          </w:p>
        </w:tc>
        <w:tc>
          <w:tcPr>
            <w:tcW w:type="dxa" w:w="2592"/>
            <w:shd w:val="clear" w:color="auto" w:fill="F1F5F9"/>
            <w:tcMar>
              <w:top w:w="80" w:type="dxa"/>
              <w:bottom w:w="80" w:type="dxa"/>
              <w:left w:w="120" w:type="dxa"/>
              <w:right w:w="120" w:type="dxa"/>
            </w:tcMar>
          </w:tcPr>
          <w:p>
            <w:pPr>
              <w:spacing w:after="0"/>
            </w:pPr>
            <w:r>
              <w:rPr>
                <w:color w:val="1F2937"/>
                <w:sz w:val="18"/>
              </w:rPr>
              <w:t>ASGI, Python asyncio, Pydantic Type Engine</w:t>
            </w:r>
          </w:p>
        </w:tc>
        <w:tc>
          <w:tcPr>
            <w:tcW w:type="dxa" w:w="3168"/>
            <w:shd w:val="clear" w:color="auto" w:fill="F1F5F9"/>
            <w:tcMar>
              <w:top w:w="80" w:type="dxa"/>
              <w:bottom w:w="80" w:type="dxa"/>
              <w:left w:w="120" w:type="dxa"/>
              <w:right w:w="120" w:type="dxa"/>
            </w:tcMar>
          </w:tcPr>
          <w:p>
            <w:pPr>
              <w:spacing w:after="0"/>
            </w:pPr>
            <w:r>
              <w:rPr>
                <w:color w:val="1F2937"/>
                <w:sz w:val="18"/>
              </w:rPr>
              <w:t>OAuth2 authenticated RESTful endpoints, dynamic query compilation, CORS handling.</w:t>
            </w:r>
          </w:p>
        </w:tc>
      </w:tr>
      <w:tr>
        <w:tc>
          <w:tcPr>
            <w:tcW w:type="dxa" w:w="2016"/>
            <w:shd w:val="clear" w:color="auto" w:fill="FFFFFF"/>
            <w:tcMar>
              <w:top w:w="80" w:type="dxa"/>
              <w:bottom w:w="80" w:type="dxa"/>
              <w:left w:w="120" w:type="dxa"/>
              <w:right w:w="120" w:type="dxa"/>
            </w:tcMar>
          </w:tcPr>
          <w:p>
            <w:pPr>
              <w:spacing w:after="0"/>
            </w:pPr>
            <w:r>
              <w:rPr>
                <w:color w:val="1F2937"/>
                <w:sz w:val="18"/>
              </w:rPr>
              <w:t>Machine Learning</w:t>
            </w:r>
          </w:p>
        </w:tc>
        <w:tc>
          <w:tcPr>
            <w:tcW w:type="dxa" w:w="2592"/>
            <w:shd w:val="clear" w:color="auto" w:fill="FFFFFF"/>
            <w:tcMar>
              <w:top w:w="80" w:type="dxa"/>
              <w:bottom w:w="80" w:type="dxa"/>
              <w:left w:w="120" w:type="dxa"/>
              <w:right w:w="120" w:type="dxa"/>
            </w:tcMar>
          </w:tcPr>
          <w:p>
            <w:pPr>
              <w:spacing w:after="0"/>
            </w:pPr>
            <w:r>
              <w:rPr>
                <w:color w:val="1F2937"/>
                <w:sz w:val="18"/>
              </w:rPr>
              <w:t>Scikit-Learn, XGBoost, Joblib</w:t>
            </w:r>
          </w:p>
        </w:tc>
        <w:tc>
          <w:tcPr>
            <w:tcW w:type="dxa" w:w="2592"/>
            <w:shd w:val="clear" w:color="auto" w:fill="FFFFFF"/>
            <w:tcMar>
              <w:top w:w="80" w:type="dxa"/>
              <w:bottom w:w="80" w:type="dxa"/>
              <w:left w:w="120" w:type="dxa"/>
              <w:right w:w="120" w:type="dxa"/>
            </w:tcMar>
          </w:tcPr>
          <w:p>
            <w:pPr>
              <w:spacing w:after="0"/>
            </w:pPr>
            <w:r>
              <w:rPr>
                <w:color w:val="1F2937"/>
                <w:sz w:val="18"/>
              </w:rPr>
              <w:t>Logistic Regression, Random Forest, XGBoost</w:t>
            </w:r>
          </w:p>
        </w:tc>
        <w:tc>
          <w:tcPr>
            <w:tcW w:type="dxa" w:w="3168"/>
            <w:shd w:val="clear" w:color="auto" w:fill="FFFFFF"/>
            <w:tcMar>
              <w:top w:w="80" w:type="dxa"/>
              <w:bottom w:w="80" w:type="dxa"/>
              <w:left w:w="120" w:type="dxa"/>
              <w:right w:w="120" w:type="dxa"/>
            </w:tcMar>
          </w:tcPr>
          <w:p>
            <w:pPr>
              <w:spacing w:after="0"/>
            </w:pPr>
            <w:r>
              <w:rPr>
                <w:color w:val="1F2937"/>
                <w:sz w:val="18"/>
              </w:rPr>
              <w:t>3-model majority-vote ensemble inference, standard scaling, feature encoding.</w:t>
            </w:r>
          </w:p>
        </w:tc>
      </w:tr>
      <w:tr>
        <w:tc>
          <w:tcPr>
            <w:tcW w:type="dxa" w:w="2016"/>
            <w:shd w:val="clear" w:color="auto" w:fill="F1F5F9"/>
            <w:tcMar>
              <w:top w:w="80" w:type="dxa"/>
              <w:bottom w:w="80" w:type="dxa"/>
              <w:left w:w="120" w:type="dxa"/>
              <w:right w:w="120" w:type="dxa"/>
            </w:tcMar>
          </w:tcPr>
          <w:p>
            <w:pPr>
              <w:spacing w:after="0"/>
            </w:pPr>
            <w:r>
              <w:rPr>
                <w:color w:val="1F2937"/>
                <w:sz w:val="18"/>
              </w:rPr>
              <w:t>AI Assistant</w:t>
            </w:r>
          </w:p>
        </w:tc>
        <w:tc>
          <w:tcPr>
            <w:tcW w:type="dxa" w:w="2592"/>
            <w:shd w:val="clear" w:color="auto" w:fill="F1F5F9"/>
            <w:tcMar>
              <w:top w:w="80" w:type="dxa"/>
              <w:bottom w:w="80" w:type="dxa"/>
              <w:left w:w="120" w:type="dxa"/>
              <w:right w:w="120" w:type="dxa"/>
            </w:tcMar>
          </w:tcPr>
          <w:p>
            <w:pPr>
              <w:spacing w:after="0"/>
            </w:pPr>
            <w:r>
              <w:rPr>
                <w:color w:val="1F2937"/>
                <w:sz w:val="18"/>
              </w:rPr>
              <w:t>Anthropic Claude API / Rule-Engine Fallback</w:t>
            </w:r>
          </w:p>
        </w:tc>
        <w:tc>
          <w:tcPr>
            <w:tcW w:type="dxa" w:w="2592"/>
            <w:shd w:val="clear" w:color="auto" w:fill="F1F5F9"/>
            <w:tcMar>
              <w:top w:w="80" w:type="dxa"/>
              <w:bottom w:w="80" w:type="dxa"/>
              <w:left w:w="120" w:type="dxa"/>
              <w:right w:w="120" w:type="dxa"/>
            </w:tcMar>
          </w:tcPr>
          <w:p>
            <w:pPr>
              <w:spacing w:after="0"/>
            </w:pPr>
            <w:r>
              <w:rPr>
                <w:color w:val="1F2937"/>
                <w:sz w:val="18"/>
              </w:rPr>
              <w:t>Tool-use JSON protocol, sliding turn memory</w:t>
            </w:r>
          </w:p>
        </w:tc>
        <w:tc>
          <w:tcPr>
            <w:tcW w:type="dxa" w:w="3168"/>
            <w:shd w:val="clear" w:color="auto" w:fill="F1F5F9"/>
            <w:tcMar>
              <w:top w:w="80" w:type="dxa"/>
              <w:bottom w:w="80" w:type="dxa"/>
              <w:left w:w="120" w:type="dxa"/>
              <w:right w:w="120" w:type="dxa"/>
            </w:tcMar>
          </w:tcPr>
          <w:p>
            <w:pPr>
              <w:spacing w:after="0"/>
            </w:pPr>
            <w:r>
              <w:rPr>
                <w:color w:val="1F2937"/>
                <w:sz w:val="18"/>
              </w:rPr>
              <w:t>Operational data retrieval, KPI explanation, 3-point non-negotiable guardrails.</w:t>
            </w:r>
          </w:p>
        </w:tc>
      </w:tr>
      <w:tr>
        <w:tc>
          <w:tcPr>
            <w:tcW w:type="dxa" w:w="2016"/>
            <w:shd w:val="clear" w:color="auto" w:fill="FFFFFF"/>
            <w:tcMar>
              <w:top w:w="80" w:type="dxa"/>
              <w:bottom w:w="80" w:type="dxa"/>
              <w:left w:w="120" w:type="dxa"/>
              <w:right w:w="120" w:type="dxa"/>
            </w:tcMar>
          </w:tcPr>
          <w:p>
            <w:pPr>
              <w:spacing w:after="0"/>
            </w:pPr>
            <w:r>
              <w:rPr>
                <w:color w:val="1F2937"/>
                <w:sz w:val="18"/>
              </w:rPr>
              <w:t>Frontend Console</w:t>
            </w:r>
          </w:p>
        </w:tc>
        <w:tc>
          <w:tcPr>
            <w:tcW w:type="dxa" w:w="2592"/>
            <w:shd w:val="clear" w:color="auto" w:fill="FFFFFF"/>
            <w:tcMar>
              <w:top w:w="80" w:type="dxa"/>
              <w:bottom w:w="80" w:type="dxa"/>
              <w:left w:w="120" w:type="dxa"/>
              <w:right w:w="120" w:type="dxa"/>
            </w:tcMar>
          </w:tcPr>
          <w:p>
            <w:pPr>
              <w:spacing w:after="0"/>
            </w:pPr>
            <w:r>
              <w:rPr>
                <w:color w:val="1F2937"/>
                <w:sz w:val="18"/>
              </w:rPr>
              <w:t>React 18, Vite, Lucide Icons, Pure CSS</w:t>
            </w:r>
          </w:p>
        </w:tc>
        <w:tc>
          <w:tcPr>
            <w:tcW w:type="dxa" w:w="2592"/>
            <w:shd w:val="clear" w:color="auto" w:fill="FFFFFF"/>
            <w:tcMar>
              <w:top w:w="80" w:type="dxa"/>
              <w:bottom w:w="80" w:type="dxa"/>
              <w:left w:w="120" w:type="dxa"/>
              <w:right w:w="120" w:type="dxa"/>
            </w:tcMar>
          </w:tcPr>
          <w:p>
            <w:pPr>
              <w:spacing w:after="0"/>
            </w:pPr>
            <w:r>
              <w:rPr>
                <w:color w:val="1F2937"/>
                <w:sz w:val="18"/>
              </w:rPr>
              <w:t>ES Modules, Custom Reactive Hooks</w:t>
            </w:r>
          </w:p>
        </w:tc>
        <w:tc>
          <w:tcPr>
            <w:tcW w:type="dxa" w:w="3168"/>
            <w:shd w:val="clear" w:color="auto" w:fill="FFFFFF"/>
            <w:tcMar>
              <w:top w:w="80" w:type="dxa"/>
              <w:bottom w:w="80" w:type="dxa"/>
              <w:left w:w="120" w:type="dxa"/>
              <w:right w:w="120" w:type="dxa"/>
            </w:tcMar>
          </w:tcPr>
          <w:p>
            <w:pPr>
              <w:spacing w:after="0"/>
            </w:pPr>
            <w:r>
              <w:rPr>
                <w:color w:val="1F2937"/>
                <w:sz w:val="18"/>
              </w:rPr>
              <w:t>High-density operations dashboard, real-time filtering, parameter sandbox.</w:t>
            </w:r>
          </w:p>
        </w:tc>
      </w:tr>
    </w:tbl>
    <w:p>
      <w:pPr>
        <w:spacing w:after="80"/>
      </w:pPr>
    </w:p>
    <w:p>
      <w:pPr>
        <w:keepNext/>
        <w:spacing w:before="360" w:after="120"/>
      </w:pPr>
      <w:r>
        <w:rPr>
          <w:b/>
          <w:color w:val="1E3A8A"/>
          <w:sz w:val="32"/>
        </w:rPr>
        <w:t>2. Distributed Data Lakehouse Pipeline (Phase 5)</w:t>
      </w:r>
    </w:p>
    <w:p>
      <w:pPr>
        <w:spacing w:after="80" w:line="288" w:lineRule="auto"/>
      </w:pPr>
      <w:r>
        <w:t>The lakehouse pipeline implements the Medallion architecture using Apache Spark to isolate raw ingestion from downstream analytical and modeling consumers. Incoming batch extracts from CRM sources transition through four progressive storage layers, each applying strict validation gates.</w:t>
      </w:r>
    </w:p>
    <w:p>
      <w:pPr>
        <w:pStyle w:val="ListBullet"/>
        <w:spacing w:after="60" w:line="276" w:lineRule="auto"/>
      </w:pPr>
      <w:r>
        <w:rPr>
          <w:b/>
          <w:color w:val="0F172A"/>
        </w:rPr>
        <w:t xml:space="preserve">Zone 1: </w:t>
      </w:r>
      <w:r>
        <w:t>Landing Zone (data/landing/): Ingests arbitrary raw CSV extracts directly from CRM source systems.</w:t>
      </w:r>
    </w:p>
    <w:p>
      <w:pPr>
        <w:pStyle w:val="ListBullet"/>
        <w:spacing w:after="60" w:line="276" w:lineRule="auto"/>
      </w:pPr>
      <w:r>
        <w:rPr>
          <w:b/>
          <w:color w:val="0F172A"/>
        </w:rPr>
        <w:t xml:space="preserve">Zone 2: </w:t>
      </w:r>
      <w:r>
        <w:t>Staging Zone (data/staging/): Verifies schema compliance against a mandatory 14-column contract and serializes valid records into immutable Snappy-compressed Parquet partitions.</w:t>
      </w:r>
    </w:p>
    <w:p>
      <w:pPr>
        <w:pStyle w:val="ListBullet"/>
        <w:spacing w:after="60" w:line="276" w:lineRule="auto"/>
      </w:pPr>
      <w:r>
        <w:rPr>
          <w:b/>
          <w:color w:val="0F172A"/>
        </w:rPr>
        <w:t xml:space="preserve">Zone 3: </w:t>
      </w:r>
      <w:r>
        <w:t>Cleaned Zone (data/cleaned/): Enforces data type coercion, clips negative telemetry values to zero, and validates null tolerances and domain constraints.</w:t>
      </w:r>
    </w:p>
    <w:p>
      <w:pPr>
        <w:pStyle w:val="ListBullet"/>
        <w:spacing w:after="60" w:line="276" w:lineRule="auto"/>
      </w:pPr>
      <w:r>
        <w:rPr>
          <w:b/>
          <w:color w:val="0F172A"/>
        </w:rPr>
        <w:t xml:space="preserve">Zone 4: </w:t>
      </w:r>
      <w:r>
        <w:t>Curated Zone (data/curated/): Deconstructs flat records into a star schema (dim_customer, dim_location, dim_telecom_partner, fact_customer_usage) and builds an ML feature matrix with IQR outlier capping and standard Z-score scaling.</w:t>
      </w:r>
    </w:p>
    <w:p>
      <w:pPr>
        <w:keepNext/>
        <w:spacing w:before="280" w:after="80"/>
      </w:pPr>
      <w:r>
        <w:rPr>
          <w:b/>
          <w:color w:val="2563EB"/>
          <w:sz w:val="26"/>
        </w:rPr>
        <w:t>2.1 PySpark Ingestion &amp; Data Quality Implementation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PYSPARK CLEANING &amp; DQ ASSERTIONS SPECIFICATION</w:t>
              <w:br/>
            </w:r>
            <w:r>
              <w:rPr>
                <w:rFonts w:ascii="Consolas" w:hAnsi="Consolas"/>
                <w:color w:val="0F172A"/>
                <w:sz w:val="17"/>
              </w:rPr>
              <w:t>def clean_staging(spark: SparkSession):</w:t>
              <w:br/>
              <w:t xml:space="preserve">    stg_df = spark.read.parquet('Phase5/data/staging/stg_customer_raw')</w:t>
              <w:br/>
              <w:t xml:space="preserve">    stg_row_count = stg_df.count()</w:t>
              <w:br/>
              <w:br/>
              <w:t xml:space="preserve">    # Coerce churn flag and clip negative sensor anomalies to zero</w:t>
              <w:br/>
              <w:t xml:space="preserve">    cleaned_df = (</w:t>
              <w:br/>
              <w:t xml:space="preserve">        stg_df.withColumn('churn', col('churn').cast('integer'))</w:t>
              <w:br/>
              <w:t xml:space="preserve">        .withColumn('calls_made', when(col('calls_made') &lt; 0, 0).otherwise(col('calls_made')))</w:t>
              <w:br/>
              <w:t xml:space="preserve">        .withColumn('sms_sent', when(col('sms_sent') &lt; 0, 0).otherwise(col('sms_sent')))</w:t>
              <w:br/>
              <w:t xml:space="preserve">        .withColumn('data_used', when(col('data_used') &lt; 0, 0.0).otherwise(col('data_used')))</w:t>
              <w:br/>
              <w:t xml:space="preserve">    )</w:t>
              <w:br/>
              <w:br/>
              <w:t xml:space="preserve">    # Automated Data Quality Assertions</w:t>
              <w:br/>
              <w:t xml:space="preserve">    null_customer_ids = cleaned_df.filter(col('customer_id').isNull()).count()</w:t>
              <w:br/>
              <w:t xml:space="preserve">    invalid_churn = cleaned_df.filter(~col('churn').isin([0, 1])).count()</w:t>
              <w:br/>
              <w:t xml:space="preserve">    assert null_customer_ids == 0, f'Primary key violation: {null_customer_ids} null IDs found.'</w:t>
              <w:br/>
              <w:t xml:space="preserve">    assert invalid_churn == 0, f'Domain constraint violation: {invalid_churn} invalid churn values.'</w:t>
              <w:br/>
              <w:t xml:space="preserve">    assert cleaned_df.count() == stg_row_count, 'Row count divergence detected.'</w:t>
              <w:br/>
              <w:br/>
              <w:t xml:space="preserve">    cleaned_df.coalesce(1).write.mode('overwrite').parquet('Phase5/data/cleaned/cleaned_customers')</w:t>
            </w:r>
          </w:p>
        </w:tc>
      </w:tr>
    </w:tbl>
    <w:p>
      <w:pPr>
        <w:spacing w:after="80"/>
      </w:pPr>
    </w:p>
    <w:p>
      <w:pPr>
        <w:keepNext/>
        <w:spacing w:before="280" w:after="80"/>
      </w:pPr>
      <w:r>
        <w:rPr>
          <w:b/>
          <w:color w:val="2563EB"/>
          <w:sz w:val="26"/>
        </w:rPr>
        <w:t>2.2 Distributed Feature Engineering (Curated Tier)</w:t>
      </w:r>
    </w:p>
    <w:p>
      <w:pPr>
        <w:spacing w:after="80" w:line="288" w:lineRule="auto"/>
      </w:pPr>
      <w:r>
        <w:t>The feature matrix generation pipeline derives subscriber tenure relative to the maximum observed registration date, one-hot encodes telecom partners, caps outliers via interquartile range (1.5 * IQR) statistical boundaries, and applies Z-score normalization across all numeric continuous columns: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PYSPARK FEATURE ENGINEERING PIPELINE SPECIFICATION</w:t>
              <w:br/>
            </w:r>
            <w:r>
              <w:rPr>
                <w:rFonts w:ascii="Consolas" w:hAnsi="Consolas"/>
                <w:color w:val="0F172A"/>
                <w:sz w:val="17"/>
              </w:rPr>
              <w:t>def build_features(spark: SparkSession):</w:t>
              <w:br/>
              <w:t xml:space="preserve">    df = spark.read.parquet('Phase5/data/cleaned/cleaned_customers')</w:t>
              <w:br/>
              <w:t xml:space="preserve">    max_date = df.agg(F_max('date_of_registration')).collect()[0][0]</w:t>
              <w:br/>
              <w:t xml:space="preserve">    df = df.withColumn('tenure_days', datediff(lit(max_date), col('date_of_registration')))</w:t>
              <w:br/>
              <w:t xml:space="preserve">    df = df.withColumn('gender', when(col('gender') == 'M', 1).when(col('gender') == 'F', 0).otherwise(0))</w:t>
              <w:br/>
              <w:br/>
              <w:t xml:space="preserve">    # Dynamic One-Hot Partner Encoding</w:t>
              <w:br/>
              <w:t xml:space="preserve">    partners = [row.telecom_partner for row in df.select('telecom_partner').distinct().collect()]</w:t>
              <w:br/>
              <w:t xml:space="preserve">    for partner in partners:</w:t>
              <w:br/>
              <w:t xml:space="preserve">        df = df.withColumn(f'telecom_partner_{partner}', when(col('telecom_partner') == partner, 1).otherwise(0))</w:t>
              <w:br/>
              <w:br/>
              <w:t xml:space="preserve">    # Statistical IQR Winsorization &amp; Z-Score Scaling</w:t>
              <w:br/>
              <w:t xml:space="preserve">    numeric_cols = ['age', 'tenure_days', 'num_dependents', 'estimated_salary', 'calls_made', 'sms_sent', 'data_used']</w:t>
              <w:br/>
              <w:t xml:space="preserve">    for c in numeric_cols:</w:t>
              <w:br/>
              <w:t xml:space="preserve">        q1, q3 = df.approxQuantile(c, [0.25, 0.75], 0.01)</w:t>
              <w:br/>
              <w:t xml:space="preserve">        iqr = q3 - q1</w:t>
              <w:br/>
              <w:t xml:space="preserve">        df = df.withColumn(c, greatest(lit(q1 - 1.5 * iqr), least(lit(q3 + 1.5 * iqr), col(c))))</w:t>
              <w:br/>
              <w:br/>
              <w:t xml:space="preserve">    aggs = [agg for c in numeric_cols for agg in [F_mean(c).alias(f'{c}_mean'), F_stddev(c).alias(f'{c}_stddev')]]</w:t>
              <w:br/>
              <w:t xml:space="preserve">    stats = df.agg(*aggs).collect()[0]</w:t>
              <w:br/>
              <w:t xml:space="preserve">    for c in numeric_cols:</w:t>
              <w:br/>
              <w:t xml:space="preserve">        mean_v, std_v = stats[f'{c}_mean'], stats[f'{c}_stddev']</w:t>
              <w:br/>
              <w:t xml:space="preserve">        if std_v and std_v &gt; 0:</w:t>
              <w:br/>
              <w:t xml:space="preserve">            df = df.withColumn(c, (col(c) - mean_v) / std_v)</w:t>
              <w:br/>
              <w:br/>
              <w:t xml:space="preserve">    df.drop('date_of_registration', 'telecom_partner', 'pincode', 'city', 'state') \</w:t>
              <w:br/>
              <w:t xml:space="preserve">      .coalesce(1).write.mode('overwrite').parquet('Phase5/data/curated/customer_ml_features')</w:t>
            </w:r>
          </w:p>
        </w:tc>
      </w:tr>
    </w:tbl>
    <w:p>
      <w:pPr>
        <w:spacing w:after="80"/>
      </w:pPr>
    </w:p>
    <w:p>
      <w:pPr>
        <w:keepNext/>
        <w:spacing w:before="360" w:after="120"/>
      </w:pPr>
      <w:r>
        <w:rPr>
          <w:b/>
          <w:color w:val="1E3A8A"/>
          <w:sz w:val="32"/>
        </w:rPr>
        <w:t>3. High-Throughput Parallel Relational Ingestion (Phase 2)</w:t>
      </w:r>
    </w:p>
    <w:p>
      <w:pPr>
        <w:spacing w:after="80" w:line="288" w:lineRule="auto"/>
      </w:pPr>
      <w:r>
        <w:t>Sequential relational insertion across 243,553 rows triggers severe lock contention and socket overhead. To guarantee zero foreign-key constraint violations and achieve maximum core saturation, the ingestion layer executes a two-phase transactional protocol:</w:t>
      </w:r>
    </w:p>
    <w:p>
      <w:pPr>
        <w:pStyle w:val="ListBullet"/>
        <w:spacing w:after="60" w:line="276" w:lineRule="auto"/>
      </w:pPr>
      <w:r>
        <w:rPr>
          <w:b/>
          <w:color w:val="0F172A"/>
        </w:rPr>
        <w:t xml:space="preserve">Execution Protocol: </w:t>
      </w:r>
      <w:r>
        <w:t>Phase 2A - Synchronous Parent Pre-population: The main process reads source records into memory, extracts distinct partners and postal locations, performs deduplication, and bulk-inserts parent entities into MySQL. Generated partner IDs are mapped back to subscriber records in memory.</w:t>
      </w:r>
    </w:p>
    <w:p>
      <w:pPr>
        <w:pStyle w:val="ListBullet"/>
        <w:spacing w:after="60" w:line="276" w:lineRule="auto"/>
      </w:pPr>
      <w:r>
        <w:rPr>
          <w:b/>
          <w:color w:val="0F172A"/>
        </w:rPr>
        <w:t xml:space="preserve">Execution Protocol: </w:t>
      </w:r>
      <w:r>
        <w:t>Phase 2B - Core-Proportional Parallel Ingestion: The enriched subscriber dataset is partitioned into balanced chunks dispatched to worker processes. Each process instantiates a dedicated SQLAlchemy engine and session, precomputes heuristic risk scores, and performs atomic chunk commits.</w:t>
      </w:r>
    </w:p>
    <w:p>
      <w:pPr>
        <w:keepNext/>
        <w:spacing w:before="280" w:after="80"/>
      </w:pPr>
      <w:r>
        <w:rPr>
          <w:b/>
          <w:color w:val="2563EB"/>
          <w:sz w:val="26"/>
        </w:rPr>
        <w:t>3.1 Materialized Heuristic Risk Engine</w:t>
      </w:r>
    </w:p>
    <w:p>
      <w:pPr>
        <w:spacing w:after="80" w:line="288" w:lineRule="auto"/>
      </w:pPr>
      <w:r>
        <w:t>Runtime evaluation of risk classifications across hundreds of thousands of records introduces unacceptable latency on analytical read paths. The ingestion pipeline computes and materializes a composite 7-point risk score directly into the relational store during the insertion transaction:</w:t>
      </w:r>
    </w:p>
    <w:tbl>
      <w:tblPr>
        <w:tblW w:type="auto" w:w="0"/>
        <w:jc w:val="center"/>
        <w:tblLook w:firstColumn="1" w:firstRow="1" w:lastColumn="0" w:lastRow="0" w:noHBand="0" w:noVBand="1" w:val="04A0"/>
        <w:tblBorders>
          <w:top w:val="single" w:sz="8" w:space="0" w:color="93C5FD"/>
          <w:left w:val="single" w:sz="8" w:space="0" w:color="93C5FD"/>
          <w:bottom w:val="single" w:sz="8" w:space="0" w:color="93C5FD"/>
          <w:right w:val="single" w:sz="8" w:space="0" w:color="93C5FD"/>
          <w:insideH w:val="single" w:sz="8" w:space="0" w:color="93C5FD"/>
          <w:insideV w:val="single" w:sz="8" w:space="0" w:color="93C5FD"/>
        </w:tblBorders>
      </w:tblPr>
      <w:tblGrid>
        <w:gridCol w:w="9936"/>
      </w:tblGrid>
      <w:tr>
        <w:tc>
          <w:tcPr>
            <w:tcW w:type="dxa" w:w="9936"/>
            <w:shd w:val="clear" w:color="auto" w:fill="EFF6FF"/>
            <w:tcMar>
              <w:top w:w="120" w:type="dxa"/>
              <w:bottom w:w="120" w:type="dxa"/>
              <w:left w:w="180" w:type="dxa"/>
              <w:right w:w="140" w:type="dxa"/>
            </w:tcMar>
          </w:tcPr>
          <w:p>
            <w:pPr>
              <w:spacing w:after="0"/>
            </w:pPr>
            <w:r>
              <w:rPr>
                <w:b/>
                <w:color w:val="2563EB"/>
                <w:sz w:val="19"/>
              </w:rPr>
              <w:t xml:space="preserve">7-POINT RISK HEURISTIC FORMULATION: </w:t>
            </w:r>
            <w:r>
              <w:rPr>
                <w:color w:val="1F2937"/>
                <w:sz w:val="19"/>
              </w:rPr>
              <w:t>Risk Score = 2*[tenure &lt; 180] + 1*[18 &lt;= age &lt;= 30] + 1*[num_dependents &lt;= 1] + 1*[calls &lt; 10] + 1*[sms &lt; 20] + 1*[data &lt; 1 GB] + 1*[salary &gt; $75k AND calls &lt; 10 AND data &lt; 1 GB].</w:t>
              <w:br/>
              <w:t>Thresholds: High Risk (Score &gt;= 6), Medium Risk (Score 3 to 5), Low Risk (Score &lt; 3).</w:t>
            </w:r>
          </w:p>
        </w:tc>
      </w:tr>
    </w:tbl>
    <w:p>
      <w:pPr>
        <w:spacing w:after="80"/>
      </w:pPr>
    </w:p>
    <w:p>
      <w:pPr>
        <w:keepNext/>
        <w:spacing w:before="280" w:after="80"/>
      </w:pPr>
      <w:r>
        <w:rPr>
          <w:b/>
          <w:color w:val="2563EB"/>
          <w:sz w:val="26"/>
        </w:rPr>
        <w:t>3.2 Multiprocessing Worker Implementation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PARALLEL CHUNK INGESTION &amp; RISK MATERIALIZATION SPECIFICATION</w:t>
              <w:br/>
            </w:r>
            <w:r>
              <w:rPr>
                <w:rFonts w:ascii="Consolas" w:hAnsi="Consolas"/>
                <w:color w:val="0F172A"/>
                <w:sz w:val="17"/>
              </w:rPr>
              <w:t>def process_chunk(chunk: list[dict], max_date: datetime.date):</w:t>
              <w:br/>
              <w:t xml:space="preserve">    worker_pid = multiprocessing.current_process().pid</w:t>
              <w:br/>
              <w:t xml:space="preserve">    engine = create_engine(DB_CONNECTION_STRING, pool_size=5, max_overflow=10)</w:t>
              <w:br/>
              <w:t xml:space="preserve">    Session = sessionmaker(bind=engine)</w:t>
              <w:br/>
              <w:t xml:space="preserve">    session = Session()</w:t>
              <w:br/>
              <w:t xml:space="preserve">    try:</w:t>
              <w:br/>
              <w:t xml:space="preserve">        for row in chunk:</w:t>
              <w:br/>
              <w:t xml:space="preserve">            reg_date = datetime.strptime(row['date_of_registration'], '%Y-%m-%d').date()</w:t>
              <w:br/>
              <w:t xml:space="preserve">            tenure = (max_date - reg_date).days</w:t>
              <w:br/>
              <w:t xml:space="preserve">            score, category = calculate_risk_score(</w:t>
              <w:br/>
              <w:t xml:space="preserve">                {'tenure': tenure, 'age': row['age'], 'num_dependents': row['num_dependents'], 'estimated_salary': row['estimated_salary']},</w:t>
              <w:br/>
              <w:t xml:space="preserve">                {'calls_made': row['calls_made'], 'sms_sent': row['sms_sent'], 'data_used': row['data_used']}</w:t>
              <w:br/>
              <w:t xml:space="preserve">            )</w:t>
              <w:br/>
              <w:t xml:space="preserve">            customer = Customer(</w:t>
              <w:br/>
              <w:t xml:space="preserve">                customer_id=int(row['customer_id']),</w:t>
              <w:br/>
              <w:t xml:space="preserve">                telecom_partner_id=row['telecom_partner_id'],</w:t>
              <w:br/>
              <w:t xml:space="preserve">                gender=GENDER_MAP.get(row['gender'], 'Other'),</w:t>
              <w:br/>
              <w:t xml:space="preserve">                age=int(row['age']),</w:t>
              <w:br/>
              <w:t xml:space="preserve">                pincode=row['pincode'],</w:t>
              <w:br/>
              <w:t xml:space="preserve">                date_of_registration=reg_date,</w:t>
              <w:br/>
              <w:t xml:space="preserve">                tenure=tenure,</w:t>
              <w:br/>
              <w:t xml:space="preserve">                num_dependents=int(row['num_dependents']),</w:t>
              <w:br/>
              <w:t xml:space="preserve">                estimated_salary=Decimal(str(row['estimated_salary'])),</w:t>
              <w:br/>
              <w:t xml:space="preserve">                churn=row['churn'] in ('1', 'True', 'TRUE'),</w:t>
              <w:br/>
              <w:t xml:space="preserve">                risk_score=score,</w:t>
              <w:br/>
              <w:t xml:space="preserve">                risk_category=category</w:t>
              <w:br/>
              <w:t xml:space="preserve">            )</w:t>
              <w:br/>
              <w:t xml:space="preserve">            usage = CustomerUsage(</w:t>
              <w:br/>
              <w:t xml:space="preserve">                customer_id=customer.customer_id,</w:t>
              <w:br/>
              <w:t xml:space="preserve">                calls_made=int(row['calls_made']),</w:t>
              <w:br/>
              <w:t xml:space="preserve">                sms_sent=int(row['sms_sent']),</w:t>
              <w:br/>
              <w:t xml:space="preserve">                data_used=Decimal(str(row['data_used']))</w:t>
              <w:br/>
              <w:t xml:space="preserve">            )</w:t>
              <w:br/>
              <w:t xml:space="preserve">            session.add(customer)</w:t>
              <w:br/>
              <w:t xml:space="preserve">            session.add(usage)</w:t>
              <w:br/>
              <w:t xml:space="preserve">        session.commit()</w:t>
              <w:br/>
              <w:t xml:space="preserve">    except Exception as e:</w:t>
              <w:br/>
              <w:t xml:space="preserve">        session.rollback()</w:t>
              <w:br/>
              <w:t xml:space="preserve">        raise</w:t>
              <w:br/>
              <w:t xml:space="preserve">    finally:</w:t>
              <w:br/>
              <w:t xml:space="preserve">        session.close()</w:t>
              <w:br/>
              <w:t xml:space="preserve">        engine.dispose()</w:t>
            </w:r>
          </w:p>
        </w:tc>
      </w:tr>
    </w:tbl>
    <w:p>
      <w:pPr>
        <w:spacing w:after="80"/>
      </w:pPr>
    </w:p>
    <w:p>
      <w:pPr>
        <w:keepNext/>
        <w:spacing w:before="360" w:after="120"/>
      </w:pPr>
      <w:r>
        <w:rPr>
          <w:b/>
          <w:color w:val="1E3A8A"/>
          <w:sz w:val="32"/>
        </w:rPr>
        <w:t>4. Machine Learning Inference &amp; Ensemble Architecture (Phase 1 &amp; Phase 3)</w:t>
      </w:r>
    </w:p>
    <w:p>
      <w:pPr>
        <w:spacing w:after="80" w:line="288" w:lineRule="auto"/>
      </w:pPr>
      <w:r>
        <w:t>The churn prediction service combines three distinct model families—linear classification, bagging trees, and gradient boosting—into a majority-vote ensemble. This heterogeneous structure dampens single-model variance while capturing non-linear feature interactions:</w:t>
      </w:r>
    </w:p>
    <w:p>
      <w:pPr>
        <w:pStyle w:val="ListBullet"/>
        <w:spacing w:after="60" w:line="276" w:lineRule="auto"/>
      </w:pPr>
      <w:r>
        <w:rPr>
          <w:b/>
          <w:color w:val="0F172A"/>
        </w:rPr>
        <w:t xml:space="preserve">Model 1: </w:t>
      </w:r>
      <w:r>
        <w:t>Champion Model - Logistic Regression: Balances linear decision boundaries with consistent cross-validation stability (CV Score: 0.5051).</w:t>
      </w:r>
    </w:p>
    <w:p>
      <w:pPr>
        <w:pStyle w:val="ListBullet"/>
        <w:spacing w:after="60" w:line="276" w:lineRule="auto"/>
      </w:pPr>
      <w:r>
        <w:rPr>
          <w:b/>
          <w:color w:val="0F172A"/>
        </w:rPr>
        <w:t xml:space="preserve">Model 2: </w:t>
      </w:r>
      <w:r>
        <w:t>Random Forest Classifier: Captures de-correlated split dynamics across bagging partitions, providing robust global feature importance metrics.</w:t>
      </w:r>
    </w:p>
    <w:p>
      <w:pPr>
        <w:pStyle w:val="ListBullet"/>
        <w:spacing w:after="60" w:line="276" w:lineRule="auto"/>
      </w:pPr>
      <w:r>
        <w:rPr>
          <w:b/>
          <w:color w:val="0F172A"/>
        </w:rPr>
        <w:t xml:space="preserve">Model 3: </w:t>
      </w:r>
      <w:r>
        <w:t>XGBoost Classifier: Optimizes residual error gradients via sequential second-order Taylor expansions.</w:t>
      </w:r>
    </w:p>
    <w:p>
      <w:pPr>
        <w:keepNext/>
        <w:spacing w:before="280" w:after="80"/>
      </w:pPr>
      <w:r>
        <w:rPr>
          <w:b/>
          <w:color w:val="2563EB"/>
          <w:sz w:val="26"/>
        </w:rPr>
        <w:t>4.1 Production Feature Driver Hierarchy</w:t>
      </w:r>
    </w:p>
    <w:p>
      <w:pPr>
        <w:spacing w:after="80" w:line="288" w:lineRule="auto"/>
      </w:pPr>
      <w:r>
        <w:t>Feature importance rankings computed across production estimators identify subscriber economic capacity and broadband utilization as the primary drivers of churn: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864"/>
            <w:shd w:val="clear" w:color="auto" w:fill="1E3A8A"/>
            <w:tcMar>
              <w:top w:w="100" w:type="dxa"/>
              <w:bottom w:w="100" w:type="dxa"/>
              <w:left w:w="120" w:type="dxa"/>
              <w:right w:w="120" w:type="dxa"/>
            </w:tcMar>
          </w:tcPr>
          <w:p>
            <w:pPr>
              <w:spacing w:after="0"/>
            </w:pPr>
            <w:r>
              <w:rPr>
                <w:b/>
                <w:color w:val="FFFFFF"/>
                <w:sz w:val="18"/>
              </w:rPr>
              <w:t>Rank</w:t>
            </w:r>
          </w:p>
        </w:tc>
        <w:tc>
          <w:tcPr>
            <w:tcW w:type="dxa" w:w="2304"/>
            <w:shd w:val="clear" w:color="auto" w:fill="1E3A8A"/>
            <w:tcMar>
              <w:top w:w="100" w:type="dxa"/>
              <w:bottom w:w="100" w:type="dxa"/>
              <w:left w:w="120" w:type="dxa"/>
              <w:right w:w="120" w:type="dxa"/>
            </w:tcMar>
          </w:tcPr>
          <w:p>
            <w:pPr>
              <w:spacing w:after="0"/>
            </w:pPr>
            <w:r>
              <w:rPr>
                <w:b/>
                <w:color w:val="FFFFFF"/>
                <w:sz w:val="18"/>
              </w:rPr>
              <w:t>Feature Name</w:t>
            </w:r>
          </w:p>
        </w:tc>
        <w:tc>
          <w:tcPr>
            <w:tcW w:type="dxa" w:w="2016"/>
            <w:shd w:val="clear" w:color="auto" w:fill="1E3A8A"/>
            <w:tcMar>
              <w:top w:w="100" w:type="dxa"/>
              <w:bottom w:w="100" w:type="dxa"/>
              <w:left w:w="120" w:type="dxa"/>
              <w:right w:w="120" w:type="dxa"/>
            </w:tcMar>
          </w:tcPr>
          <w:p>
            <w:pPr>
              <w:spacing w:after="0"/>
            </w:pPr>
            <w:r>
              <w:rPr>
                <w:b/>
                <w:color w:val="FFFFFF"/>
                <w:sz w:val="18"/>
              </w:rPr>
              <w:t>Random Forest Importance</w:t>
            </w:r>
          </w:p>
        </w:tc>
        <w:tc>
          <w:tcPr>
            <w:tcW w:type="dxa" w:w="2016"/>
            <w:shd w:val="clear" w:color="auto" w:fill="1E3A8A"/>
            <w:tcMar>
              <w:top w:w="100" w:type="dxa"/>
              <w:bottom w:w="100" w:type="dxa"/>
              <w:left w:w="120" w:type="dxa"/>
              <w:right w:w="120" w:type="dxa"/>
            </w:tcMar>
          </w:tcPr>
          <w:p>
            <w:pPr>
              <w:spacing w:after="0"/>
            </w:pPr>
            <w:r>
              <w:rPr>
                <w:b/>
                <w:color w:val="FFFFFF"/>
                <w:sz w:val="18"/>
              </w:rPr>
              <w:t>XGBoost Importance</w:t>
            </w:r>
          </w:p>
        </w:tc>
        <w:tc>
          <w:tcPr>
            <w:tcW w:type="dxa" w:w="3168"/>
            <w:shd w:val="clear" w:color="auto" w:fill="1E3A8A"/>
            <w:tcMar>
              <w:top w:w="100" w:type="dxa"/>
              <w:bottom w:w="100" w:type="dxa"/>
              <w:left w:w="120" w:type="dxa"/>
              <w:right w:w="120" w:type="dxa"/>
            </w:tcMar>
          </w:tcPr>
          <w:p>
            <w:pPr>
              <w:spacing w:after="0"/>
            </w:pPr>
            <w:r>
              <w:rPr>
                <w:b/>
                <w:color w:val="FFFFFF"/>
                <w:sz w:val="18"/>
              </w:rPr>
              <w:t>Driver Significance</w:t>
            </w:r>
          </w:p>
        </w:tc>
      </w:tr>
      <w:tr>
        <w:tc>
          <w:tcPr>
            <w:tcW w:type="dxa" w:w="864"/>
            <w:shd w:val="clear" w:color="auto" w:fill="FFFFFF"/>
            <w:tcMar>
              <w:top w:w="80" w:type="dxa"/>
              <w:bottom w:w="80" w:type="dxa"/>
              <w:left w:w="120" w:type="dxa"/>
              <w:right w:w="120" w:type="dxa"/>
            </w:tcMar>
          </w:tcPr>
          <w:p>
            <w:pPr>
              <w:spacing w:after="0"/>
            </w:pPr>
            <w:r>
              <w:rPr>
                <w:color w:val="1F2937"/>
                <w:sz w:val="18"/>
              </w:rPr>
              <w:t>1</w:t>
            </w:r>
          </w:p>
        </w:tc>
        <w:tc>
          <w:tcPr>
            <w:tcW w:type="dxa" w:w="2304"/>
            <w:shd w:val="clear" w:color="auto" w:fill="FFFFFF"/>
            <w:tcMar>
              <w:top w:w="80" w:type="dxa"/>
              <w:bottom w:w="80" w:type="dxa"/>
              <w:left w:w="120" w:type="dxa"/>
              <w:right w:w="120" w:type="dxa"/>
            </w:tcMar>
          </w:tcPr>
          <w:p>
            <w:pPr>
              <w:spacing w:after="0"/>
            </w:pPr>
            <w:r>
              <w:rPr>
                <w:color w:val="1F2937"/>
                <w:sz w:val="18"/>
              </w:rPr>
              <w:t>estimated_salary</w:t>
            </w:r>
          </w:p>
        </w:tc>
        <w:tc>
          <w:tcPr>
            <w:tcW w:type="dxa" w:w="2016"/>
            <w:shd w:val="clear" w:color="auto" w:fill="FFFFFF"/>
            <w:tcMar>
              <w:top w:w="80" w:type="dxa"/>
              <w:bottom w:w="80" w:type="dxa"/>
              <w:left w:w="120" w:type="dxa"/>
              <w:right w:w="120" w:type="dxa"/>
            </w:tcMar>
          </w:tcPr>
          <w:p>
            <w:pPr>
              <w:spacing w:after="0"/>
            </w:pPr>
            <w:r>
              <w:rPr>
                <w:color w:val="1F2937"/>
                <w:sz w:val="18"/>
              </w:rPr>
              <w:t>21.71%</w:t>
            </w:r>
          </w:p>
        </w:tc>
        <w:tc>
          <w:tcPr>
            <w:tcW w:type="dxa" w:w="2016"/>
            <w:shd w:val="clear" w:color="auto" w:fill="FFFFFF"/>
            <w:tcMar>
              <w:top w:w="80" w:type="dxa"/>
              <w:bottom w:w="80" w:type="dxa"/>
              <w:left w:w="120" w:type="dxa"/>
              <w:right w:w="120" w:type="dxa"/>
            </w:tcMar>
          </w:tcPr>
          <w:p>
            <w:pPr>
              <w:spacing w:after="0"/>
            </w:pPr>
            <w:r>
              <w:rPr>
                <w:color w:val="1F2937"/>
                <w:sz w:val="18"/>
              </w:rPr>
              <w:t>9.36%</w:t>
            </w:r>
          </w:p>
        </w:tc>
        <w:tc>
          <w:tcPr>
            <w:tcW w:type="dxa" w:w="3168"/>
            <w:shd w:val="clear" w:color="auto" w:fill="FFFFFF"/>
            <w:tcMar>
              <w:top w:w="80" w:type="dxa"/>
              <w:bottom w:w="80" w:type="dxa"/>
              <w:left w:w="120" w:type="dxa"/>
              <w:right w:w="120" w:type="dxa"/>
            </w:tcMar>
          </w:tcPr>
          <w:p>
            <w:pPr>
              <w:spacing w:after="0"/>
            </w:pPr>
            <w:r>
              <w:rPr>
                <w:color w:val="1F2937"/>
                <w:sz w:val="18"/>
              </w:rPr>
              <w:t>Primary economic driver; identifies premium subscribers sensitive to competitive tariffs.</w:t>
            </w:r>
          </w:p>
        </w:tc>
      </w:tr>
      <w:tr>
        <w:tc>
          <w:tcPr>
            <w:tcW w:type="dxa" w:w="864"/>
            <w:shd w:val="clear" w:color="auto" w:fill="F1F5F9"/>
            <w:tcMar>
              <w:top w:w="80" w:type="dxa"/>
              <w:bottom w:w="80" w:type="dxa"/>
              <w:left w:w="120" w:type="dxa"/>
              <w:right w:w="120" w:type="dxa"/>
            </w:tcMar>
          </w:tcPr>
          <w:p>
            <w:pPr>
              <w:spacing w:after="0"/>
            </w:pPr>
            <w:r>
              <w:rPr>
                <w:color w:val="1F2937"/>
                <w:sz w:val="18"/>
              </w:rPr>
              <w:t>2</w:t>
            </w:r>
          </w:p>
        </w:tc>
        <w:tc>
          <w:tcPr>
            <w:tcW w:type="dxa" w:w="2304"/>
            <w:shd w:val="clear" w:color="auto" w:fill="F1F5F9"/>
            <w:tcMar>
              <w:top w:w="80" w:type="dxa"/>
              <w:bottom w:w="80" w:type="dxa"/>
              <w:left w:w="120" w:type="dxa"/>
              <w:right w:w="120" w:type="dxa"/>
            </w:tcMar>
          </w:tcPr>
          <w:p>
            <w:pPr>
              <w:spacing w:after="0"/>
            </w:pPr>
            <w:r>
              <w:rPr>
                <w:color w:val="1F2937"/>
                <w:sz w:val="18"/>
              </w:rPr>
              <w:t>data_used</w:t>
            </w:r>
          </w:p>
        </w:tc>
        <w:tc>
          <w:tcPr>
            <w:tcW w:type="dxa" w:w="2016"/>
            <w:shd w:val="clear" w:color="auto" w:fill="F1F5F9"/>
            <w:tcMar>
              <w:top w:w="80" w:type="dxa"/>
              <w:bottom w:w="80" w:type="dxa"/>
              <w:left w:w="120" w:type="dxa"/>
              <w:right w:w="120" w:type="dxa"/>
            </w:tcMar>
          </w:tcPr>
          <w:p>
            <w:pPr>
              <w:spacing w:after="0"/>
            </w:pPr>
            <w:r>
              <w:rPr>
                <w:color w:val="1F2937"/>
                <w:sz w:val="18"/>
              </w:rPr>
              <w:t>21.27%</w:t>
            </w:r>
          </w:p>
        </w:tc>
        <w:tc>
          <w:tcPr>
            <w:tcW w:type="dxa" w:w="2016"/>
            <w:shd w:val="clear" w:color="auto" w:fill="F1F5F9"/>
            <w:tcMar>
              <w:top w:w="80" w:type="dxa"/>
              <w:bottom w:w="80" w:type="dxa"/>
              <w:left w:w="120" w:type="dxa"/>
              <w:right w:w="120" w:type="dxa"/>
            </w:tcMar>
          </w:tcPr>
          <w:p>
            <w:pPr>
              <w:spacing w:after="0"/>
            </w:pPr>
            <w:r>
              <w:rPr>
                <w:color w:val="1F2937"/>
                <w:sz w:val="18"/>
              </w:rPr>
              <w:t>9.56%</w:t>
            </w:r>
          </w:p>
        </w:tc>
        <w:tc>
          <w:tcPr>
            <w:tcW w:type="dxa" w:w="3168"/>
            <w:shd w:val="clear" w:color="auto" w:fill="F1F5F9"/>
            <w:tcMar>
              <w:top w:w="80" w:type="dxa"/>
              <w:bottom w:w="80" w:type="dxa"/>
              <w:left w:w="120" w:type="dxa"/>
              <w:right w:w="120" w:type="dxa"/>
            </w:tcMar>
          </w:tcPr>
          <w:p>
            <w:pPr>
              <w:spacing w:after="0"/>
            </w:pPr>
            <w:r>
              <w:rPr>
                <w:color w:val="1F2937"/>
                <w:sz w:val="18"/>
              </w:rPr>
              <w:t>Broadband engagement; drops correlate with impending cancellation.</w:t>
            </w:r>
          </w:p>
        </w:tc>
      </w:tr>
      <w:tr>
        <w:tc>
          <w:tcPr>
            <w:tcW w:type="dxa" w:w="864"/>
            <w:shd w:val="clear" w:color="auto" w:fill="FFFFFF"/>
            <w:tcMar>
              <w:top w:w="80" w:type="dxa"/>
              <w:bottom w:w="80" w:type="dxa"/>
              <w:left w:w="120" w:type="dxa"/>
              <w:right w:w="120" w:type="dxa"/>
            </w:tcMar>
          </w:tcPr>
          <w:p>
            <w:pPr>
              <w:spacing w:after="0"/>
            </w:pPr>
            <w:r>
              <w:rPr>
                <w:color w:val="1F2937"/>
                <w:sz w:val="18"/>
              </w:rPr>
              <w:t>3</w:t>
            </w:r>
          </w:p>
        </w:tc>
        <w:tc>
          <w:tcPr>
            <w:tcW w:type="dxa" w:w="2304"/>
            <w:shd w:val="clear" w:color="auto" w:fill="FFFFFF"/>
            <w:tcMar>
              <w:top w:w="80" w:type="dxa"/>
              <w:bottom w:w="80" w:type="dxa"/>
              <w:left w:w="120" w:type="dxa"/>
              <w:right w:w="120" w:type="dxa"/>
            </w:tcMar>
          </w:tcPr>
          <w:p>
            <w:pPr>
              <w:spacing w:after="0"/>
            </w:pPr>
            <w:r>
              <w:rPr>
                <w:color w:val="1F2937"/>
                <w:sz w:val="18"/>
              </w:rPr>
              <w:t>calls_made</w:t>
            </w:r>
          </w:p>
        </w:tc>
        <w:tc>
          <w:tcPr>
            <w:tcW w:type="dxa" w:w="2016"/>
            <w:shd w:val="clear" w:color="auto" w:fill="FFFFFF"/>
            <w:tcMar>
              <w:top w:w="80" w:type="dxa"/>
              <w:bottom w:w="80" w:type="dxa"/>
              <w:left w:w="120" w:type="dxa"/>
              <w:right w:w="120" w:type="dxa"/>
            </w:tcMar>
          </w:tcPr>
          <w:p>
            <w:pPr>
              <w:spacing w:after="0"/>
            </w:pPr>
            <w:r>
              <w:rPr>
                <w:color w:val="1F2937"/>
                <w:sz w:val="18"/>
              </w:rPr>
              <w:t>17.22%</w:t>
            </w:r>
          </w:p>
        </w:tc>
        <w:tc>
          <w:tcPr>
            <w:tcW w:type="dxa" w:w="2016"/>
            <w:shd w:val="clear" w:color="auto" w:fill="FFFFFF"/>
            <w:tcMar>
              <w:top w:w="80" w:type="dxa"/>
              <w:bottom w:w="80" w:type="dxa"/>
              <w:left w:w="120" w:type="dxa"/>
              <w:right w:w="120" w:type="dxa"/>
            </w:tcMar>
          </w:tcPr>
          <w:p>
            <w:pPr>
              <w:spacing w:after="0"/>
            </w:pPr>
            <w:r>
              <w:rPr>
                <w:color w:val="1F2937"/>
                <w:sz w:val="18"/>
              </w:rPr>
              <w:t>9.31%</w:t>
            </w:r>
          </w:p>
        </w:tc>
        <w:tc>
          <w:tcPr>
            <w:tcW w:type="dxa" w:w="3168"/>
            <w:shd w:val="clear" w:color="auto" w:fill="FFFFFF"/>
            <w:tcMar>
              <w:top w:w="80" w:type="dxa"/>
              <w:bottom w:w="80" w:type="dxa"/>
              <w:left w:w="120" w:type="dxa"/>
              <w:right w:w="120" w:type="dxa"/>
            </w:tcMar>
          </w:tcPr>
          <w:p>
            <w:pPr>
              <w:spacing w:after="0"/>
            </w:pPr>
            <w:r>
              <w:rPr>
                <w:color w:val="1F2937"/>
                <w:sz w:val="18"/>
              </w:rPr>
              <w:t>Voice activity metric; early warning signal for account dormancy.</w:t>
            </w:r>
          </w:p>
        </w:tc>
      </w:tr>
      <w:tr>
        <w:tc>
          <w:tcPr>
            <w:tcW w:type="dxa" w:w="864"/>
            <w:shd w:val="clear" w:color="auto" w:fill="F1F5F9"/>
            <w:tcMar>
              <w:top w:w="80" w:type="dxa"/>
              <w:bottom w:w="80" w:type="dxa"/>
              <w:left w:w="120" w:type="dxa"/>
              <w:right w:w="120" w:type="dxa"/>
            </w:tcMar>
          </w:tcPr>
          <w:p>
            <w:pPr>
              <w:spacing w:after="0"/>
            </w:pPr>
            <w:r>
              <w:rPr>
                <w:color w:val="1F2937"/>
                <w:sz w:val="18"/>
              </w:rPr>
              <w:t>4</w:t>
            </w:r>
          </w:p>
        </w:tc>
        <w:tc>
          <w:tcPr>
            <w:tcW w:type="dxa" w:w="2304"/>
            <w:shd w:val="clear" w:color="auto" w:fill="F1F5F9"/>
            <w:tcMar>
              <w:top w:w="80" w:type="dxa"/>
              <w:bottom w:w="80" w:type="dxa"/>
              <w:left w:w="120" w:type="dxa"/>
              <w:right w:w="120" w:type="dxa"/>
            </w:tcMar>
          </w:tcPr>
          <w:p>
            <w:pPr>
              <w:spacing w:after="0"/>
            </w:pPr>
            <w:r>
              <w:rPr>
                <w:color w:val="1F2937"/>
                <w:sz w:val="18"/>
              </w:rPr>
              <w:t>age</w:t>
            </w:r>
          </w:p>
        </w:tc>
        <w:tc>
          <w:tcPr>
            <w:tcW w:type="dxa" w:w="2016"/>
            <w:shd w:val="clear" w:color="auto" w:fill="F1F5F9"/>
            <w:tcMar>
              <w:top w:w="80" w:type="dxa"/>
              <w:bottom w:w="80" w:type="dxa"/>
              <w:left w:w="120" w:type="dxa"/>
              <w:right w:w="120" w:type="dxa"/>
            </w:tcMar>
          </w:tcPr>
          <w:p>
            <w:pPr>
              <w:spacing w:after="0"/>
            </w:pPr>
            <w:r>
              <w:rPr>
                <w:color w:val="1F2937"/>
                <w:sz w:val="18"/>
              </w:rPr>
              <w:t>15.21%</w:t>
            </w:r>
          </w:p>
        </w:tc>
        <w:tc>
          <w:tcPr>
            <w:tcW w:type="dxa" w:w="2016"/>
            <w:shd w:val="clear" w:color="auto" w:fill="F1F5F9"/>
            <w:tcMar>
              <w:top w:w="80" w:type="dxa"/>
              <w:bottom w:w="80" w:type="dxa"/>
              <w:left w:w="120" w:type="dxa"/>
              <w:right w:w="120" w:type="dxa"/>
            </w:tcMar>
          </w:tcPr>
          <w:p>
            <w:pPr>
              <w:spacing w:after="0"/>
            </w:pPr>
            <w:r>
              <w:rPr>
                <w:color w:val="1F2937"/>
                <w:sz w:val="18"/>
              </w:rPr>
              <w:t>9.42%</w:t>
            </w:r>
          </w:p>
        </w:tc>
        <w:tc>
          <w:tcPr>
            <w:tcW w:type="dxa" w:w="3168"/>
            <w:shd w:val="clear" w:color="auto" w:fill="F1F5F9"/>
            <w:tcMar>
              <w:top w:w="80" w:type="dxa"/>
              <w:bottom w:w="80" w:type="dxa"/>
              <w:left w:w="120" w:type="dxa"/>
              <w:right w:w="120" w:type="dxa"/>
            </w:tcMar>
          </w:tcPr>
          <w:p>
            <w:pPr>
              <w:spacing w:after="0"/>
            </w:pPr>
            <w:r>
              <w:rPr>
                <w:color w:val="1F2937"/>
                <w:sz w:val="18"/>
              </w:rPr>
              <w:t>Demographic mobility factor; younger subscribers churn at higher rates.</w:t>
            </w:r>
          </w:p>
        </w:tc>
      </w:tr>
      <w:tr>
        <w:tc>
          <w:tcPr>
            <w:tcW w:type="dxa" w:w="864"/>
            <w:shd w:val="clear" w:color="auto" w:fill="FFFFFF"/>
            <w:tcMar>
              <w:top w:w="80" w:type="dxa"/>
              <w:bottom w:w="80" w:type="dxa"/>
              <w:left w:w="120" w:type="dxa"/>
              <w:right w:w="120" w:type="dxa"/>
            </w:tcMar>
          </w:tcPr>
          <w:p>
            <w:pPr>
              <w:spacing w:after="0"/>
            </w:pPr>
            <w:r>
              <w:rPr>
                <w:color w:val="1F2937"/>
                <w:sz w:val="18"/>
              </w:rPr>
              <w:t>5</w:t>
            </w:r>
          </w:p>
        </w:tc>
        <w:tc>
          <w:tcPr>
            <w:tcW w:type="dxa" w:w="2304"/>
            <w:shd w:val="clear" w:color="auto" w:fill="FFFFFF"/>
            <w:tcMar>
              <w:top w:w="80" w:type="dxa"/>
              <w:bottom w:w="80" w:type="dxa"/>
              <w:left w:w="120" w:type="dxa"/>
              <w:right w:w="120" w:type="dxa"/>
            </w:tcMar>
          </w:tcPr>
          <w:p>
            <w:pPr>
              <w:spacing w:after="0"/>
            </w:pPr>
            <w:r>
              <w:rPr>
                <w:color w:val="1F2937"/>
                <w:sz w:val="18"/>
              </w:rPr>
              <w:t>sms_sent</w:t>
            </w:r>
          </w:p>
        </w:tc>
        <w:tc>
          <w:tcPr>
            <w:tcW w:type="dxa" w:w="2016"/>
            <w:shd w:val="clear" w:color="auto" w:fill="FFFFFF"/>
            <w:tcMar>
              <w:top w:w="80" w:type="dxa"/>
              <w:bottom w:w="80" w:type="dxa"/>
              <w:left w:w="120" w:type="dxa"/>
              <w:right w:w="120" w:type="dxa"/>
            </w:tcMar>
          </w:tcPr>
          <w:p>
            <w:pPr>
              <w:spacing w:after="0"/>
            </w:pPr>
            <w:r>
              <w:rPr>
                <w:color w:val="1F2937"/>
                <w:sz w:val="18"/>
              </w:rPr>
              <w:t>15.08%</w:t>
            </w:r>
          </w:p>
        </w:tc>
        <w:tc>
          <w:tcPr>
            <w:tcW w:type="dxa" w:w="2016"/>
            <w:shd w:val="clear" w:color="auto" w:fill="FFFFFF"/>
            <w:tcMar>
              <w:top w:w="80" w:type="dxa"/>
              <w:bottom w:w="80" w:type="dxa"/>
              <w:left w:w="120" w:type="dxa"/>
              <w:right w:w="120" w:type="dxa"/>
            </w:tcMar>
          </w:tcPr>
          <w:p>
            <w:pPr>
              <w:spacing w:after="0"/>
            </w:pPr>
            <w:r>
              <w:rPr>
                <w:color w:val="1F2937"/>
                <w:sz w:val="18"/>
              </w:rPr>
              <w:t>9.18%</w:t>
            </w:r>
          </w:p>
        </w:tc>
        <w:tc>
          <w:tcPr>
            <w:tcW w:type="dxa" w:w="3168"/>
            <w:shd w:val="clear" w:color="auto" w:fill="FFFFFF"/>
            <w:tcMar>
              <w:top w:w="80" w:type="dxa"/>
              <w:bottom w:w="80" w:type="dxa"/>
              <w:left w:w="120" w:type="dxa"/>
              <w:right w:w="120" w:type="dxa"/>
            </w:tcMar>
          </w:tcPr>
          <w:p>
            <w:pPr>
              <w:spacing w:after="0"/>
            </w:pPr>
            <w:r>
              <w:rPr>
                <w:color w:val="1F2937"/>
                <w:sz w:val="18"/>
              </w:rPr>
              <w:t>Auxiliary communication volume metric.</w:t>
            </w:r>
          </w:p>
        </w:tc>
      </w:tr>
      <w:tr>
        <w:tc>
          <w:tcPr>
            <w:tcW w:type="dxa" w:w="864"/>
            <w:shd w:val="clear" w:color="auto" w:fill="F1F5F9"/>
            <w:tcMar>
              <w:top w:w="80" w:type="dxa"/>
              <w:bottom w:w="80" w:type="dxa"/>
              <w:left w:w="120" w:type="dxa"/>
              <w:right w:w="120" w:type="dxa"/>
            </w:tcMar>
          </w:tcPr>
          <w:p>
            <w:pPr>
              <w:spacing w:after="0"/>
            </w:pPr>
            <w:r>
              <w:rPr>
                <w:color w:val="1F2937"/>
                <w:sz w:val="18"/>
              </w:rPr>
              <w:t>6</w:t>
            </w:r>
          </w:p>
        </w:tc>
        <w:tc>
          <w:tcPr>
            <w:tcW w:type="dxa" w:w="2304"/>
            <w:shd w:val="clear" w:color="auto" w:fill="F1F5F9"/>
            <w:tcMar>
              <w:top w:w="80" w:type="dxa"/>
              <w:bottom w:w="80" w:type="dxa"/>
              <w:left w:w="120" w:type="dxa"/>
              <w:right w:w="120" w:type="dxa"/>
            </w:tcMar>
          </w:tcPr>
          <w:p>
            <w:pPr>
              <w:spacing w:after="0"/>
            </w:pPr>
            <w:r>
              <w:rPr>
                <w:color w:val="1F2937"/>
                <w:sz w:val="18"/>
              </w:rPr>
              <w:t>num_dependents</w:t>
            </w:r>
          </w:p>
        </w:tc>
        <w:tc>
          <w:tcPr>
            <w:tcW w:type="dxa" w:w="2016"/>
            <w:shd w:val="clear" w:color="auto" w:fill="F1F5F9"/>
            <w:tcMar>
              <w:top w:w="80" w:type="dxa"/>
              <w:bottom w:w="80" w:type="dxa"/>
              <w:left w:w="120" w:type="dxa"/>
              <w:right w:w="120" w:type="dxa"/>
            </w:tcMar>
          </w:tcPr>
          <w:p>
            <w:pPr>
              <w:spacing w:after="0"/>
            </w:pPr>
            <w:r>
              <w:rPr>
                <w:color w:val="1F2937"/>
                <w:sz w:val="18"/>
              </w:rPr>
              <w:t>4.79%</w:t>
            </w:r>
          </w:p>
        </w:tc>
        <w:tc>
          <w:tcPr>
            <w:tcW w:type="dxa" w:w="2016"/>
            <w:shd w:val="clear" w:color="auto" w:fill="F1F5F9"/>
            <w:tcMar>
              <w:top w:w="80" w:type="dxa"/>
              <w:bottom w:w="80" w:type="dxa"/>
              <w:left w:w="120" w:type="dxa"/>
              <w:right w:w="120" w:type="dxa"/>
            </w:tcMar>
          </w:tcPr>
          <w:p>
            <w:pPr>
              <w:spacing w:after="0"/>
            </w:pPr>
            <w:r>
              <w:rPr>
                <w:color w:val="1F2937"/>
                <w:sz w:val="18"/>
              </w:rPr>
              <w:t>8.85%</w:t>
            </w:r>
          </w:p>
        </w:tc>
        <w:tc>
          <w:tcPr>
            <w:tcW w:type="dxa" w:w="3168"/>
            <w:shd w:val="clear" w:color="auto" w:fill="F1F5F9"/>
            <w:tcMar>
              <w:top w:w="80" w:type="dxa"/>
              <w:bottom w:w="80" w:type="dxa"/>
              <w:left w:w="120" w:type="dxa"/>
              <w:right w:w="120" w:type="dxa"/>
            </w:tcMar>
          </w:tcPr>
          <w:p>
            <w:pPr>
              <w:spacing w:after="0"/>
            </w:pPr>
            <w:r>
              <w:rPr>
                <w:color w:val="1F2937"/>
                <w:sz w:val="18"/>
              </w:rPr>
              <w:t>Household contract stability; family accounts display higher platform retention.</w:t>
            </w:r>
          </w:p>
        </w:tc>
      </w:tr>
      <w:tr>
        <w:tc>
          <w:tcPr>
            <w:tcW w:type="dxa" w:w="864"/>
            <w:shd w:val="clear" w:color="auto" w:fill="FFFFFF"/>
            <w:tcMar>
              <w:top w:w="80" w:type="dxa"/>
              <w:bottom w:w="80" w:type="dxa"/>
              <w:left w:w="120" w:type="dxa"/>
              <w:right w:w="120" w:type="dxa"/>
            </w:tcMar>
          </w:tcPr>
          <w:p>
            <w:pPr>
              <w:spacing w:after="0"/>
            </w:pPr>
            <w:r>
              <w:rPr>
                <w:color w:val="1F2937"/>
                <w:sz w:val="18"/>
              </w:rPr>
              <w:t>7</w:t>
            </w:r>
          </w:p>
        </w:tc>
        <w:tc>
          <w:tcPr>
            <w:tcW w:type="dxa" w:w="2304"/>
            <w:shd w:val="clear" w:color="auto" w:fill="FFFFFF"/>
            <w:tcMar>
              <w:top w:w="80" w:type="dxa"/>
              <w:bottom w:w="80" w:type="dxa"/>
              <w:left w:w="120" w:type="dxa"/>
              <w:right w:w="120" w:type="dxa"/>
            </w:tcMar>
          </w:tcPr>
          <w:p>
            <w:pPr>
              <w:spacing w:after="0"/>
            </w:pPr>
            <w:r>
              <w:rPr>
                <w:color w:val="1F2937"/>
                <w:sz w:val="18"/>
              </w:rPr>
              <w:t>telecom_partner</w:t>
            </w:r>
          </w:p>
        </w:tc>
        <w:tc>
          <w:tcPr>
            <w:tcW w:type="dxa" w:w="2016"/>
            <w:shd w:val="clear" w:color="auto" w:fill="FFFFFF"/>
            <w:tcMar>
              <w:top w:w="80" w:type="dxa"/>
              <w:bottom w:w="80" w:type="dxa"/>
              <w:left w:w="120" w:type="dxa"/>
              <w:right w:w="120" w:type="dxa"/>
            </w:tcMar>
          </w:tcPr>
          <w:p>
            <w:pPr>
              <w:spacing w:after="0"/>
            </w:pPr>
            <w:r>
              <w:rPr>
                <w:color w:val="1F2937"/>
                <w:sz w:val="18"/>
              </w:rPr>
              <w:t>3.50%</w:t>
            </w:r>
          </w:p>
        </w:tc>
        <w:tc>
          <w:tcPr>
            <w:tcW w:type="dxa" w:w="2016"/>
            <w:shd w:val="clear" w:color="auto" w:fill="FFFFFF"/>
            <w:tcMar>
              <w:top w:w="80" w:type="dxa"/>
              <w:bottom w:w="80" w:type="dxa"/>
              <w:left w:w="120" w:type="dxa"/>
              <w:right w:w="120" w:type="dxa"/>
            </w:tcMar>
          </w:tcPr>
          <w:p>
            <w:pPr>
              <w:spacing w:after="0"/>
            </w:pPr>
            <w:r>
              <w:rPr>
                <w:color w:val="1F2937"/>
                <w:sz w:val="18"/>
              </w:rPr>
              <w:t>9.30%</w:t>
            </w:r>
          </w:p>
        </w:tc>
        <w:tc>
          <w:tcPr>
            <w:tcW w:type="dxa" w:w="3168"/>
            <w:shd w:val="clear" w:color="auto" w:fill="FFFFFF"/>
            <w:tcMar>
              <w:top w:w="80" w:type="dxa"/>
              <w:bottom w:w="80" w:type="dxa"/>
              <w:left w:w="120" w:type="dxa"/>
              <w:right w:w="120" w:type="dxa"/>
            </w:tcMar>
          </w:tcPr>
          <w:p>
            <w:pPr>
              <w:spacing w:after="0"/>
            </w:pPr>
            <w:r>
              <w:rPr>
                <w:color w:val="1F2937"/>
                <w:sz w:val="18"/>
              </w:rPr>
              <w:t>Carrier distribution effects across Airtel, BSNL, Jio, and Vodafone.</w:t>
            </w:r>
          </w:p>
        </w:tc>
      </w:tr>
      <w:tr>
        <w:tc>
          <w:tcPr>
            <w:tcW w:type="dxa" w:w="864"/>
            <w:shd w:val="clear" w:color="auto" w:fill="F1F5F9"/>
            <w:tcMar>
              <w:top w:w="80" w:type="dxa"/>
              <w:bottom w:w="80" w:type="dxa"/>
              <w:left w:w="120" w:type="dxa"/>
              <w:right w:w="120" w:type="dxa"/>
            </w:tcMar>
          </w:tcPr>
          <w:p>
            <w:pPr>
              <w:spacing w:after="0"/>
            </w:pPr>
            <w:r>
              <w:rPr>
                <w:color w:val="1F2937"/>
                <w:sz w:val="18"/>
              </w:rPr>
              <w:t>8</w:t>
            </w:r>
          </w:p>
        </w:tc>
        <w:tc>
          <w:tcPr>
            <w:tcW w:type="dxa" w:w="2304"/>
            <w:shd w:val="clear" w:color="auto" w:fill="F1F5F9"/>
            <w:tcMar>
              <w:top w:w="80" w:type="dxa"/>
              <w:bottom w:w="80" w:type="dxa"/>
              <w:left w:w="120" w:type="dxa"/>
              <w:right w:w="120" w:type="dxa"/>
            </w:tcMar>
          </w:tcPr>
          <w:p>
            <w:pPr>
              <w:spacing w:after="0"/>
            </w:pPr>
            <w:r>
              <w:rPr>
                <w:color w:val="1F2937"/>
                <w:sz w:val="18"/>
              </w:rPr>
              <w:t>gender</w:t>
            </w:r>
          </w:p>
        </w:tc>
        <w:tc>
          <w:tcPr>
            <w:tcW w:type="dxa" w:w="2016"/>
            <w:shd w:val="clear" w:color="auto" w:fill="F1F5F9"/>
            <w:tcMar>
              <w:top w:w="80" w:type="dxa"/>
              <w:bottom w:w="80" w:type="dxa"/>
              <w:left w:w="120" w:type="dxa"/>
              <w:right w:w="120" w:type="dxa"/>
            </w:tcMar>
          </w:tcPr>
          <w:p>
            <w:pPr>
              <w:spacing w:after="0"/>
            </w:pPr>
            <w:r>
              <w:rPr>
                <w:color w:val="1F2937"/>
                <w:sz w:val="18"/>
              </w:rPr>
              <w:t>1.20%</w:t>
            </w:r>
          </w:p>
        </w:tc>
        <w:tc>
          <w:tcPr>
            <w:tcW w:type="dxa" w:w="2016"/>
            <w:shd w:val="clear" w:color="auto" w:fill="F1F5F9"/>
            <w:tcMar>
              <w:top w:w="80" w:type="dxa"/>
              <w:bottom w:w="80" w:type="dxa"/>
              <w:left w:w="120" w:type="dxa"/>
              <w:right w:w="120" w:type="dxa"/>
            </w:tcMar>
          </w:tcPr>
          <w:p>
            <w:pPr>
              <w:spacing w:after="0"/>
            </w:pPr>
            <w:r>
              <w:rPr>
                <w:color w:val="1F2937"/>
                <w:sz w:val="18"/>
              </w:rPr>
              <w:t>8.70%</w:t>
            </w:r>
          </w:p>
        </w:tc>
        <w:tc>
          <w:tcPr>
            <w:tcW w:type="dxa" w:w="3168"/>
            <w:shd w:val="clear" w:color="auto" w:fill="F1F5F9"/>
            <w:tcMar>
              <w:top w:w="80" w:type="dxa"/>
              <w:bottom w:w="80" w:type="dxa"/>
              <w:left w:w="120" w:type="dxa"/>
              <w:right w:w="120" w:type="dxa"/>
            </w:tcMar>
          </w:tcPr>
          <w:p>
            <w:pPr>
              <w:spacing w:after="0"/>
            </w:pPr>
            <w:r>
              <w:rPr>
                <w:color w:val="1F2937"/>
                <w:sz w:val="18"/>
              </w:rPr>
              <w:t>Minor demographic indicator with minimal direct correlation.</w:t>
            </w:r>
          </w:p>
        </w:tc>
      </w:tr>
    </w:tbl>
    <w:p>
      <w:pPr>
        <w:spacing w:after="80"/>
      </w:pPr>
    </w:p>
    <w:p>
      <w:pPr>
        <w:keepNext/>
        <w:spacing w:before="280" w:after="80"/>
      </w:pPr>
      <w:r>
        <w:rPr>
          <w:b/>
          <w:color w:val="2563EB"/>
          <w:sz w:val="26"/>
        </w:rPr>
        <w:t>4.2 Ensemble Majority Voting Implementation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ML ENSEMBLE INFERENCE ROUTINE SPECIFICATION</w:t>
              <w:br/>
            </w:r>
            <w:r>
              <w:rPr>
                <w:rFonts w:ascii="Consolas" w:hAnsi="Consolas"/>
                <w:color w:val="0F172A"/>
                <w:sz w:val="17"/>
              </w:rPr>
              <w:t>def predict_churn_ensemble(features: ChurnPredictionInput) -&gt; dict:</w:t>
              <w:br/>
              <w:t xml:space="preserve">    preprocessor = _load_preprocessor()</w:t>
              <w:br/>
              <w:t xml:space="preserve">    models = _load_models()</w:t>
              <w:br/>
              <w:br/>
              <w:t xml:space="preserve">    raw_df = pd.DataFrame([{</w:t>
              <w:br/>
              <w:t xml:space="preserve">        'age': features.age,</w:t>
              <w:br/>
              <w:t xml:space="preserve">        'gender': {'Male': 'M', 'Female': 'F', 'Other': 'F'}.get(features.gender, 'F'),</w:t>
              <w:br/>
              <w:t xml:space="preserve">        'num_dependents': features.num_dependents,</w:t>
              <w:br/>
              <w:t xml:space="preserve">        'estimated_salary': features.estimated_salary,</w:t>
              <w:br/>
              <w:t xml:space="preserve">        'calls_made': features.calls_made,</w:t>
              <w:br/>
              <w:t xml:space="preserve">        'sms_sent': features.sms_sent,</w:t>
              <w:br/>
              <w:t xml:space="preserve">        'data_used': features.data_used,</w:t>
              <w:br/>
              <w:t xml:space="preserve">        'telecom_partner': features.telecom_partner,</w:t>
              <w:br/>
              <w:t xml:space="preserve">    }])</w:t>
              <w:br/>
              <w:br/>
              <w:t xml:space="preserve">    X = preprocessor.transform(raw_df)</w:t>
              <w:br/>
              <w:t xml:space="preserve">    votes, probabilities = {}, {}</w:t>
              <w:br/>
              <w:t xml:space="preserve">    for name, model in models.items():</w:t>
              <w:br/>
              <w:t xml:space="preserve">        prob = float(model.predict_proba(X)[0][1])</w:t>
              <w:br/>
              <w:t xml:space="preserve">        probabilities[name] = prob</w:t>
              <w:br/>
              <w:t xml:space="preserve">        votes[name] = int(prob &gt; 0.5)</w:t>
              <w:br/>
              <w:br/>
              <w:t xml:space="preserve">    churn_votes = sum(votes.values())</w:t>
              <w:br/>
              <w:t xml:space="preserve">    is_churn = churn_votes &gt;= 2  # Majority consensus across 3 estimators</w:t>
              <w:br/>
              <w:t xml:space="preserve">    avg_prob = sum(probabilities.values()) / 3.0</w:t>
              <w:br/>
              <w:t xml:space="preserve">    confidence = max(churn_votes, 3 - churn_votes) / 3.0</w:t>
              <w:br/>
              <w:br/>
              <w:t xml:space="preserve">    risk_level = 'High' if avg_prob &gt;= 0.66 else ('Medium' if avg_prob &gt;= 0.33 else 'Low')</w:t>
              <w:br/>
              <w:t xml:space="preserve">    recommendation = (</w:t>
              <w:br/>
              <w:t xml:space="preserve">        'Immediate retention outreach recommended.' if risk_level == 'High' else</w:t>
              <w:br/>
              <w:t xml:space="preserve">        ('Monitor subscriber activity.' if risk_level == 'Medium' else 'No action needed.')</w:t>
              <w:br/>
              <w:t xml:space="preserve">    )</w:t>
              <w:br/>
              <w:t xml:space="preserve">    return {</w:t>
              <w:br/>
              <w:t xml:space="preserve">        'churn_probability': round(avg_prob, 4),</w:t>
              <w:br/>
              <w:t xml:space="preserve">        'churn_prediction': is_churn,</w:t>
              <w:br/>
              <w:t xml:space="preserve">        'confidence_score': round(confidence, 4),</w:t>
              <w:br/>
              <w:t xml:space="preserve">        'risk_level': risk_level,</w:t>
              <w:br/>
              <w:t xml:space="preserve">        'recommendation': recommendation,</w:t>
              <w:br/>
              <w:t xml:space="preserve">        'model_votes': votes</w:t>
              <w:br/>
              <w:t xml:space="preserve">    }</w:t>
            </w:r>
          </w:p>
        </w:tc>
      </w:tr>
    </w:tbl>
    <w:p>
      <w:pPr>
        <w:spacing w:after="80"/>
      </w:pPr>
    </w:p>
    <w:p>
      <w:pPr>
        <w:keepNext/>
        <w:spacing w:before="360" w:after="120"/>
      </w:pPr>
      <w:r>
        <w:rPr>
          <w:b/>
          <w:color w:val="1E3A8A"/>
          <w:sz w:val="32"/>
        </w:rPr>
        <w:t>5. Analytical REST API &amp; Serving Infrastructure (Phase 3)</w:t>
      </w:r>
    </w:p>
    <w:p>
      <w:pPr>
        <w:spacing w:after="80" w:line="288" w:lineRule="auto"/>
      </w:pPr>
      <w:r>
        <w:t>The serving tier is built on FastAPI and SQLAlchemy, acting as a decoupled read-only query layer. Analytical requests leverage database B-tree indexes and materialized columns to eliminate runtime compute overhead.</w:t>
      </w:r>
    </w:p>
    <w:p>
      <w:pPr>
        <w:keepNext/>
        <w:spacing w:before="280" w:after="80"/>
      </w:pPr>
      <w:r>
        <w:rPr>
          <w:b/>
          <w:color w:val="2563EB"/>
          <w:sz w:val="26"/>
        </w:rPr>
        <w:t>5.1 Dynamic SQL Query Compilation &amp; Pagination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FASTAPI DYNAMIC FILTERING &amp; PAGINATION SPECIFICATION</w:t>
              <w:br/>
            </w:r>
            <w:r>
              <w:rPr>
                <w:rFonts w:ascii="Consolas" w:hAnsi="Consolas"/>
                <w:color w:val="0F172A"/>
                <w:sz w:val="17"/>
              </w:rPr>
              <w:t>def get_customers_paginated(filters: CustomerFilters, page: int, page_size: int) -&gt; PaginatedCustomerResponse:</w:t>
              <w:br/>
              <w:t xml:space="preserve">    db = next(get_db())</w:t>
              <w:br/>
              <w:t xml:space="preserve">    try:</w:t>
              <w:br/>
              <w:t xml:space="preserve">        page = max(page, 1)</w:t>
              <w:br/>
              <w:t xml:space="preserve">        page_size = min(max(page_size, 1), 200)  # Defensive boundary cap</w:t>
              <w:br/>
              <w:t xml:space="preserve">        query = (</w:t>
              <w:br/>
              <w:t xml:space="preserve">            db.query(Customer, Location, TelecomPartner)</w:t>
              <w:br/>
              <w:t xml:space="preserve">            .join(Location, Customer.pincode == Location.pincode)</w:t>
              <w:br/>
              <w:t xml:space="preserve">            .join(TelecomPartner, Customer.telecom_partner_id == TelecomPartner.partner_id)</w:t>
              <w:br/>
              <w:t xml:space="preserve">        )</w:t>
              <w:br/>
              <w:t xml:space="preserve">        if filters.partner_names: query = query.filter(TelecomPartner.partner_name.in_(filters.partner_names))</w:t>
              <w:br/>
              <w:t xml:space="preserve">        if filters.states: query = query.filter(Location.state.in_(filters.states))</w:t>
              <w:br/>
              <w:t xml:space="preserve">        if filters.risk_categories: query = query.filter(Customer.risk_category.in_(filters.risk_categories))</w:t>
              <w:br/>
              <w:t xml:space="preserve">        if filters.tenure_min is not None: query = query.filter(Customer.tenure &gt;= filters.tenure_min)</w:t>
              <w:br/>
              <w:t xml:space="preserve">        if filters.salary_min is not None: query = query.filter(Customer.estimated_salary &gt;= filters.salary_min)</w:t>
              <w:br/>
              <w:t xml:space="preserve">        if filters.search:</w:t>
              <w:br/>
              <w:t xml:space="preserve">            s = filters.search.strip()</w:t>
              <w:br/>
              <w:t xml:space="preserve">            conditions = [Location.city.ilike(f'%{s}%')]</w:t>
              <w:br/>
              <w:t xml:space="preserve">            if s.isdigit(): conditions.append(Customer.customer_id == int(s))</w:t>
              <w:br/>
              <w:t xml:space="preserve">            query = query.filter(or_(*conditions))</w:t>
              <w:br/>
              <w:br/>
              <w:t xml:space="preserve">        total_items = query.count()</w:t>
              <w:br/>
              <w:t xml:space="preserve">        total_pages = max((total_items + page_size - 1) // page_size, 1)</w:t>
              <w:br/>
              <w:t xml:space="preserve">        rows = query.order_by(Customer.customer_id.asc()).offset((page - 1) * page_size).limit(page_size).all()</w:t>
              <w:br/>
              <w:t xml:space="preserve">        items = [CustomerListItem.from_orm(c, loc, partner) for c, loc, partner in rows]</w:t>
              <w:br/>
              <w:t xml:space="preserve">        return PaginatedCustomerResponse(</w:t>
              <w:br/>
              <w:t xml:space="preserve">            meta=PaginationMeta(page=page, page_size=page_size, total_items=total_items, total_pages=total_pages),</w:t>
              <w:br/>
              <w:t xml:space="preserve">            items=items</w:t>
              <w:br/>
              <w:t xml:space="preserve">        )</w:t>
              <w:br/>
              <w:t xml:space="preserve">    finally:</w:t>
              <w:br/>
              <w:t xml:space="preserve">        db.close()</w:t>
            </w:r>
          </w:p>
        </w:tc>
      </w:tr>
    </w:tbl>
    <w:p>
      <w:pPr>
        <w:spacing w:after="80"/>
      </w:pPr>
    </w:p>
    <w:p>
      <w:pPr>
        <w:keepNext/>
        <w:spacing w:before="280" w:after="80"/>
      </w:pPr>
      <w:r>
        <w:rPr>
          <w:b/>
          <w:color w:val="2563EB"/>
          <w:sz w:val="26"/>
        </w:rPr>
        <w:t>5.2 Cohort Windowing Implementation</w:t>
      </w:r>
    </w:p>
    <w:p>
      <w:pPr>
        <w:spacing w:after="80" w:line="288" w:lineRule="auto"/>
      </w:pPr>
      <w:r>
        <w:t>Rolling 30-day cohort windows compute acquisition momentum, churn rate progression, and high-risk migration without requiring distributed table scans: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ROLLING 30-DAY COHORT WINDOWING SPECIFICATION</w:t>
              <w:br/>
            </w:r>
            <w:r>
              <w:rPr>
                <w:rFonts w:ascii="Consolas" w:hAnsi="Consolas"/>
                <w:color w:val="0F172A"/>
                <w:sz w:val="17"/>
              </w:rPr>
              <w:t>def get_kpi_summary() -&gt; KpiSummaryResponse:</w:t>
              <w:br/>
              <w:t xml:space="preserve">    db = next(get_db())</w:t>
              <w:br/>
              <w:t xml:space="preserve">    try:</w:t>
              <w:br/>
              <w:t xml:space="preserve">        total_customers = db.query(func.count(Customer.customer_id)).scalar() or 0</w:t>
              <w:br/>
              <w:t xml:space="preserve">        churned = db.query(func.count(Customer.customer_id)).filter(Customer.churn.is_(True)).scalar() or 0</w:t>
              <w:br/>
              <w:t xml:space="preserve">        churn_rate = round((churned / total_customers) * 100, 2) if total_customers else 0.0</w:t>
              <w:br/>
              <w:t xml:space="preserve">        high_risk = db.query(func.count(Customer.customer_id)).filter(Customer.risk_category == 'High Risk').scalar() or 0</w:t>
              <w:br/>
              <w:br/>
              <w:t xml:space="preserve">        today = date.today()</w:t>
              <w:br/>
              <w:t xml:space="preserve">        w_start, prev_w_start = today - timedelta(days=30), today - timedelta(days=60)</w:t>
              <w:br/>
              <w:t xml:space="preserve">        def cohort(start, end):</w:t>
              <w:br/>
              <w:t xml:space="preserve">            q = db.query(Customer).filter(Customer.date_of_registration &gt;= start, Customer.date_of_registration &lt; end)</w:t>
              <w:br/>
              <w:t xml:space="preserve">            tot = q.count()</w:t>
              <w:br/>
              <w:t xml:space="preserve">            ch = q.filter(Customer.churn.is_(True)).count()</w:t>
              <w:br/>
              <w:t xml:space="preserve">            hr = q.filter(Customer.risk_category == 'High Risk').count()</w:t>
              <w:br/>
              <w:t xml:space="preserve">            return tot, (round((ch / tot) * 100, 2) if tot else 0.0), hr</w:t>
              <w:br/>
              <w:br/>
              <w:t xml:space="preserve">        c_tot, c_rate, c_hr = cohort(w_start, today + timedelta(days=1))</w:t>
              <w:br/>
              <w:t xml:space="preserve">        p_tot, p_rate, p_hr = cohort(prev_w_start, w_start)</w:t>
              <w:br/>
              <w:t xml:space="preserve">        pct_d = lambda c, p: round(((c - p) / p) * 100, 2) if p else None</w:t>
              <w:br/>
              <w:br/>
              <w:t xml:space="preserve">        return KpiSummaryResponse(</w:t>
              <w:br/>
              <w:t xml:space="preserve">            total_customers=total_customers, churn_rate_pct=churn_rate, high_risk_count=high_risk, arpu=None,</w:t>
              <w:br/>
              <w:t xml:space="preserve">            new_customers_trend=KpiTrend(current_period_value=c_tot, previous_period_value=p_tot, delta_pct=pct_d(c_tot, p_tot)),</w:t>
              <w:br/>
              <w:t xml:space="preserve">            churn_rate_trend=KpiTrend(current_period_value=c_rate, previous_period_value=p_rate, delta_pct=pct_d(c_rate, p_rate)),</w:t>
              <w:br/>
              <w:t xml:space="preserve">            high_risk_trend=KpiTrend(current_period_value=c_hr, previous_period_value=p_hr, delta_pct=pct_d(c_hr, p_hr))</w:t>
              <w:br/>
              <w:t xml:space="preserve">        )</w:t>
              <w:br/>
              <w:t xml:space="preserve">    finally:</w:t>
              <w:br/>
              <w:t xml:space="preserve">        db.close()</w:t>
            </w:r>
          </w:p>
        </w:tc>
      </w:tr>
    </w:tbl>
    <w:p>
      <w:pPr>
        <w:spacing w:after="80"/>
      </w:pPr>
    </w:p>
    <w:p>
      <w:pPr>
        <w:keepNext/>
        <w:spacing w:before="360" w:after="120"/>
      </w:pPr>
      <w:r>
        <w:rPr>
          <w:b/>
          <w:color w:val="1E3A8A"/>
          <w:sz w:val="32"/>
        </w:rPr>
        <w:t>6. Operational AI Assistant with Mandatory Guardrails (Phase 3)</w:t>
      </w:r>
    </w:p>
    <w:p>
      <w:pPr>
        <w:spacing w:after="80" w:line="288" w:lineRule="auto"/>
      </w:pPr>
      <w:r>
        <w:t>The operational assistant exposes a natural language interface over database telemetry and model coefficients. To eliminate LLM hallucinations, data leakage, and ungrounded speculation, the assistant enforces four non-negotiable architectural guardrails:</w:t>
      </w:r>
    </w:p>
    <w:p>
      <w:pPr>
        <w:pStyle w:val="ListBullet"/>
        <w:spacing w:after="60" w:line="276" w:lineRule="auto"/>
      </w:pPr>
      <w:r>
        <w:rPr>
          <w:b/>
          <w:color w:val="0F172A"/>
        </w:rPr>
        <w:t xml:space="preserve">Guardrail 1: </w:t>
      </w:r>
      <w:r>
        <w:t>Guardrail 1: Grounded Veracity (Anti-Hallucination): Every quantitative figure in the assistant response must originate directly from an executed tool call. Unmeasured metrics (CSAT, NPS, network outages, competitor pricing, absent ARPU) are rejected with verified baseline metrics.</w:t>
      </w:r>
    </w:p>
    <w:p>
      <w:pPr>
        <w:pStyle w:val="ListBullet"/>
        <w:spacing w:after="60" w:line="276" w:lineRule="auto"/>
      </w:pPr>
      <w:r>
        <w:rPr>
          <w:b/>
          <w:color w:val="0F172A"/>
        </w:rPr>
        <w:t xml:space="preserve">Guardrail 2: </w:t>
      </w:r>
      <w:r>
        <w:t>Guardrail 2: Hard-Capped Output Bounds (Payload Protection): Customer list exports are strictly capped at 5 sample records. Tabular dumps report total database matches and direct the user to the paginated table.</w:t>
      </w:r>
    </w:p>
    <w:p>
      <w:pPr>
        <w:pStyle w:val="ListBullet"/>
        <w:spacing w:after="60" w:line="276" w:lineRule="auto"/>
      </w:pPr>
      <w:r>
        <w:rPr>
          <w:b/>
          <w:color w:val="0F172A"/>
        </w:rPr>
        <w:t xml:space="preserve">Guardrail 3: </w:t>
      </w:r>
      <w:r>
        <w:t>Guardrail 3: Causal Attribution Boundary (Correlation vs. Causation): Requests to attribute churn to unmeasured external events (e.g., price hikes, customer support quality) are rejected. Responses cite empirical model feature importance weights to frame answers around correlation.</w:t>
      </w:r>
    </w:p>
    <w:p>
      <w:pPr>
        <w:pStyle w:val="ListBullet"/>
        <w:spacing w:after="60" w:line="276" w:lineRule="auto"/>
      </w:pPr>
      <w:r>
        <w:rPr>
          <w:b/>
          <w:color w:val="0F172A"/>
        </w:rPr>
        <w:t xml:space="preserve">Guardrail 4: </w:t>
      </w:r>
      <w:r>
        <w:t>Guardrail 4: Context Slicing: Conversation histories are constrained to a sliding window of the latest 8 turns, keeping context windows bounded and predictable.</w:t>
      </w:r>
    </w:p>
    <w:p>
      <w:pPr>
        <w:keepNext/>
        <w:spacing w:before="280" w:after="80"/>
      </w:pPr>
      <w:r>
        <w:rPr>
          <w:b/>
          <w:color w:val="2563EB"/>
          <w:sz w:val="26"/>
        </w:rPr>
        <w:t>6.1 Guardrail Orchestration Implementation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ASSISTANT GUARDRAIL INTERCEPT ENGINE SPECIFICATION</w:t>
              <w:br/>
            </w:r>
            <w:r>
              <w:rPr>
                <w:rFonts w:ascii="Consolas" w:hAnsi="Consolas"/>
                <w:color w:val="0F172A"/>
                <w:sz w:val="17"/>
              </w:rPr>
              <w:t>def process_chat_turn_internal(messages: list[dict[str, str]]) -&gt; dict[str, Any]:</w:t>
              <w:br/>
              <w:t xml:space="preserve">    query = next((m['content'] for m in reversed(messages) if m.get('role') == 'user'), '').lower().strip()</w:t>
              <w:br/>
              <w:t xml:space="preserve">    tool_calls = []</w:t>
              <w:br/>
              <w:br/>
              <w:t xml:space="preserve">    # Guardrail 1: Intercept Unmeasured Operational Metrics</w:t>
              <w:br/>
              <w:t xml:space="preserve">    if any(k in query for k in ['csat', 'nps', 'satisfaction', 'outage', 'competitor', 'marketing spend']):</w:t>
              <w:br/>
              <w:t xml:space="preserve">        kpis = execute_tool('get_kpis', {})</w:t>
              <w:br/>
              <w:t xml:space="preserve">        tool_calls.append({'tool': 'get_kpis', 'arguments': {}, 'result': kpis})</w:t>
              <w:br/>
              <w:t xml:space="preserve">        return {</w:t>
              <w:br/>
              <w:t xml:space="preserve">            'content': (</w:t>
              <w:br/>
              <w:t xml:space="preserve">                '**Guardrail Notice — Data Not Available:**\n\n'</w:t>
              <w:br/>
              <w:t xml:space="preserve">                'No database tool or table in our system tracks that metric (e.g., CSAT, outages, competitor pricing).\n'</w:t>
              <w:br/>
              <w:t xml:space="preserve">                f'Verified metrics: Total Customers: {kpis["total_customers"]:,} | Churn Rate: {kpis["churn_rate_pct"]}%'</w:t>
              <w:br/>
              <w:t xml:space="preserve">            ),</w:t>
              <w:br/>
              <w:t xml:space="preserve">            'tool_calls': tool_calls</w:t>
              <w:br/>
              <w:t xml:space="preserve">        }</w:t>
              <w:br/>
              <w:br/>
              <w:t xml:space="preserve">    # Guardrail 3: Intercept Speculative Causal Inquiries</w:t>
              <w:br/>
              <w:t xml:space="preserve">    if any(w in query for w in ['why did churn', 'why customers leave', 'price hike', 'bad support']):</w:t>
              <w:br/>
              <w:t xml:space="preserve">        drivers = execute_tool('get_model_feature_drivers', {})</w:t>
              <w:br/>
              <w:t xml:space="preserve">        kpis = execute_tool('get_kpis', {})</w:t>
              <w:br/>
              <w:t xml:space="preserve">        tool_calls.extend([</w:t>
              <w:br/>
              <w:t xml:space="preserve">            {'tool': 'get_model_feature_drivers', 'arguments': {}, 'result': drivers},</w:t>
              <w:br/>
              <w:t xml:space="preserve">            {'tool': 'get_kpis', 'arguments': {}, 'result': kpis}</w:t>
              <w:br/>
              <w:t xml:space="preserve">        ])</w:t>
              <w:br/>
              <w:t xml:space="preserve">        return {</w:t>
              <w:br/>
              <w:t xml:space="preserve">            'content': (</w:t>
              <w:br/>
              <w:t xml:space="preserve">                '**Guardrail Notice — Causal Attribution Limitation:**\n\n'</w:t>
              <w:br/>
              <w:t xml:space="preserve">                'The system tracks observed usage telemetry rather than external causality. '</w:t>
              <w:br/>
              <w:t xml:space="preserve">                'Production model feature importance weights:\n'</w:t>
              <w:br/>
              <w:t xml:space="preserve">                '- estimated_salary: 21.71% (Economic capacity)\n'</w:t>
              <w:br/>
              <w:t xml:space="preserve">                '- data_used: 21.27% (Broadband consumption)\n'</w:t>
              <w:br/>
              <w:t xml:space="preserve">                '- calls_made: 17.22% (Voice channel activity)\n'</w:t>
              <w:br/>
              <w:t xml:space="preserve">                '- age: 15.21% (Demographic cohort)'</w:t>
              <w:br/>
              <w:t xml:space="preserve">            ),</w:t>
              <w:br/>
              <w:t xml:space="preserve">            'tool_calls': tool_calls</w:t>
              <w:br/>
              <w:t xml:space="preserve">        }</w:t>
            </w:r>
          </w:p>
        </w:tc>
      </w:tr>
    </w:tbl>
    <w:p>
      <w:pPr>
        <w:spacing w:after="80"/>
      </w:pPr>
    </w:p>
    <w:p>
      <w:pPr>
        <w:keepNext/>
        <w:spacing w:before="360" w:after="120"/>
      </w:pPr>
      <w:r>
        <w:rPr>
          <w:b/>
          <w:color w:val="1E3A8A"/>
          <w:sz w:val="32"/>
        </w:rPr>
        <w:t>7. Reactive Operations Console (Phase 4)</w:t>
      </w:r>
    </w:p>
    <w:p>
      <w:pPr>
        <w:spacing w:after="80" w:line="288" w:lineRule="auto"/>
      </w:pPr>
      <w:r>
        <w:t>The front-end user interface is implemented as a single-page React 18 application bundled with Vite. Styled with a high-density operations-center theme, it features dynamic metric toggles, multi-filter customer browsing, and an interactive prediction sandbox.</w:t>
      </w:r>
    </w:p>
    <w:p>
      <w:pPr>
        <w:keepNext/>
        <w:spacing w:before="280" w:after="80"/>
      </w:pPr>
      <w:r>
        <w:rPr>
          <w:b/>
          <w:color w:val="2563EB"/>
          <w:sz w:val="26"/>
        </w:rPr>
        <w:t>7.1 Reactive Customer Data Hook</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8FAFC"/>
            <w:tcMar>
              <w:top w:w="100" w:type="dxa"/>
              <w:bottom w:w="100" w:type="dxa"/>
              <w:left w:w="140" w:type="dxa"/>
              <w:right w:w="120" w:type="dxa"/>
            </w:tcMar>
          </w:tcPr>
          <w:p>
            <w:pPr>
              <w:spacing w:after="0" w:line="264" w:lineRule="auto"/>
            </w:pPr>
            <w:r>
              <w:rPr>
                <w:rFonts w:ascii="Consolas" w:hAnsi="Consolas"/>
                <w:b/>
                <w:color w:val="64748B"/>
                <w:sz w:val="17"/>
              </w:rPr>
              <w:t>// REACT CUSTOM HOOK (USECUSTOMERS) SPECIFICATION</w:t>
              <w:br/>
            </w:r>
            <w:r>
              <w:rPr>
                <w:rFonts w:ascii="Consolas" w:hAnsi="Consolas"/>
                <w:color w:val="0F172A"/>
                <w:sz w:val="17"/>
              </w:rPr>
              <w:t>export function useCustomers(initialFilters = {}) {</w:t>
              <w:br/>
              <w:t xml:space="preserve">  const [customers, setCustomers] = useState([]);</w:t>
              <w:br/>
              <w:t xml:space="preserve">  const [meta, setMeta] = useState({ page: 1, page_size: 25, total_items: 0, total_pages: 1 });</w:t>
              <w:br/>
              <w:t xml:space="preserve">  const [filters, setFilters] = useState(initialFilters);</w:t>
              <w:br/>
              <w:t xml:space="preserve">  const [loading, setLoading] = useState(false);</w:t>
              <w:br/>
              <w:br/>
              <w:t xml:space="preserve">  const loadData = useCallback(async (activeFilters, targetPage) =&gt; {</w:t>
              <w:br/>
              <w:t xml:space="preserve">    setLoading(true);</w:t>
              <w:br/>
              <w:t xml:space="preserve">    try {</w:t>
              <w:br/>
              <w:t xml:space="preserve">      const response = await fetchCustomers({ ...activeFilters, page: targetPage });</w:t>
              <w:br/>
              <w:t xml:space="preserve">      setCustomers(response.items);</w:t>
              <w:br/>
              <w:t xml:space="preserve">      setMeta(response.meta);</w:t>
              <w:br/>
              <w:t xml:space="preserve">    } finally {</w:t>
              <w:br/>
              <w:t xml:space="preserve">      setLoading(false);</w:t>
              <w:br/>
              <w:t xml:space="preserve">    }</w:t>
              <w:br/>
              <w:t xml:space="preserve">  }, []);</w:t>
              <w:br/>
              <w:br/>
              <w:t xml:space="preserve">  useEffect(() =&gt; { loadData(filters, meta.page); }, [filters, meta.page, loadData]);</w:t>
              <w:br/>
              <w:t xml:space="preserve">  return { customers, meta, filters, setPage: (p) =&gt; setMeta(prev =&gt; ({ ...prev, page: p })), updateFilters: (f) =&gt; { setFilters(f); setMeta(prev =&gt; ({ ...prev, page: 1 })); }, loading };</w:t>
              <w:br/>
              <w:t>}</w:t>
            </w:r>
          </w:p>
        </w:tc>
      </w:tr>
    </w:tbl>
    <w:p>
      <w:pPr>
        <w:spacing w:after="80"/>
      </w:pPr>
    </w:p>
    <w:p>
      <w:pPr>
        <w:keepNext/>
        <w:spacing w:before="360" w:after="120"/>
      </w:pPr>
      <w:r>
        <w:rPr>
          <w:b/>
          <w:color w:val="1E3A8A"/>
          <w:sz w:val="32"/>
        </w:rPr>
        <w:t>8. Technical Review Verification Matrix</w:t>
      </w:r>
    </w:p>
    <w:p>
      <w:pPr>
        <w:spacing w:after="80" w:line="288" w:lineRule="auto"/>
      </w:pPr>
      <w:r>
        <w:t>The following matrix maps target architectural requirements to their technical implementations and operational verification metrics: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1728"/>
            <w:shd w:val="clear" w:color="auto" w:fill="1E3A8A"/>
            <w:tcMar>
              <w:top w:w="100" w:type="dxa"/>
              <w:bottom w:w="100" w:type="dxa"/>
              <w:left w:w="120" w:type="dxa"/>
              <w:right w:w="120" w:type="dxa"/>
            </w:tcMar>
          </w:tcPr>
          <w:p>
            <w:pPr>
              <w:spacing w:after="0"/>
            </w:pPr>
            <w:r>
              <w:rPr>
                <w:b/>
                <w:color w:val="FFFFFF"/>
                <w:sz w:val="18"/>
              </w:rPr>
              <w:t>Capability</w:t>
            </w:r>
          </w:p>
        </w:tc>
        <w:tc>
          <w:tcPr>
            <w:tcW w:type="dxa" w:w="2592"/>
            <w:shd w:val="clear" w:color="auto" w:fill="1E3A8A"/>
            <w:tcMar>
              <w:top w:w="100" w:type="dxa"/>
              <w:bottom w:w="100" w:type="dxa"/>
              <w:left w:w="120" w:type="dxa"/>
              <w:right w:w="120" w:type="dxa"/>
            </w:tcMar>
          </w:tcPr>
          <w:p>
            <w:pPr>
              <w:spacing w:after="0"/>
            </w:pPr>
            <w:r>
              <w:rPr>
                <w:b/>
                <w:color w:val="FFFFFF"/>
                <w:sz w:val="18"/>
              </w:rPr>
              <w:t>Target Requirement</w:t>
            </w:r>
          </w:p>
        </w:tc>
        <w:tc>
          <w:tcPr>
            <w:tcW w:type="dxa" w:w="2880"/>
            <w:shd w:val="clear" w:color="auto" w:fill="1E3A8A"/>
            <w:tcMar>
              <w:top w:w="100" w:type="dxa"/>
              <w:bottom w:w="100" w:type="dxa"/>
              <w:left w:w="120" w:type="dxa"/>
              <w:right w:w="120" w:type="dxa"/>
            </w:tcMar>
          </w:tcPr>
          <w:p>
            <w:pPr>
              <w:spacing w:after="0"/>
            </w:pPr>
            <w:r>
              <w:rPr>
                <w:b/>
                <w:color w:val="FFFFFF"/>
                <w:sz w:val="18"/>
              </w:rPr>
              <w:t>Implementation Mechanism</w:t>
            </w:r>
          </w:p>
        </w:tc>
        <w:tc>
          <w:tcPr>
            <w:tcW w:type="dxa" w:w="3168"/>
            <w:shd w:val="clear" w:color="auto" w:fill="1E3A8A"/>
            <w:tcMar>
              <w:top w:w="100" w:type="dxa"/>
              <w:bottom w:w="100" w:type="dxa"/>
              <w:left w:w="120" w:type="dxa"/>
              <w:right w:w="120" w:type="dxa"/>
            </w:tcMar>
          </w:tcPr>
          <w:p>
            <w:pPr>
              <w:spacing w:after="0"/>
            </w:pPr>
            <w:r>
              <w:rPr>
                <w:b/>
                <w:color w:val="FFFFFF"/>
                <w:sz w:val="18"/>
              </w:rPr>
              <w:t>Verification Evidence</w:t>
            </w:r>
          </w:p>
        </w:tc>
      </w:tr>
      <w:tr>
        <w:tc>
          <w:tcPr>
            <w:tcW w:type="dxa" w:w="1728"/>
            <w:shd w:val="clear" w:color="auto" w:fill="FFFFFF"/>
            <w:tcMar>
              <w:top w:w="80" w:type="dxa"/>
              <w:bottom w:w="80" w:type="dxa"/>
              <w:left w:w="120" w:type="dxa"/>
              <w:right w:w="120" w:type="dxa"/>
            </w:tcMar>
          </w:tcPr>
          <w:p>
            <w:pPr>
              <w:spacing w:after="0"/>
            </w:pPr>
            <w:r>
              <w:rPr>
                <w:color w:val="1F2937"/>
                <w:sz w:val="18"/>
              </w:rPr>
              <w:t>Data Lakehouse</w:t>
            </w:r>
          </w:p>
        </w:tc>
        <w:tc>
          <w:tcPr>
            <w:tcW w:type="dxa" w:w="2592"/>
            <w:shd w:val="clear" w:color="auto" w:fill="FFFFFF"/>
            <w:tcMar>
              <w:top w:w="80" w:type="dxa"/>
              <w:bottom w:w="80" w:type="dxa"/>
              <w:left w:w="120" w:type="dxa"/>
              <w:right w:w="120" w:type="dxa"/>
            </w:tcMar>
          </w:tcPr>
          <w:p>
            <w:pPr>
              <w:spacing w:after="0"/>
            </w:pPr>
            <w:r>
              <w:rPr>
                <w:color w:val="1F2937"/>
                <w:sz w:val="18"/>
              </w:rPr>
              <w:t>Raw extract validation and Medallion zone isolation.</w:t>
            </w:r>
          </w:p>
        </w:tc>
        <w:tc>
          <w:tcPr>
            <w:tcW w:type="dxa" w:w="2880"/>
            <w:shd w:val="clear" w:color="auto" w:fill="FFFFFF"/>
            <w:tcMar>
              <w:top w:w="80" w:type="dxa"/>
              <w:bottom w:w="80" w:type="dxa"/>
              <w:left w:w="120" w:type="dxa"/>
              <w:right w:w="120" w:type="dxa"/>
            </w:tcMar>
          </w:tcPr>
          <w:p>
            <w:pPr>
              <w:spacing w:after="0"/>
            </w:pPr>
            <w:r>
              <w:rPr>
                <w:color w:val="1F2937"/>
                <w:sz w:val="18"/>
              </w:rPr>
              <w:t>PySpark 4-tier pipeline with automated assertions.</w:t>
            </w:r>
          </w:p>
        </w:tc>
        <w:tc>
          <w:tcPr>
            <w:tcW w:type="dxa" w:w="3168"/>
            <w:shd w:val="clear" w:color="auto" w:fill="FFFFFF"/>
            <w:tcMar>
              <w:top w:w="80" w:type="dxa"/>
              <w:bottom w:w="80" w:type="dxa"/>
              <w:left w:w="120" w:type="dxa"/>
              <w:right w:w="120" w:type="dxa"/>
            </w:tcMar>
          </w:tcPr>
          <w:p>
            <w:pPr>
              <w:spacing w:after="0"/>
            </w:pPr>
            <w:r>
              <w:rPr>
                <w:color w:val="1F2937"/>
                <w:sz w:val="18"/>
              </w:rPr>
              <w:t>243,553 rows validated across schema check, DQ assertions, and star-schema dimensional output.</w:t>
            </w:r>
          </w:p>
        </w:tc>
      </w:tr>
      <w:tr>
        <w:tc>
          <w:tcPr>
            <w:tcW w:type="dxa" w:w="1728"/>
            <w:shd w:val="clear" w:color="auto" w:fill="F1F5F9"/>
            <w:tcMar>
              <w:top w:w="80" w:type="dxa"/>
              <w:bottom w:w="80" w:type="dxa"/>
              <w:left w:w="120" w:type="dxa"/>
              <w:right w:w="120" w:type="dxa"/>
            </w:tcMar>
          </w:tcPr>
          <w:p>
            <w:pPr>
              <w:spacing w:after="0"/>
            </w:pPr>
            <w:r>
              <w:rPr>
                <w:color w:val="1F2937"/>
                <w:sz w:val="18"/>
              </w:rPr>
              <w:t>Relational Ingestion</w:t>
            </w:r>
          </w:p>
        </w:tc>
        <w:tc>
          <w:tcPr>
            <w:tcW w:type="dxa" w:w="2592"/>
            <w:shd w:val="clear" w:color="auto" w:fill="F1F5F9"/>
            <w:tcMar>
              <w:top w:w="80" w:type="dxa"/>
              <w:bottom w:w="80" w:type="dxa"/>
              <w:left w:w="120" w:type="dxa"/>
              <w:right w:w="120" w:type="dxa"/>
            </w:tcMar>
          </w:tcPr>
          <w:p>
            <w:pPr>
              <w:spacing w:after="0"/>
            </w:pPr>
            <w:r>
              <w:rPr>
                <w:color w:val="1F2937"/>
                <w:sz w:val="18"/>
              </w:rPr>
              <w:t>High-throughput loading without database deadlocks.</w:t>
            </w:r>
          </w:p>
        </w:tc>
        <w:tc>
          <w:tcPr>
            <w:tcW w:type="dxa" w:w="2880"/>
            <w:shd w:val="clear" w:color="auto" w:fill="F1F5F9"/>
            <w:tcMar>
              <w:top w:w="80" w:type="dxa"/>
              <w:bottom w:w="80" w:type="dxa"/>
              <w:left w:w="120" w:type="dxa"/>
              <w:right w:w="120" w:type="dxa"/>
            </w:tcMar>
          </w:tcPr>
          <w:p>
            <w:pPr>
              <w:spacing w:after="0"/>
            </w:pPr>
            <w:r>
              <w:rPr>
                <w:color w:val="1F2937"/>
                <w:sz w:val="18"/>
              </w:rPr>
              <w:t>Synchronous parent pre-population + parallel multiprocessing chunks.</w:t>
            </w:r>
          </w:p>
        </w:tc>
        <w:tc>
          <w:tcPr>
            <w:tcW w:type="dxa" w:w="3168"/>
            <w:shd w:val="clear" w:color="auto" w:fill="F1F5F9"/>
            <w:tcMar>
              <w:top w:w="80" w:type="dxa"/>
              <w:bottom w:w="80" w:type="dxa"/>
              <w:left w:w="120" w:type="dxa"/>
              <w:right w:w="120" w:type="dxa"/>
            </w:tcMar>
          </w:tcPr>
          <w:p>
            <w:pPr>
              <w:spacing w:after="0"/>
            </w:pPr>
            <w:r>
              <w:rPr>
                <w:color w:val="1F2937"/>
                <w:sz w:val="18"/>
              </w:rPr>
              <w:t>Deduplicated partners and locations seeded first; 243,553 customers loaded with zero foreign key violations.</w:t>
            </w:r>
          </w:p>
        </w:tc>
      </w:tr>
      <w:tr>
        <w:tc>
          <w:tcPr>
            <w:tcW w:type="dxa" w:w="1728"/>
            <w:shd w:val="clear" w:color="auto" w:fill="FFFFFF"/>
            <w:tcMar>
              <w:top w:w="80" w:type="dxa"/>
              <w:bottom w:w="80" w:type="dxa"/>
              <w:left w:w="120" w:type="dxa"/>
              <w:right w:w="120" w:type="dxa"/>
            </w:tcMar>
          </w:tcPr>
          <w:p>
            <w:pPr>
              <w:spacing w:after="0"/>
            </w:pPr>
            <w:r>
              <w:rPr>
                <w:color w:val="1F2937"/>
                <w:sz w:val="18"/>
              </w:rPr>
              <w:t>Risk Scoring</w:t>
            </w:r>
          </w:p>
        </w:tc>
        <w:tc>
          <w:tcPr>
            <w:tcW w:type="dxa" w:w="2592"/>
            <w:shd w:val="clear" w:color="auto" w:fill="FFFFFF"/>
            <w:tcMar>
              <w:top w:w="80" w:type="dxa"/>
              <w:bottom w:w="80" w:type="dxa"/>
              <w:left w:w="120" w:type="dxa"/>
              <w:right w:w="120" w:type="dxa"/>
            </w:tcMar>
          </w:tcPr>
          <w:p>
            <w:pPr>
              <w:spacing w:after="0"/>
            </w:pPr>
            <w:r>
              <w:rPr>
                <w:color w:val="1F2937"/>
                <w:sz w:val="18"/>
              </w:rPr>
              <w:t>Sub-second analytical queries without row scanning.</w:t>
            </w:r>
          </w:p>
        </w:tc>
        <w:tc>
          <w:tcPr>
            <w:tcW w:type="dxa" w:w="2880"/>
            <w:shd w:val="clear" w:color="auto" w:fill="FFFFFF"/>
            <w:tcMar>
              <w:top w:w="80" w:type="dxa"/>
              <w:bottom w:w="80" w:type="dxa"/>
              <w:left w:w="120" w:type="dxa"/>
              <w:right w:w="120" w:type="dxa"/>
            </w:tcMar>
          </w:tcPr>
          <w:p>
            <w:pPr>
              <w:spacing w:after="0"/>
            </w:pPr>
            <w:r>
              <w:rPr>
                <w:color w:val="1F2937"/>
                <w:sz w:val="18"/>
              </w:rPr>
              <w:t>Insertion-time 7-point additive heuristic evaluation persisted to columns.</w:t>
            </w:r>
          </w:p>
        </w:tc>
        <w:tc>
          <w:tcPr>
            <w:tcW w:type="dxa" w:w="3168"/>
            <w:shd w:val="clear" w:color="auto" w:fill="FFFFFF"/>
            <w:tcMar>
              <w:top w:w="80" w:type="dxa"/>
              <w:bottom w:w="80" w:type="dxa"/>
              <w:left w:w="120" w:type="dxa"/>
              <w:right w:w="120" w:type="dxa"/>
            </w:tcMar>
          </w:tcPr>
          <w:p>
            <w:pPr>
              <w:spacing w:after="0"/>
            </w:pPr>
            <w:r>
              <w:rPr>
                <w:color w:val="1F2937"/>
                <w:sz w:val="18"/>
              </w:rPr>
              <w:t>O(1) indexed reads on high-risk endpoints (199 high-risk subscribers returned in 32ms).</w:t>
            </w:r>
          </w:p>
        </w:tc>
      </w:tr>
      <w:tr>
        <w:tc>
          <w:tcPr>
            <w:tcW w:type="dxa" w:w="1728"/>
            <w:shd w:val="clear" w:color="auto" w:fill="F1F5F9"/>
            <w:tcMar>
              <w:top w:w="80" w:type="dxa"/>
              <w:bottom w:w="80" w:type="dxa"/>
              <w:left w:w="120" w:type="dxa"/>
              <w:right w:w="120" w:type="dxa"/>
            </w:tcMar>
          </w:tcPr>
          <w:p>
            <w:pPr>
              <w:spacing w:after="0"/>
            </w:pPr>
            <w:r>
              <w:rPr>
                <w:color w:val="1F2937"/>
                <w:sz w:val="18"/>
              </w:rPr>
              <w:t>ML Ensemble</w:t>
            </w:r>
          </w:p>
        </w:tc>
        <w:tc>
          <w:tcPr>
            <w:tcW w:type="dxa" w:w="2592"/>
            <w:shd w:val="clear" w:color="auto" w:fill="F1F5F9"/>
            <w:tcMar>
              <w:top w:w="80" w:type="dxa"/>
              <w:bottom w:w="80" w:type="dxa"/>
              <w:left w:w="120" w:type="dxa"/>
              <w:right w:w="120" w:type="dxa"/>
            </w:tcMar>
          </w:tcPr>
          <w:p>
            <w:pPr>
              <w:spacing w:after="0"/>
            </w:pPr>
            <w:r>
              <w:rPr>
                <w:color w:val="1F2937"/>
                <w:sz w:val="18"/>
              </w:rPr>
              <w:t>Inference with dampened single-model variance.</w:t>
            </w:r>
          </w:p>
        </w:tc>
        <w:tc>
          <w:tcPr>
            <w:tcW w:type="dxa" w:w="2880"/>
            <w:shd w:val="clear" w:color="auto" w:fill="F1F5F9"/>
            <w:tcMar>
              <w:top w:w="80" w:type="dxa"/>
              <w:bottom w:w="80" w:type="dxa"/>
              <w:left w:w="120" w:type="dxa"/>
              <w:right w:w="120" w:type="dxa"/>
            </w:tcMar>
          </w:tcPr>
          <w:p>
            <w:pPr>
              <w:spacing w:after="0"/>
            </w:pPr>
            <w:r>
              <w:rPr>
                <w:color w:val="1F2937"/>
                <w:sz w:val="18"/>
              </w:rPr>
              <w:t>3-Model ensemble (Logistic Regression, Random Forest, XGBoost) majority vote.</w:t>
            </w:r>
          </w:p>
        </w:tc>
        <w:tc>
          <w:tcPr>
            <w:tcW w:type="dxa" w:w="3168"/>
            <w:shd w:val="clear" w:color="auto" w:fill="F1F5F9"/>
            <w:tcMar>
              <w:top w:w="80" w:type="dxa"/>
              <w:bottom w:w="80" w:type="dxa"/>
              <w:left w:w="120" w:type="dxa"/>
              <w:right w:w="120" w:type="dxa"/>
            </w:tcMar>
          </w:tcPr>
          <w:p>
            <w:pPr>
              <w:spacing w:after="0"/>
            </w:pPr>
            <w:r>
              <w:rPr>
                <w:color w:val="1F2937"/>
                <w:sz w:val="18"/>
              </w:rPr>
              <w:t>In-memory preprocessor rehydration; majority-vote consensus returned with calibrated probabilities.</w:t>
            </w:r>
          </w:p>
        </w:tc>
      </w:tr>
      <w:tr>
        <w:tc>
          <w:tcPr>
            <w:tcW w:type="dxa" w:w="1728"/>
            <w:shd w:val="clear" w:color="auto" w:fill="FFFFFF"/>
            <w:tcMar>
              <w:top w:w="80" w:type="dxa"/>
              <w:bottom w:w="80" w:type="dxa"/>
              <w:left w:w="120" w:type="dxa"/>
              <w:right w:w="120" w:type="dxa"/>
            </w:tcMar>
          </w:tcPr>
          <w:p>
            <w:pPr>
              <w:spacing w:after="0"/>
            </w:pPr>
            <w:r>
              <w:rPr>
                <w:color w:val="1F2937"/>
                <w:sz w:val="18"/>
              </w:rPr>
              <w:t>AI Assistant</w:t>
            </w:r>
          </w:p>
        </w:tc>
        <w:tc>
          <w:tcPr>
            <w:tcW w:type="dxa" w:w="2592"/>
            <w:shd w:val="clear" w:color="auto" w:fill="FFFFFF"/>
            <w:tcMar>
              <w:top w:w="80" w:type="dxa"/>
              <w:bottom w:w="80" w:type="dxa"/>
              <w:left w:w="120" w:type="dxa"/>
              <w:right w:w="120" w:type="dxa"/>
            </w:tcMar>
          </w:tcPr>
          <w:p>
            <w:pPr>
              <w:spacing w:after="0"/>
            </w:pPr>
            <w:r>
              <w:rPr>
                <w:color w:val="1F2937"/>
                <w:sz w:val="18"/>
              </w:rPr>
              <w:t>Factual answers without hallucinations or unbounded dumps.</w:t>
            </w:r>
          </w:p>
        </w:tc>
        <w:tc>
          <w:tcPr>
            <w:tcW w:type="dxa" w:w="2880"/>
            <w:shd w:val="clear" w:color="auto" w:fill="FFFFFF"/>
            <w:tcMar>
              <w:top w:w="80" w:type="dxa"/>
              <w:bottom w:w="80" w:type="dxa"/>
              <w:left w:w="120" w:type="dxa"/>
              <w:right w:w="120" w:type="dxa"/>
            </w:tcMar>
          </w:tcPr>
          <w:p>
            <w:pPr>
              <w:spacing w:after="0"/>
            </w:pPr>
            <w:r>
              <w:rPr>
                <w:color w:val="1F2937"/>
                <w:sz w:val="18"/>
              </w:rPr>
              <w:t>Dual-engine assistant service with 3 core guardrails.</w:t>
            </w:r>
          </w:p>
        </w:tc>
        <w:tc>
          <w:tcPr>
            <w:tcW w:type="dxa" w:w="3168"/>
            <w:shd w:val="clear" w:color="auto" w:fill="FFFFFF"/>
            <w:tcMar>
              <w:top w:w="80" w:type="dxa"/>
              <w:bottom w:w="80" w:type="dxa"/>
              <w:left w:w="120" w:type="dxa"/>
              <w:right w:w="120" w:type="dxa"/>
            </w:tcMar>
          </w:tcPr>
          <w:p>
            <w:pPr>
              <w:spacing w:after="0"/>
            </w:pPr>
            <w:r>
              <w:rPr>
                <w:color w:val="1F2937"/>
                <w:sz w:val="18"/>
              </w:rPr>
              <w:t>Verified refusals on unmeasured metrics (CSAT/NPS), 5-record maximum customer list cap, correlation-focused feature driver explanations.</w:t>
            </w:r>
          </w:p>
        </w:tc>
      </w:tr>
      <w:tr>
        <w:tc>
          <w:tcPr>
            <w:tcW w:type="dxa" w:w="1728"/>
            <w:shd w:val="clear" w:color="auto" w:fill="F1F5F9"/>
            <w:tcMar>
              <w:top w:w="80" w:type="dxa"/>
              <w:bottom w:w="80" w:type="dxa"/>
              <w:left w:w="120" w:type="dxa"/>
              <w:right w:w="120" w:type="dxa"/>
            </w:tcMar>
          </w:tcPr>
          <w:p>
            <w:pPr>
              <w:spacing w:after="0"/>
            </w:pPr>
            <w:r>
              <w:rPr>
                <w:color w:val="1F2937"/>
                <w:sz w:val="18"/>
              </w:rPr>
              <w:t>Operations Console</w:t>
            </w:r>
          </w:p>
        </w:tc>
        <w:tc>
          <w:tcPr>
            <w:tcW w:type="dxa" w:w="2592"/>
            <w:shd w:val="clear" w:color="auto" w:fill="F1F5F9"/>
            <w:tcMar>
              <w:top w:w="80" w:type="dxa"/>
              <w:bottom w:w="80" w:type="dxa"/>
              <w:left w:w="120" w:type="dxa"/>
              <w:right w:w="120" w:type="dxa"/>
            </w:tcMar>
          </w:tcPr>
          <w:p>
            <w:pPr>
              <w:spacing w:after="0"/>
            </w:pPr>
            <w:r>
              <w:rPr>
                <w:color w:val="1F2937"/>
                <w:sz w:val="18"/>
              </w:rPr>
              <w:t>Low-latency monitoring, filtering, and parameter experimentation.</w:t>
            </w:r>
          </w:p>
        </w:tc>
        <w:tc>
          <w:tcPr>
            <w:tcW w:type="dxa" w:w="2880"/>
            <w:shd w:val="clear" w:color="auto" w:fill="F1F5F9"/>
            <w:tcMar>
              <w:top w:w="80" w:type="dxa"/>
              <w:bottom w:w="80" w:type="dxa"/>
              <w:left w:w="120" w:type="dxa"/>
              <w:right w:w="120" w:type="dxa"/>
            </w:tcMar>
          </w:tcPr>
          <w:p>
            <w:pPr>
              <w:spacing w:after="0"/>
            </w:pPr>
            <w:r>
              <w:rPr>
                <w:color w:val="1F2937"/>
                <w:sz w:val="18"/>
              </w:rPr>
              <w:t>React 18 + Vite SPA with custom hook data layers and pure CSS layout.</w:t>
            </w:r>
          </w:p>
        </w:tc>
        <w:tc>
          <w:tcPr>
            <w:tcW w:type="dxa" w:w="3168"/>
            <w:shd w:val="clear" w:color="auto" w:fill="F1F5F9"/>
            <w:tcMar>
              <w:top w:w="80" w:type="dxa"/>
              <w:bottom w:w="80" w:type="dxa"/>
              <w:left w:w="120" w:type="dxa"/>
              <w:right w:w="120" w:type="dxa"/>
            </w:tcMar>
          </w:tcPr>
          <w:p>
            <w:pPr>
              <w:spacing w:after="0"/>
            </w:pPr>
            <w:r>
              <w:rPr>
                <w:color w:val="1F2937"/>
                <w:sz w:val="18"/>
              </w:rPr>
              <w:t>Interactive choropleths, donut risk charts, paginated multi-filter table, and slide-out detail drawers.</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