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30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Kubernetes Learning Path – Index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HSBC DevOps Engineering – Kubernetes Learning Series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Welcome to Your Kubernetes Journey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folder contains your complete Kubernetes learning materials, structured to take you from complete beginner to job-ready intermediate level. Each document covers one focused topic with detailed explanations, real-world analogies, and YAML examples.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Prepared for: HSBC DevOps Engineering Onboarding | Week 1: Kubernetes Fundamentals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Document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Name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 is Kubernetes?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Purpose, history, why HSBC uses it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Containers &amp; Docker Basics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Containers, images, Dockerfile, Docker vs VM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Kubernetes Architecture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Control plane, worker nodes, components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unit, lifecycle, YAML, commands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ReplicaSet, rolling updates, rollback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06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Services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ClusterIP, NodePort, LoadBalancer, DNS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07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Namespaces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Isolation, organisation, resource quotas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08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ConfigMaps &amp; Secrets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Configuration, sensitive data, env vars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09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Volumes &amp; Persistent Storage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PV, PVC, storage classes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Ingress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routing, TLS, ingress controllers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Resource Management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CPU/memory requests and limits, quotas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Checks (Probes)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Liveness, readiness, startup probes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Scaling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HPA, VPA, Cluster Autoscaler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RBAC &amp; Security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Roles, bindings, network policies</w:t>
            </w:r>
          </w:p>
        </w:tc>
      </w:tr>
      <w:tr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kubectl Command Reference</w:t>
            </w:r>
          </w:p>
        </w:tc>
        <w:tc>
          <w:tcPr>
            <w:tcW w:type="dxa" w:w="312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command cheat sheet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Recommended Learning Order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Follow this order for the best learning experience: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1:</w:t>
      </w:r>
      <w:r>
        <w:rPr>
          <w:rFonts w:ascii="Arial" w:cs="Arial" w:eastAsia="Arial" w:hAnsi="Arial"/>
          <w:sz w:val="22"/>
          <w:szCs w:val="22"/>
        </w:rPr>
        <w:t xml:space="preserve"> Documents 01, 02 — Understand WHY and the foundational technology.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2:</w:t>
      </w:r>
      <w:r>
        <w:rPr>
          <w:rFonts w:ascii="Arial" w:cs="Arial" w:eastAsia="Arial" w:hAnsi="Arial"/>
          <w:sz w:val="22"/>
          <w:szCs w:val="22"/>
        </w:rPr>
        <w:t xml:space="preserve"> Document 03 — Understand the architecture before working with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3:</w:t>
      </w:r>
      <w:r>
        <w:rPr>
          <w:rFonts w:ascii="Arial" w:cs="Arial" w:eastAsia="Arial" w:hAnsi="Arial"/>
          <w:sz w:val="22"/>
          <w:szCs w:val="22"/>
        </w:rPr>
        <w:t xml:space="preserve"> Documents 04, 05, 06 — The core working trio: Pods, Deployments, Services.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4:</w:t>
      </w:r>
      <w:r>
        <w:rPr>
          <w:rFonts w:ascii="Arial" w:cs="Arial" w:eastAsia="Arial" w:hAnsi="Arial"/>
          <w:sz w:val="22"/>
          <w:szCs w:val="22"/>
        </w:rPr>
        <w:t xml:space="preserve"> Documents 07, 08, 09 — Organisation and configuration.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5:</w:t>
      </w:r>
      <w:r>
        <w:rPr>
          <w:rFonts w:ascii="Arial" w:cs="Arial" w:eastAsia="Arial" w:hAnsi="Arial"/>
          <w:sz w:val="22"/>
          <w:szCs w:val="22"/>
        </w:rPr>
        <w:t xml:space="preserve"> Documents 10, 11, 12, 13, 14 — Advanced topics.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6-7:</w:t>
      </w:r>
      <w:r>
        <w:rPr>
          <w:rFonts w:ascii="Arial" w:cs="Arial" w:eastAsia="Arial" w:hAnsi="Arial"/>
          <w:sz w:val="22"/>
          <w:szCs w:val="22"/>
        </w:rPr>
        <w:t xml:space="preserve"> Use Document 15 (kubectl reference) while doing hands-on practice.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Tip: Read each document, then immediately try the commands on a local Kubernetes cluster (minikube or kind). Reading + doing = 10x better learning!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Tools to Install for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kubectl</w:t>
      </w:r>
      <w:r>
        <w:rPr>
          <w:rFonts w:ascii="Arial" w:cs="Arial" w:eastAsia="Arial" w:hAnsi="Arial"/>
          <w:sz w:val="22"/>
          <w:szCs w:val="22"/>
        </w:rPr>
        <w:t xml:space="preserve"> — The Kubernetes CLI tool (required for everything).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minikube</w:t>
      </w:r>
      <w:r>
        <w:rPr>
          <w:rFonts w:ascii="Arial" w:cs="Arial" w:eastAsia="Arial" w:hAnsi="Arial"/>
          <w:sz w:val="22"/>
          <w:szCs w:val="22"/>
        </w:rPr>
        <w:t xml:space="preserve"> — Run a single-node Kubernetes cluster on your laptop (perfect for learning).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Desktop</w:t>
      </w:r>
      <w:r>
        <w:rPr>
          <w:rFonts w:ascii="Arial" w:cs="Arial" w:eastAsia="Arial" w:hAnsi="Arial"/>
          <w:sz w:val="22"/>
          <w:szCs w:val="22"/>
        </w:rPr>
        <w:t xml:space="preserve"> — Container runtime with built-in Kubernetes option.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Lens / k9s</w:t>
      </w:r>
      <w:r>
        <w:rPr>
          <w:rFonts w:ascii="Arial" w:cs="Arial" w:eastAsia="Arial" w:hAnsi="Arial"/>
          <w:sz w:val="22"/>
          <w:szCs w:val="22"/>
        </w:rPr>
        <w:t xml:space="preserve"> — GUI tools for visualising and managing Kubernetes clusters.</w:t>
      </w:r>
    </w:p>
    <w:p>
      <w:pPr>
        <w:pBdr>
          <w:left w:val="single" w:color="2E75B6" w:sz="8" w:space="8"/>
        </w:pBdr>
        <w:shd w:fill="D6E4F0" w:val="clear"/>
        <w:spacing w:after="120" w:before="120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💡 Start with: Install minikube → run 'minikube start' → follow Document 04 to create your first Pod. You'll learn more in 1 hour of hands-on practice than 1 day of reading!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HSBC DevOps – Kubernetes Learning Series | Kubernetes Learning Path – Index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2026-04-12T09:54:13.869Z</dcterms:created>
  <dcterms:modified xsi:type="dcterms:W3CDTF">2026-04-12T09:54:13.869Z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