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C3E50"/>
          <w:sz w:val="44"/>
          <w:szCs w:val="44"/>
        </w:rPr>
        <w:t xml:space="preserve">Exploratory Data Analysis (EDA) Project</w:t>
      </w:r>
    </w:p>
    <w:p>
      <w:pPr>
        <w:spacing w:after="400"/>
      </w:pPr>
      <w:r>
        <w:rPr>
          <w:i/>
          <w:iCs/>
          <w:color w:val="555555"/>
          <w:sz w:val="24"/>
          <w:szCs w:val="24"/>
        </w:rPr>
        <w:t xml:space="preserve">Dataset: Diamonds — ~54,000 diamonds with cut, color, clarity, carat &amp; price</w:t>
      </w:r>
    </w:p>
    <w:p>
      <w:pPr>
        <w:pStyle w:val="Heading1"/>
        <w:spacing w:after="150" w:before="300"/>
      </w:pPr>
      <w:r>
        <w:t xml:space="preserve">1. Objective</w:t>
      </w:r>
    </w:p>
    <w:p>
      <w:pPr>
        <w:spacing w:after="150"/>
      </w:pPr>
      <w:r>
        <w:t xml:space="preserve">This project explores the diamonds dataset — 53,940 records describing diamond attributes (carat weight, cut, color, clarity, physical dimensions) and price — to uncover the statistical patterns and relationships that drive diamond pricing, using descriptive statistics and visualization rather than predictive modeling.</w:t>
      </w:r>
    </w:p>
    <w:p>
      <w:pPr>
        <w:pStyle w:val="Heading1"/>
        <w:spacing w:after="150" w:before="300"/>
      </w:pPr>
      <w:r>
        <w:t xml:space="preserve">2. Dataset Overview &amp; Data Quality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2C3E50" w:val="clear"/>
          </w:tcPr>
          <w:p>
            <w:r>
              <w:rPr>
                <w:b/>
                <w:bCs/>
                <w:color w:val="FFFFFF"/>
              </w:rPr>
              <w:t xml:space="preserve">Check</w:t>
            </w:r>
          </w:p>
        </w:tc>
        <w:tc>
          <w:tcPr>
            <w:tcW w:type="dxa" w:w="3500"/>
            <w:shd w:fill="2C3E50" w:val="clear"/>
          </w:tcPr>
          <w:p>
            <w:r>
              <w:rPr>
                <w:b/>
                <w:bCs/>
                <w:color w:val="FFFFFF"/>
              </w:rPr>
              <w:t xml:space="preserve">Result</w:t>
            </w:r>
          </w:p>
        </w:tc>
      </w:tr>
      <w:tr>
        <w:tc>
          <w:tcPr>
            <w:tcW w:type="dxa" w:w="5500"/>
          </w:tcPr>
          <w:p>
            <w:r>
              <w:rPr>
                <w:b w:val="false"/>
                <w:bCs w:val="false"/>
                <w:color w:val="000000"/>
              </w:rPr>
              <w:t xml:space="preserve">Raw rows</w:t>
            </w:r>
          </w:p>
        </w:tc>
        <w:tc>
          <w:tcPr>
            <w:tcW w:type="dxa" w:w="3500"/>
          </w:tcPr>
          <w:p>
            <w:r>
              <w:rPr>
                <w:b w:val="false"/>
                <w:bCs w:val="false"/>
                <w:color w:val="000000"/>
              </w:rPr>
              <w:t xml:space="preserve">53,940</w:t>
            </w:r>
          </w:p>
        </w:tc>
      </w:tr>
      <w:tr>
        <w:tc>
          <w:tcPr>
            <w:tcW w:type="dxa" w:w="5500"/>
          </w:tcPr>
          <w:p>
            <w:r>
              <w:rPr>
                <w:b w:val="false"/>
                <w:bCs w:val="false"/>
                <w:color w:val="000000"/>
              </w:rPr>
              <w:t xml:space="preserve">Columns</w:t>
            </w:r>
          </w:p>
        </w:tc>
        <w:tc>
          <w:tcPr>
            <w:tcW w:type="dxa" w:w="3500"/>
          </w:tcPr>
          <w:p>
            <w:r>
              <w:rPr>
                <w:b w:val="false"/>
                <w:bCs w:val="false"/>
                <w:color w:val="000000"/>
              </w:rPr>
              <w:t xml:space="preserve">10 (7 numeric, 3 categorical)</w:t>
            </w:r>
          </w:p>
        </w:tc>
      </w:tr>
      <w:tr>
        <w:tc>
          <w:tcPr>
            <w:tcW w:type="dxa" w:w="5500"/>
          </w:tcPr>
          <w:p>
            <w:r>
              <w:rPr>
                <w:b w:val="false"/>
                <w:bCs w:val="false"/>
                <w:color w:val="000000"/>
              </w:rPr>
              <w:t xml:space="preserve">Missing values</w:t>
            </w:r>
          </w:p>
        </w:tc>
        <w:tc>
          <w:tcPr>
            <w:tcW w:type="dxa" w:w="3500"/>
          </w:tcPr>
          <w:p>
            <w:r>
              <w:rPr>
                <w:b w:val="false"/>
                <w:bCs w:val="false"/>
                <w:color w:val="000000"/>
              </w:rPr>
              <w:t xml:space="preserve">0</w:t>
            </w:r>
          </w:p>
        </w:tc>
      </w:tr>
      <w:tr>
        <w:tc>
          <w:tcPr>
            <w:tcW w:type="dxa" w:w="5500"/>
          </w:tcPr>
          <w:p>
            <w:r>
              <w:rPr>
                <w:b w:val="false"/>
                <w:bCs w:val="false"/>
                <w:color w:val="000000"/>
              </w:rPr>
              <w:t xml:space="preserve">Duplicate rows</w:t>
            </w:r>
          </w:p>
        </w:tc>
        <w:tc>
          <w:tcPr>
            <w:tcW w:type="dxa" w:w="3500"/>
          </w:tcPr>
          <w:p>
            <w:r>
              <w:rPr>
                <w:b w:val="false"/>
                <w:bCs w:val="false"/>
                <w:color w:val="000000"/>
              </w:rPr>
              <w:t xml:space="preserve">146 (kept — plausible for identically-graded stones)</w:t>
            </w:r>
          </w:p>
        </w:tc>
      </w:tr>
      <w:tr>
        <w:tc>
          <w:tcPr>
            <w:tcW w:type="dxa" w:w="5500"/>
          </w:tcPr>
          <w:p>
            <w:r>
              <w:rPr>
                <w:b w:val="false"/>
                <w:bCs w:val="false"/>
                <w:color w:val="000000"/>
              </w:rPr>
              <w:t xml:space="preserve">Rows with impossible 0 dimensions</w:t>
            </w:r>
          </w:p>
        </w:tc>
        <w:tc>
          <w:tcPr>
            <w:tcW w:type="dxa" w:w="3500"/>
          </w:tcPr>
          <w:p>
            <w:r>
              <w:rPr>
                <w:b w:val="false"/>
                <w:bCs w:val="false"/>
                <w:color w:val="000000"/>
              </w:rPr>
              <w:t xml:space="preserve">20 (dropped before analysis)</w:t>
            </w:r>
          </w:p>
        </w:tc>
      </w:tr>
      <w:tr>
        <w:tc>
          <w:tcPr>
            <w:tcW w:type="dxa" w:w="5500"/>
          </w:tcPr>
          <w:p>
            <w:r>
              <w:rPr>
                <w:b w:val="false"/>
                <w:bCs w:val="false"/>
                <w:color w:val="000000"/>
              </w:rPr>
              <w:t xml:space="preserve">Rows used for analysis</w:t>
            </w:r>
          </w:p>
        </w:tc>
        <w:tc>
          <w:tcPr>
            <w:tcW w:type="dxa" w:w="3500"/>
          </w:tcPr>
          <w:p>
            <w:r>
              <w:rPr>
                <w:b w:val="false"/>
                <w:bCs w:val="false"/>
                <w:color w:val="000000"/>
              </w:rPr>
              <w:t xml:space="preserve">53,920</w:t>
            </w:r>
          </w:p>
        </w:tc>
      </w:tr>
    </w:tbl>
    <w:p>
      <w:pPr>
        <w:pStyle w:val="Heading1"/>
        <w:spacing w:after="150" w:before="300"/>
      </w:pPr>
      <w:r>
        <w:t xml:space="preserve">3. Statistical Summary</w:t>
      </w:r>
    </w:p>
    <w:p>
      <w:pPr>
        <w:spacing w:after="150"/>
      </w:pPr>
      <w:r>
        <w:t xml:space="preserve">Key descriptive statistics for the numeric fields: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520"/>
        <w:gridCol w:w="1520"/>
        <w:gridCol w:w="1520"/>
        <w:gridCol w:w="1520"/>
        <w:gridCol w:w="1520"/>
      </w:tblGrid>
      <w:tr>
        <w:tc>
          <w:tcPr>
            <w:tcW w:type="dxa" w:w="2400"/>
            <w:shd w:fill="2C3E50" w:val="clear"/>
          </w:tcPr>
          <w:p>
            <w:r>
              <w:rPr>
                <w:b/>
                <w:bCs/>
                <w:color w:val="FFFFFF"/>
              </w:rPr>
              <w:t xml:space="preserve">Feature</w:t>
            </w:r>
          </w:p>
        </w:tc>
        <w:tc>
          <w:tcPr>
            <w:tcW w:type="dxa" w:w="1520"/>
            <w:shd w:fill="2C3E50" w:val="clear"/>
          </w:tcPr>
          <w:p>
            <w:r>
              <w:rPr>
                <w:b/>
                <w:bCs/>
                <w:color w:val="FFFFFF"/>
              </w:rPr>
              <w:t xml:space="preserve">Mean</w:t>
            </w:r>
          </w:p>
        </w:tc>
        <w:tc>
          <w:tcPr>
            <w:tcW w:type="dxa" w:w="1520"/>
            <w:shd w:fill="2C3E50" w:val="clear"/>
          </w:tcPr>
          <w:p>
            <w:r>
              <w:rPr>
                <w:b/>
                <w:bCs/>
                <w:color w:val="FFFFFF"/>
              </w:rPr>
              <w:t xml:space="preserve">Std Dev</w:t>
            </w:r>
          </w:p>
        </w:tc>
        <w:tc>
          <w:tcPr>
            <w:tcW w:type="dxa" w:w="1520"/>
            <w:shd w:fill="2C3E50" w:val="clear"/>
          </w:tcPr>
          <w:p>
            <w:r>
              <w:rPr>
                <w:b/>
                <w:bCs/>
                <w:color w:val="FFFFFF"/>
              </w:rPr>
              <w:t xml:space="preserve">Min</w:t>
            </w:r>
          </w:p>
        </w:tc>
        <w:tc>
          <w:tcPr>
            <w:tcW w:type="dxa" w:w="1520"/>
            <w:shd w:fill="2C3E50" w:val="clear"/>
          </w:tcPr>
          <w:p>
            <w:r>
              <w:rPr>
                <w:b/>
                <w:bCs/>
                <w:color w:val="FFFFFF"/>
              </w:rPr>
              <w:t xml:space="preserve">Median</w:t>
            </w:r>
          </w:p>
        </w:tc>
        <w:tc>
          <w:tcPr>
            <w:tcW w:type="dxa" w:w="1520"/>
            <w:shd w:fill="2C3E50" w:val="clear"/>
          </w:tcPr>
          <w:p>
            <w:r>
              <w:rPr>
                <w:b/>
                <w:bCs/>
                <w:color w:val="FFFFFF"/>
              </w:rPr>
              <w:t xml:space="preserve">Max</w:t>
            </w:r>
          </w:p>
        </w:tc>
      </w:tr>
      <w:tr>
        <w:tc>
          <w:tcPr>
            <w:tcW w:type="dxa" w:w="2400"/>
          </w:tcPr>
          <w:p>
            <w:r>
              <w:rPr>
                <w:b w:val="false"/>
                <w:bCs w:val="false"/>
                <w:color w:val="000000"/>
              </w:rPr>
              <w:t xml:space="preserve">Carat</w:t>
            </w:r>
          </w:p>
        </w:tc>
        <w:tc>
          <w:tcPr>
            <w:tcW w:type="dxa" w:w="1520"/>
          </w:tcPr>
          <w:p>
            <w:r>
              <w:rPr>
                <w:b w:val="false"/>
                <w:bCs w:val="false"/>
                <w:color w:val="000000"/>
              </w:rPr>
              <w:t xml:space="preserve">0.80</w:t>
            </w:r>
          </w:p>
        </w:tc>
        <w:tc>
          <w:tcPr>
            <w:tcW w:type="dxa" w:w="1520"/>
          </w:tcPr>
          <w:p>
            <w:r>
              <w:rPr>
                <w:b w:val="false"/>
                <w:bCs w:val="false"/>
                <w:color w:val="000000"/>
              </w:rPr>
              <w:t xml:space="preserve">0.47</w:t>
            </w:r>
          </w:p>
        </w:tc>
        <w:tc>
          <w:tcPr>
            <w:tcW w:type="dxa" w:w="1520"/>
          </w:tcPr>
          <w:p>
            <w:r>
              <w:rPr>
                <w:b w:val="false"/>
                <w:bCs w:val="false"/>
                <w:color w:val="000000"/>
              </w:rPr>
              <w:t xml:space="preserve">0.20</w:t>
            </w:r>
          </w:p>
        </w:tc>
        <w:tc>
          <w:tcPr>
            <w:tcW w:type="dxa" w:w="1520"/>
          </w:tcPr>
          <w:p>
            <w:r>
              <w:rPr>
                <w:b w:val="false"/>
                <w:bCs w:val="false"/>
                <w:color w:val="000000"/>
              </w:rPr>
              <w:t xml:space="preserve">0.70</w:t>
            </w:r>
          </w:p>
        </w:tc>
        <w:tc>
          <w:tcPr>
            <w:tcW w:type="dxa" w:w="1520"/>
          </w:tcPr>
          <w:p>
            <w:r>
              <w:rPr>
                <w:b w:val="false"/>
                <w:bCs w:val="false"/>
                <w:color w:val="000000"/>
              </w:rPr>
              <w:t xml:space="preserve">5.01</w:t>
            </w:r>
          </w:p>
        </w:tc>
      </w:tr>
      <w:tr>
        <w:tc>
          <w:tcPr>
            <w:tcW w:type="dxa" w:w="2400"/>
          </w:tcPr>
          <w:p>
            <w:r>
              <w:rPr>
                <w:b w:val="false"/>
                <w:bCs w:val="false"/>
                <w:color w:val="000000"/>
              </w:rPr>
              <w:t xml:space="preserve">Depth %</w:t>
            </w:r>
          </w:p>
        </w:tc>
        <w:tc>
          <w:tcPr>
            <w:tcW w:type="dxa" w:w="1520"/>
          </w:tcPr>
          <w:p>
            <w:r>
              <w:rPr>
                <w:b w:val="false"/>
                <w:bCs w:val="false"/>
                <w:color w:val="000000"/>
              </w:rPr>
              <w:t xml:space="preserve">61.75</w:t>
            </w:r>
          </w:p>
        </w:tc>
        <w:tc>
          <w:tcPr>
            <w:tcW w:type="dxa" w:w="1520"/>
          </w:tcPr>
          <w:p>
            <w:r>
              <w:rPr>
                <w:b w:val="false"/>
                <w:bCs w:val="false"/>
                <w:color w:val="000000"/>
              </w:rPr>
              <w:t xml:space="preserve">1.43</w:t>
            </w:r>
          </w:p>
        </w:tc>
        <w:tc>
          <w:tcPr>
            <w:tcW w:type="dxa" w:w="1520"/>
          </w:tcPr>
          <w:p>
            <w:r>
              <w:rPr>
                <w:b w:val="false"/>
                <w:bCs w:val="false"/>
                <w:color w:val="000000"/>
              </w:rPr>
              <w:t xml:space="preserve">43.0</w:t>
            </w:r>
          </w:p>
        </w:tc>
        <w:tc>
          <w:tcPr>
            <w:tcW w:type="dxa" w:w="1520"/>
          </w:tcPr>
          <w:p>
            <w:r>
              <w:rPr>
                <w:b w:val="false"/>
                <w:bCs w:val="false"/>
                <w:color w:val="000000"/>
              </w:rPr>
              <w:t xml:space="preserve">61.80</w:t>
            </w:r>
          </w:p>
        </w:tc>
        <w:tc>
          <w:tcPr>
            <w:tcW w:type="dxa" w:w="1520"/>
          </w:tcPr>
          <w:p>
            <w:r>
              <w:rPr>
                <w:b w:val="false"/>
                <w:bCs w:val="false"/>
                <w:color w:val="000000"/>
              </w:rPr>
              <w:t xml:space="preserve">79.0</w:t>
            </w:r>
          </w:p>
        </w:tc>
      </w:tr>
      <w:tr>
        <w:tc>
          <w:tcPr>
            <w:tcW w:type="dxa" w:w="2400"/>
          </w:tcPr>
          <w:p>
            <w:r>
              <w:rPr>
                <w:b w:val="false"/>
                <w:bCs w:val="false"/>
                <w:color w:val="000000"/>
              </w:rPr>
              <w:t xml:space="preserve">Table %</w:t>
            </w:r>
          </w:p>
        </w:tc>
        <w:tc>
          <w:tcPr>
            <w:tcW w:type="dxa" w:w="1520"/>
          </w:tcPr>
          <w:p>
            <w:r>
              <w:rPr>
                <w:b w:val="false"/>
                <w:bCs w:val="false"/>
                <w:color w:val="000000"/>
              </w:rPr>
              <w:t xml:space="preserve">57.46</w:t>
            </w:r>
          </w:p>
        </w:tc>
        <w:tc>
          <w:tcPr>
            <w:tcW w:type="dxa" w:w="1520"/>
          </w:tcPr>
          <w:p>
            <w:r>
              <w:rPr>
                <w:b w:val="false"/>
                <w:bCs w:val="false"/>
                <w:color w:val="000000"/>
              </w:rPr>
              <w:t xml:space="preserve">2.23</w:t>
            </w:r>
          </w:p>
        </w:tc>
        <w:tc>
          <w:tcPr>
            <w:tcW w:type="dxa" w:w="1520"/>
          </w:tcPr>
          <w:p>
            <w:r>
              <w:rPr>
                <w:b w:val="false"/>
                <w:bCs w:val="false"/>
                <w:color w:val="000000"/>
              </w:rPr>
              <w:t xml:space="preserve">43.0</w:t>
            </w:r>
          </w:p>
        </w:tc>
        <w:tc>
          <w:tcPr>
            <w:tcW w:type="dxa" w:w="1520"/>
          </w:tcPr>
          <w:p>
            <w:r>
              <w:rPr>
                <w:b w:val="false"/>
                <w:bCs w:val="false"/>
                <w:color w:val="000000"/>
              </w:rPr>
              <w:t xml:space="preserve">57.00</w:t>
            </w:r>
          </w:p>
        </w:tc>
        <w:tc>
          <w:tcPr>
            <w:tcW w:type="dxa" w:w="1520"/>
          </w:tcPr>
          <w:p>
            <w:r>
              <w:rPr>
                <w:b w:val="false"/>
                <w:bCs w:val="false"/>
                <w:color w:val="000000"/>
              </w:rPr>
              <w:t xml:space="preserve">95.0</w:t>
            </w:r>
          </w:p>
        </w:tc>
      </w:tr>
      <w:tr>
        <w:tc>
          <w:tcPr>
            <w:tcW w:type="dxa" w:w="2400"/>
          </w:tcPr>
          <w:p>
            <w:r>
              <w:rPr>
                <w:b w:val="false"/>
                <w:bCs w:val="false"/>
                <w:color w:val="000000"/>
              </w:rPr>
              <w:t xml:space="preserve">Price ($)</w:t>
            </w:r>
          </w:p>
        </w:tc>
        <w:tc>
          <w:tcPr>
            <w:tcW w:type="dxa" w:w="1520"/>
          </w:tcPr>
          <w:p>
            <w:r>
              <w:rPr>
                <w:b w:val="false"/>
                <w:bCs w:val="false"/>
                <w:color w:val="000000"/>
              </w:rPr>
              <w:t xml:space="preserve">3,932.80</w:t>
            </w:r>
          </w:p>
        </w:tc>
        <w:tc>
          <w:tcPr>
            <w:tcW w:type="dxa" w:w="1520"/>
          </w:tcPr>
          <w:p>
            <w:r>
              <w:rPr>
                <w:b w:val="false"/>
                <w:bCs w:val="false"/>
                <w:color w:val="000000"/>
              </w:rPr>
              <w:t xml:space="preserve">3,989.44</w:t>
            </w:r>
          </w:p>
        </w:tc>
        <w:tc>
          <w:tcPr>
            <w:tcW w:type="dxa" w:w="1520"/>
          </w:tcPr>
          <w:p>
            <w:r>
              <w:rPr>
                <w:b w:val="false"/>
                <w:bCs w:val="false"/>
                <w:color w:val="000000"/>
              </w:rPr>
              <w:t xml:space="preserve">326</w:t>
            </w:r>
          </w:p>
        </w:tc>
        <w:tc>
          <w:tcPr>
            <w:tcW w:type="dxa" w:w="1520"/>
          </w:tcPr>
          <w:p>
            <w:r>
              <w:rPr>
                <w:b w:val="false"/>
                <w:bCs w:val="false"/>
                <w:color w:val="000000"/>
              </w:rPr>
              <w:t xml:space="preserve">2,401</w:t>
            </w:r>
          </w:p>
        </w:tc>
        <w:tc>
          <w:tcPr>
            <w:tcW w:type="dxa" w:w="1520"/>
          </w:tcPr>
          <w:p>
            <w:r>
              <w:rPr>
                <w:b w:val="false"/>
                <w:bCs w:val="false"/>
                <w:color w:val="000000"/>
              </w:rPr>
              <w:t xml:space="preserve">18,823</w:t>
            </w:r>
          </w:p>
        </w:tc>
      </w:tr>
    </w:tbl>
    <w:p>
      <w:pPr>
        <w:spacing w:after="200"/>
      </w:pPr>
    </w:p>
    <w:p>
      <w:pPr>
        <w:spacing w:after="60"/>
        <w:jc w:val="center"/>
      </w:pPr>
      <w:r>
        <w:drawing>
          <wp:inline distT="0" distB="0" distL="0" distR="0">
            <wp:extent cx="4572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333750"/>
                    </a:xfrm>
                    <a:prstGeom prst="rect">
                      <a:avLst/>
                    </a:prstGeom>
                  </pic:spPr>
                </pic:pic>
              </a:graphicData>
            </a:graphic>
          </wp:inline>
        </w:drawing>
      </w:r>
    </w:p>
    <w:p>
      <w:pPr>
        <w:spacing w:after="300"/>
        <w:jc w:val="center"/>
      </w:pPr>
      <w:r>
        <w:rPr>
          <w:i/>
          <w:iCs/>
          <w:color w:val="555555"/>
          <w:sz w:val="20"/>
          <w:szCs w:val="20"/>
        </w:rPr>
        <w:t xml:space="preserve">Figure 1 — Distributions of price, carat, depth %, and table %</w:t>
      </w:r>
    </w:p>
    <w:p>
      <w:pPr>
        <w:spacing w:after="150"/>
      </w:pPr>
      <w:r>
        <w:t xml:space="preserve">Price is heavily right-skewed — most diamonds cluster under $5,000, with a long tail of expensive stones. Carat follows a similar pattern (most stones are under 1 carat), while depth and table percentage are much more tightly and symmetrically distributed, since these are cut-precision measurements with an optimal narrow range.</w:t>
      </w:r>
    </w:p>
    <w:p>
      <w:pPr>
        <w:pStyle w:val="Heading1"/>
        <w:spacing w:after="150" w:before="300"/>
      </w:pPr>
      <w:r>
        <w:t xml:space="preserve">4. Correlation Analysis</w:t>
      </w:r>
    </w:p>
    <w:p>
      <w:pPr>
        <w:spacing w:after="150"/>
      </w:pPr>
      <w:r>
        <w:t xml:space="preserve">Correlating each numeric feature against price reveals which physical attributes matter most:</w:t>
      </w:r>
    </w:p>
    <w:p>
      <w:pPr>
        <w:spacing w:after="60"/>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048000"/>
                    </a:xfrm>
                    <a:prstGeom prst="rect">
                      <a:avLst/>
                    </a:prstGeom>
                  </pic:spPr>
                </pic:pic>
              </a:graphicData>
            </a:graphic>
          </wp:inline>
        </w:drawing>
      </w:r>
    </w:p>
    <w:p>
      <w:pPr>
        <w:spacing w:after="300"/>
        <w:jc w:val="center"/>
      </w:pPr>
      <w:r>
        <w:rPr>
          <w:i/>
          <w:iCs/>
          <w:color w:val="555555"/>
          <w:sz w:val="20"/>
          <w:szCs w:val="20"/>
        </w:rPr>
        <w:t xml:space="preserve">Figure 2 — Correlation heatmap of numeric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2C3E50" w:val="clear"/>
          </w:tcPr>
          <w:p>
            <w:r>
              <w:rPr>
                <w:b/>
                <w:bCs/>
                <w:color w:val="FFFFFF"/>
              </w:rPr>
              <w:t xml:space="preserve">Feature</w:t>
            </w:r>
          </w:p>
        </w:tc>
        <w:tc>
          <w:tcPr>
            <w:tcW w:type="dxa" w:w="3500"/>
            <w:shd w:fill="2C3E50" w:val="clear"/>
          </w:tcPr>
          <w:p>
            <w:r>
              <w:rPr>
                <w:b/>
                <w:bCs/>
                <w:color w:val="FFFFFF"/>
              </w:rPr>
              <w:t xml:space="preserve">Correlation with Price</w:t>
            </w:r>
          </w:p>
        </w:tc>
      </w:tr>
      <w:tr>
        <w:tc>
          <w:tcPr>
            <w:tcW w:type="dxa" w:w="5500"/>
          </w:tcPr>
          <w:p>
            <w:r>
              <w:rPr>
                <w:b w:val="false"/>
                <w:bCs w:val="false"/>
                <w:color w:val="000000"/>
              </w:rPr>
              <w:t xml:space="preserve">Carat</w:t>
            </w:r>
          </w:p>
        </w:tc>
        <w:tc>
          <w:tcPr>
            <w:tcW w:type="dxa" w:w="3500"/>
          </w:tcPr>
          <w:p>
            <w:r>
              <w:rPr>
                <w:b w:val="false"/>
                <w:bCs w:val="false"/>
                <w:color w:val="000000"/>
              </w:rPr>
              <w:t xml:space="preserve">+0.922</w:t>
            </w:r>
          </w:p>
        </w:tc>
      </w:tr>
      <w:tr>
        <w:tc>
          <w:tcPr>
            <w:tcW w:type="dxa" w:w="5500"/>
          </w:tcPr>
          <w:p>
            <w:r>
              <w:rPr>
                <w:b w:val="false"/>
                <w:bCs w:val="false"/>
                <w:color w:val="000000"/>
              </w:rPr>
              <w:t xml:space="preserve">x (length, mm)</w:t>
            </w:r>
          </w:p>
        </w:tc>
        <w:tc>
          <w:tcPr>
            <w:tcW w:type="dxa" w:w="3500"/>
          </w:tcPr>
          <w:p>
            <w:r>
              <w:rPr>
                <w:b w:val="false"/>
                <w:bCs w:val="false"/>
                <w:color w:val="000000"/>
              </w:rPr>
              <w:t xml:space="preserve">+0.887</w:t>
            </w:r>
          </w:p>
        </w:tc>
      </w:tr>
      <w:tr>
        <w:tc>
          <w:tcPr>
            <w:tcW w:type="dxa" w:w="5500"/>
          </w:tcPr>
          <w:p>
            <w:r>
              <w:rPr>
                <w:b w:val="false"/>
                <w:bCs w:val="false"/>
                <w:color w:val="000000"/>
              </w:rPr>
              <w:t xml:space="preserve">z (depth, mm)</w:t>
            </w:r>
          </w:p>
        </w:tc>
        <w:tc>
          <w:tcPr>
            <w:tcW w:type="dxa" w:w="3500"/>
          </w:tcPr>
          <w:p>
            <w:r>
              <w:rPr>
                <w:b w:val="false"/>
                <w:bCs w:val="false"/>
                <w:color w:val="000000"/>
              </w:rPr>
              <w:t xml:space="preserve">+0.868</w:t>
            </w:r>
          </w:p>
        </w:tc>
      </w:tr>
      <w:tr>
        <w:tc>
          <w:tcPr>
            <w:tcW w:type="dxa" w:w="5500"/>
          </w:tcPr>
          <w:p>
            <w:r>
              <w:rPr>
                <w:b w:val="false"/>
                <w:bCs w:val="false"/>
                <w:color w:val="000000"/>
              </w:rPr>
              <w:t xml:space="preserve">y (width, mm)</w:t>
            </w:r>
          </w:p>
        </w:tc>
        <w:tc>
          <w:tcPr>
            <w:tcW w:type="dxa" w:w="3500"/>
          </w:tcPr>
          <w:p>
            <w:r>
              <w:rPr>
                <w:b w:val="false"/>
                <w:bCs w:val="false"/>
                <w:color w:val="000000"/>
              </w:rPr>
              <w:t xml:space="preserve">+0.868</w:t>
            </w:r>
          </w:p>
        </w:tc>
      </w:tr>
      <w:tr>
        <w:tc>
          <w:tcPr>
            <w:tcW w:type="dxa" w:w="5500"/>
          </w:tcPr>
          <w:p>
            <w:r>
              <w:rPr>
                <w:b w:val="false"/>
                <w:bCs w:val="false"/>
                <w:color w:val="000000"/>
              </w:rPr>
              <w:t xml:space="preserve">Table %</w:t>
            </w:r>
          </w:p>
        </w:tc>
        <w:tc>
          <w:tcPr>
            <w:tcW w:type="dxa" w:w="3500"/>
          </w:tcPr>
          <w:p>
            <w:r>
              <w:rPr>
                <w:b w:val="false"/>
                <w:bCs w:val="false"/>
                <w:color w:val="000000"/>
              </w:rPr>
              <w:t xml:space="preserve">+0.127</w:t>
            </w:r>
          </w:p>
        </w:tc>
      </w:tr>
      <w:tr>
        <w:tc>
          <w:tcPr>
            <w:tcW w:type="dxa" w:w="5500"/>
          </w:tcPr>
          <w:p>
            <w:r>
              <w:rPr>
                <w:b w:val="false"/>
                <w:bCs w:val="false"/>
                <w:color w:val="000000"/>
              </w:rPr>
              <w:t xml:space="preserve">Depth %</w:t>
            </w:r>
          </w:p>
        </w:tc>
        <w:tc>
          <w:tcPr>
            <w:tcW w:type="dxa" w:w="3500"/>
          </w:tcPr>
          <w:p>
            <w:r>
              <w:rPr>
                <w:b w:val="false"/>
                <w:bCs w:val="false"/>
                <w:color w:val="000000"/>
              </w:rPr>
              <w:t xml:space="preserve">-0.011</w:t>
            </w:r>
          </w:p>
        </w:tc>
      </w:tr>
    </w:tbl>
    <w:p>
      <w:pPr>
        <w:spacing w:after="200"/>
      </w:pPr>
    </w:p>
    <w:p>
      <w:pPr>
        <w:spacing w:after="150"/>
      </w:pPr>
      <w:r>
        <w:t xml:space="preserve">Carat weight is overwhelmingly the strongest driver of price (r = 0.92) — far more influential than any other numeric attribute. This makes physical sense: a diamond's size largely determines its value before quality grading is even considered.</w:t>
      </w:r>
    </w:p>
    <w:p>
      <w:pPr>
        <w:pStyle w:val="Heading1"/>
        <w:spacing w:after="150" w:before="300"/>
      </w:pPr>
      <w:r>
        <w:t xml:space="preserve">5. Carat vs. Price</w:t>
      </w:r>
    </w:p>
    <w:p>
      <w:pPr>
        <w:spacing w:after="6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286125"/>
                    </a:xfrm>
                    <a:prstGeom prst="rect">
                      <a:avLst/>
                    </a:prstGeom>
                  </pic:spPr>
                </pic:pic>
              </a:graphicData>
            </a:graphic>
          </wp:inline>
        </w:drawing>
      </w:r>
    </w:p>
    <w:p>
      <w:pPr>
        <w:spacing w:after="300"/>
        <w:jc w:val="center"/>
      </w:pPr>
      <w:r>
        <w:rPr>
          <w:i/>
          <w:iCs/>
          <w:color w:val="555555"/>
          <w:sz w:val="20"/>
          <w:szCs w:val="20"/>
        </w:rPr>
        <w:t xml:space="preserve">Figure 3 — Carat vs price, colored by cut quality</w:t>
      </w:r>
    </w:p>
    <w:p>
      <w:pPr>
        <w:spacing w:after="150"/>
      </w:pPr>
      <w:r>
        <w:t xml:space="preserve">The relationship is clearly non-linear — price accelerates faster than carat weight increases, especially past 1–1.5 carats, reflecting the market premium on larger, rarer stones. Within any given carat size, better cuts (Ideal, Premium) trend toward the higher end of the price range.</w:t>
      </w:r>
    </w:p>
    <w:p>
      <w:pPr>
        <w:pStyle w:val="Heading1"/>
        <w:spacing w:after="150" w:before="300"/>
      </w:pPr>
      <w:r>
        <w:t xml:space="preserve">6. Price by Quality Grade (Cut, Color, Clarity)</w:t>
      </w:r>
    </w:p>
    <w:p>
      <w:pPr>
        <w:spacing w:after="60"/>
        <w:jc w:val="center"/>
      </w:pPr>
      <w:r>
        <w:drawing>
          <wp:inline distT="0" distB="0" distL="0" distR="0">
            <wp:extent cx="5143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666875"/>
                    </a:xfrm>
                    <a:prstGeom prst="rect">
                      <a:avLst/>
                    </a:prstGeom>
                  </pic:spPr>
                </pic:pic>
              </a:graphicData>
            </a:graphic>
          </wp:inline>
        </w:drawing>
      </w:r>
    </w:p>
    <w:p>
      <w:pPr>
        <w:spacing w:after="300"/>
        <w:jc w:val="center"/>
      </w:pPr>
      <w:r>
        <w:rPr>
          <w:i/>
          <w:iCs/>
          <w:color w:val="555555"/>
          <w:sz w:val="20"/>
          <w:szCs w:val="20"/>
        </w:rPr>
        <w:t xml:space="preserve">Figure 4 — Price distribution by cut, color, and clarity grade</w:t>
      </w:r>
    </w:p>
    <w:p>
      <w:pPr>
        <w:spacing w:after="150"/>
      </w:pPr>
      <w:r>
        <w:t xml:space="preserve">Counter-intuitively, raw price does not increase monotonically with better cut, color, or clarity grades — 'Fair' cut and lower color/clarity grades sometimes show similar or higher median prices than 'better' grades. This is because these box plots mix diamonds of all sizes: larger, lower-grade stones can still outprice smaller, high-grade ones.</w:t>
      </w:r>
    </w:p>
    <w:p>
      <w:pPr>
        <w:pStyle w:val="Heading2"/>
        <w:spacing w:after="120" w:before="250"/>
      </w:pPr>
      <w:r>
        <w:t xml:space="preserve">6.1 Isolating the Cut Effect (Price per Carat)</w:t>
      </w:r>
    </w:p>
    <w:p>
      <w:pPr>
        <w:spacing w:after="150"/>
      </w:pPr>
      <w:r>
        <w:t xml:space="preserve">To see cut quality's true effect, we normalize by dividing price by carat weight:</w:t>
      </w:r>
    </w:p>
    <w:p>
      <w:pPr>
        <w:spacing w:after="60"/>
        <w:jc w:val="center"/>
      </w:pPr>
      <w:r>
        <w:drawing>
          <wp:inline distT="0" distB="0" distL="0" distR="0">
            <wp:extent cx="4381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143250"/>
                    </a:xfrm>
                    <a:prstGeom prst="rect">
                      <a:avLst/>
                    </a:prstGeom>
                  </pic:spPr>
                </pic:pic>
              </a:graphicData>
            </a:graphic>
          </wp:inline>
        </w:drawing>
      </w:r>
    </w:p>
    <w:p>
      <w:pPr>
        <w:spacing w:after="300"/>
        <w:jc w:val="center"/>
      </w:pPr>
      <w:r>
        <w:rPr>
          <w:i/>
          <w:iCs/>
          <w:color w:val="555555"/>
          <w:sz w:val="20"/>
          <w:szCs w:val="20"/>
        </w:rPr>
        <w:t xml:space="preserve">Figure 5 — Average price-per-carat by cut quality</w:t>
      </w:r>
    </w:p>
    <w:p>
      <w:pPr>
        <w:spacing w:after="150"/>
      </w:pPr>
      <w:r>
        <w:t xml:space="preserve">Once size is controlled for, the expected pattern emerges: 'Premium' cut diamonds command the highest average price per carat (~$4,221), while 'Fair' cut diamonds have the lowest (~$3,766). Cut quality does matter — its effect is simply smaller than, and easily masked by, the dominant influence of carat weight.</w:t>
      </w:r>
    </w:p>
    <w:p>
      <w:pPr>
        <w:pStyle w:val="Heading1"/>
        <w:spacing w:after="150" w:before="300"/>
      </w:pPr>
      <w:r>
        <w:t xml:space="preserve">7. Key Takeaways</w:t>
      </w:r>
    </w:p>
    <w:p>
      <w:pPr>
        <w:pStyle w:val="ListParagraph"/>
        <w:numPr>
          <w:ilvl w:val="0"/>
          <w:numId w:val="1"/>
        </w:numPr>
        <w:spacing w:after="80"/>
      </w:pPr>
      <w:r>
        <w:t xml:space="preserve">Carat weight is the single strongest predictor of diamond price (r = 0.92), dwarfing the influence of cut, color, and clarity.</w:t>
      </w:r>
    </w:p>
    <w:p>
      <w:pPr>
        <w:pStyle w:val="ListParagraph"/>
        <w:numPr>
          <w:ilvl w:val="0"/>
          <w:numId w:val="1"/>
        </w:numPr>
        <w:spacing w:after="80"/>
      </w:pPr>
      <w:r>
        <w:t xml:space="preserve">Price grows non-linearly with carat — larger stones carry a disproportionate premium.</w:t>
      </w:r>
    </w:p>
    <w:p>
      <w:pPr>
        <w:pStyle w:val="ListParagraph"/>
        <w:numPr>
          <w:ilvl w:val="0"/>
          <w:numId w:val="1"/>
        </w:numPr>
        <w:spacing w:after="80"/>
      </w:pPr>
      <w:r>
        <w:t xml:space="preserve">Cut quality has a real but modest effect, visible only after normalizing for carat weight (price per carat).</w:t>
      </w:r>
    </w:p>
    <w:p>
      <w:pPr>
        <w:pStyle w:val="ListParagraph"/>
        <w:numPr>
          <w:ilvl w:val="0"/>
          <w:numId w:val="1"/>
        </w:numPr>
        <w:spacing w:after="80"/>
      </w:pPr>
      <w:r>
        <w:t xml:space="preserve">Depth % and table % (precision-cut proportions) show almost no direct correlation with price — they matter more for visual brilliance than for price itself.</w:t>
      </w:r>
    </w:p>
    <w:p>
      <w:pPr>
        <w:pStyle w:val="ListParagraph"/>
        <w:numPr>
          <w:ilvl w:val="0"/>
          <w:numId w:val="1"/>
        </w:numPr>
        <w:spacing w:after="80"/>
      </w:pPr>
      <w:r>
        <w:t xml:space="preserve">20 records had physically impossible zero dimensions and were excluded as data-quality issues.</w:t>
      </w:r>
    </w:p>
    <w:p>
      <w:pPr>
        <w:pStyle w:val="Heading1"/>
        <w:spacing w:after="150" w:before="300"/>
      </w:pPr>
      <w:r>
        <w:t xml:space="preserve">8. Conclusion</w:t>
      </w:r>
    </w:p>
    <w:p>
      <w:pPr>
        <w:spacing w:after="150"/>
      </w:pPr>
      <w:r>
        <w:t xml:space="preserve">This EDA confirms that diamond pricing is driven overwhelmingly by size (carat), with quality grades (cut, color, clarity) playing a secondary, refining role that only becomes visible once size is statistically controlled for. These findings would inform a predictive pricing model by prioritizing carat and physical dimensions as primary features, with categorical quality grades as secondary adjustors — exactly the kind of insight EDA is meant to surface before modeling begins.</w:t>
      </w:r>
    </w:p>
    <w:p>
      <w:pPr>
        <w:spacing w:after="150"/>
      </w:pPr>
      <w:r>
        <w:t xml:space="preserve">Deliverables accompanying this report: the full Python EDA script (eda_project.py), summary statistics (summary_statistics.csv), and an interactive HTML dashboard.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78c6ba472f2bdbc285ef764f117ad0cdacbf8a.png"/><Relationship Id="rId8" Type="http://schemas.openxmlformats.org/officeDocument/2006/relationships/image" Target="media/a2ea3b1b3f8275b3090760f86f64756a0a64d765.png"/><Relationship Id="rId9" Type="http://schemas.openxmlformats.org/officeDocument/2006/relationships/image" Target="media/5d151744c3297e394b3f622046a9b74f342ced0a.png"/><Relationship Id="rId10" Type="http://schemas.openxmlformats.org/officeDocument/2006/relationships/image" Target="media/eb97a8a87008d429b6cb2c5c8c708aff164f00be.png"/><Relationship Id="rId11" Type="http://schemas.openxmlformats.org/officeDocument/2006/relationships/image" Target="media/852b518bd60e130fc446d2913bf06c2e0aefcce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2026-09-22T08:42:19.888Z</dcterms:created>
  <dcterms:modified xsi:type="dcterms:W3CDTF">2026-09-22T08:42:19.897Z</dcterms:modified>
</cp:coreProperties>
</file>

<file path=docProps/custom.xml><?xml version="1.0" encoding="utf-8"?>
<Properties xmlns="http://schemas.openxmlformats.org/officeDocument/2006/custom-properties" xmlns:vt="http://schemas.openxmlformats.org/officeDocument/2006/docPropsVTypes"/>
</file>