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C3E50"/>
          <w:sz w:val="44"/>
          <w:szCs w:val="44"/>
        </w:rPr>
        <w:t xml:space="preserve">Real-World Data Project — Retail Sales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End-to-end analysis &amp; forecasting across 4 product categories, 2024–2025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</w:pPr>
      <w:r>
        <w:t xml:space="preserve">This project applies the full data-science workflow — cleaning, exploratory analysis, and predictive forecasting — to a two-year daily retail sales dataset spanning four product categories (Electronics, Clothing, Grocery, Home &amp; Garden). It mirrors a real retail analytics use case: understand what's driving sales, then forecast near-term demand.</w:t>
      </w:r>
    </w:p>
    <w:p>
      <w:pPr>
        <w:spacing w:after="150"/>
      </w:pPr>
      <w:r>
        <w:t xml:space="preserve">The dataset simulates a realistic point-of-sale export: an underlying growth trend, weekly and seasonal patterns, holiday spikes (Black Friday, December), plus the messiness real exports contain — missing days, duplicate transaction logs, and data-entry outliers.</w:t>
      </w:r>
    </w:p>
    <w:p>
      <w:pPr>
        <w:pStyle w:val="Heading1"/>
        <w:spacing w:after="150" w:before="300"/>
      </w:pPr>
      <w:r>
        <w:t xml:space="preserve">2. Data Cleaning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00"/>
      </w:tblGrid>
      <w:tr>
        <w:tc>
          <w:tcPr>
            <w:tcW w:type="dxa" w:w="55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35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Raw rows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2,939 (daily × 4 categories, 2 years)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Duplicate rows removed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14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Missing values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58 → 0 (interpolated within each category's time series)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Outliers capped (per-category IQR)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81 rows</w:t>
            </w:r>
          </w:p>
        </w:tc>
      </w:tr>
      <w:tr>
        <w:tc>
          <w:tcPr>
            <w:tcW w:type="dxa" w:w="5500"/>
          </w:tcPr>
          <w:p>
            <w:r>
              <w:rPr>
                <w:b w:val="false"/>
                <w:bCs w:val="false"/>
                <w:color w:val="000000"/>
              </w:rPr>
              <w:t xml:space="preserve">Cleaned rows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2,925</w:t>
            </w:r>
          </w:p>
        </w:tc>
      </w:tr>
    </w:tbl>
    <w:p>
      <w:pPr>
        <w:spacing w:after="150"/>
      </w:pPr>
      <w:r>
        <w:t xml:space="preserve">Missing values were filled using time-series interpolation within each category (rather than a flat average), since sales on a missing day are best estimated from neighboring days. Outliers were capped per-category using a generous IQR bound — wide enough to preserve legitimate holiday spikes while catching clear data-entry errors (e.g. an accidental extra digit).</w:t>
      </w:r>
    </w:p>
    <w:p>
      <w:pPr>
        <w:pStyle w:val="Heading1"/>
        <w:spacing w:after="150" w:before="300"/>
      </w:pPr>
      <w:r>
        <w:t xml:space="preserve">3. Exploratory Analysis</w:t>
      </w:r>
    </w:p>
    <w:p>
      <w:pPr>
        <w:pStyle w:val="Heading2"/>
        <w:spacing w:after="120" w:before="250"/>
      </w:pPr>
      <w:r>
        <w:t xml:space="preserve">3.1 Sales Trend by Category</w:t>
      </w:r>
    </w:p>
    <w:p>
      <w:pPr>
        <w:spacing w:after="60"/>
        <w:jc w:val="center"/>
      </w:pPr>
      <w:r>
        <w:drawing>
          <wp:inline distT="0" distB="0" distL="0" distR="0">
            <wp:extent cx="5143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 — 7-day rolling average sales by category</w:t>
      </w:r>
    </w:p>
    <w:p>
      <w:pPr>
        <w:spacing w:after="150"/>
      </w:pPr>
      <w:r>
        <w:t xml:space="preserve">All categories show a mild upward trend plus a sharp shared spike around Black Friday (late November) and a smaller lift through December. Grocery shows the least seasonal swing (a staple category), while Electronics and Clothing show the largest holiday-driven jumps.</w:t>
      </w:r>
    </w:p>
    <w:p>
      <w:pPr>
        <w:pStyle w:val="Heading2"/>
        <w:spacing w:after="120" w:before="250"/>
      </w:pPr>
      <w:r>
        <w:t xml:space="preserve">3.2 Category Performance</w:t>
      </w:r>
    </w:p>
    <w:p>
      <w:pPr>
        <w:spacing w:after="60"/>
        <w:jc w:val="center"/>
      </w:pPr>
      <w:r>
        <w:drawing>
          <wp:inline distT="0" distB="0" distL="0" distR="0">
            <wp:extent cx="4381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2 — Total sales by category over the full period</w:t>
      </w:r>
    </w:p>
    <w:p>
      <w:pPr>
        <w:spacing w:after="150"/>
      </w:pPr>
      <w:r>
        <w:t xml:space="preserve">Grocery was the top-selling category overall (~$1.26M), reflecting steady, high-frequency purchases, ahead of Electronics, Clothing, and Home &amp; Garden.</w:t>
      </w:r>
    </w:p>
    <w:p>
      <w:pPr>
        <w:pStyle w:val="Heading2"/>
        <w:spacing w:after="120" w:before="250"/>
      </w:pPr>
      <w:r>
        <w:t xml:space="preserve">3.3 Day-of-Week Pattern</w:t>
      </w:r>
    </w:p>
    <w:p>
      <w:pPr>
        <w:spacing w:after="60"/>
        <w:jc w:val="center"/>
      </w:pPr>
      <w:r>
        <w:drawing>
          <wp:inline distT="0" distB="0" distL="0" distR="0">
            <wp:extent cx="4381500" cy="2762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3 — Sales distribution by day of week</w:t>
      </w:r>
    </w:p>
    <w:p>
      <w:pPr>
        <w:spacing w:after="150"/>
      </w:pPr>
      <w:r>
        <w:t xml:space="preserve">Weekend sales (Saturday/Sunday) are consistently higher across all categories, with Clothing showing the strongest weekend lift — consistent with in-store/leisure shopping behavior.</w:t>
      </w:r>
    </w:p>
    <w:p>
      <w:pPr>
        <w:pStyle w:val="Heading2"/>
        <w:spacing w:after="120" w:before="250"/>
      </w:pPr>
      <w:r>
        <w:t xml:space="preserve">3.4 Monthly Heatmap</w:t>
      </w:r>
    </w:p>
    <w:p>
      <w:pPr>
        <w:spacing w:after="60"/>
        <w:jc w:val="center"/>
      </w:pPr>
      <w:r>
        <w:drawing>
          <wp:inline distT="0" distB="0" distL="0" distR="0">
            <wp:extent cx="53340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4 — Monthly total sales by category, both years</w:t>
      </w:r>
    </w:p>
    <w:p>
      <w:pPr>
        <w:spacing w:after="150"/>
      </w:pPr>
      <w:r>
        <w:t xml:space="preserve">The heatmap makes the November spike unmistakable across every category, and shows a mild summer dip — useful for staffing and inventory planning.</w:t>
      </w:r>
    </w:p>
    <w:p>
      <w:pPr>
        <w:pStyle w:val="Heading1"/>
        <w:spacing w:after="150" w:before="300"/>
      </w:pPr>
      <w:r>
        <w:t xml:space="preserve">4. Forecasting Model</w:t>
      </w:r>
    </w:p>
    <w:p>
      <w:pPr>
        <w:spacing w:after="150"/>
      </w:pPr>
      <w:r>
        <w:t xml:space="preserve">Total daily sales (all categories combined) were forecast using time-based features — day index (trend), day-of-week, month, weekend flag, and holiday-season flag — with the last ~4 months held out as a true out-of-time test set (no shuffling, since this is a forecast, not a random split).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2500"/>
      </w:tblGrid>
      <w:tr>
        <w:tc>
          <w:tcPr>
            <w:tcW w:type="dxa" w:w="35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20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MAE</w:t>
            </w:r>
          </w:p>
        </w:tc>
        <w:tc>
          <w:tcPr>
            <w:tcW w:type="dxa" w:w="20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RMSE</w:t>
            </w:r>
          </w:p>
        </w:tc>
        <w:tc>
          <w:tcPr>
            <w:tcW w:type="dxa" w:w="2500"/>
            <w:shd w:fill="2C3E50" w:val="clear"/>
          </w:tcPr>
          <w:p>
            <w:r>
              <w:rPr>
                <w:b/>
                <w:bCs/>
                <w:color w:val="FFFFFF"/>
              </w:rPr>
              <w:t xml:space="preserve">R²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Linear Regression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$861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$1,100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0.692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Random Forest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$594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$729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0.865</w:t>
            </w:r>
          </w:p>
        </w:tc>
      </w:tr>
    </w:tbl>
    <w:p>
      <w:pPr>
        <w:spacing w:after="200"/>
      </w:pPr>
    </w:p>
    <w:p>
      <w:pPr>
        <w:spacing w:after="60"/>
        <w:jc w:val="center"/>
      </w:pPr>
      <w:r>
        <w:drawing>
          <wp:inline distT="0" distB="0" distL="0" distR="0">
            <wp:extent cx="5334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5 — Actual vs. forecast total daily sales on the held-out test period</w:t>
      </w:r>
    </w:p>
    <w:p>
      <w:pPr>
        <w:spacing w:after="150"/>
      </w:pPr>
      <w:r>
        <w:t xml:space="preserve">The Random Forest model substantially outperforms plain Linear Regression (R² of 0.865 vs. 0.692), because it captures the non-linear weekly/holiday interactions that a straight line cannot. Both models correctly anticipate the holiday spike's timing, though Random Forest tracks its magnitude more closely.</w:t>
      </w:r>
    </w:p>
    <w:p>
      <w:pPr>
        <w:pStyle w:val="Heading1"/>
        <w:spacing w:after="150" w:before="300"/>
      </w:pPr>
      <w:r>
        <w:t xml:space="preserve">5. Key Takeaways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Grocery is the top revenue category; Electronics and Clothing are the most holiday-sensitive.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Weekends reliably outperform weekdays across every category — a clear staffing/inventory signal.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Black Friday / December holiday window drives the single largest and most predictable sales spike of the year.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Random Forest forecasting model (R² = 0.865, MAE ≈ $594/day) is recommended over a simple linear trend line for demand planning, since it captures seasonal non-linearities a straight line misses.</w:t>
      </w:r>
    </w:p>
    <w:p>
      <w:pPr>
        <w:pStyle w:val="Heading1"/>
        <w:spacing w:after="150" w:before="300"/>
      </w:pPr>
      <w:r>
        <w:t xml:space="preserve">6. Conclusion</w:t>
      </w:r>
    </w:p>
    <w:p>
      <w:pPr>
        <w:spacing w:after="150"/>
      </w:pPr>
      <w:r>
        <w:t xml:space="preserve">This end-to-end analysis shows how the techniques from the earlier projects — cleaning messy raw data, exploring it for patterns, and building a predictive model — combine into a practical retail decision-support workflow. The resulting forecast could directly inform inventory ordering and staffing decisions ahead of the holiday season.</w:t>
      </w:r>
    </w:p>
    <w:p>
      <w:pPr>
        <w:spacing w:after="150"/>
      </w:pPr>
      <w:r>
        <w:t xml:space="preserve">Deliverables accompanying this report: the full Python pipeline (retail_project.py), the raw and cleaned datasets (retail_sales_raw.csv / retail_sales_cleaned.csv), and an interactive HTML dashboard.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3beb54c4413a3c2601cd521b4e31f48c75fcb3.png"/><Relationship Id="rId8" Type="http://schemas.openxmlformats.org/officeDocument/2006/relationships/image" Target="media/c839bd75bfdc9ca797a57ce773a80c82753a220d.png"/><Relationship Id="rId9" Type="http://schemas.openxmlformats.org/officeDocument/2006/relationships/image" Target="media/a958b78bcc254fb194e024b22b80ad0a127d246f.png"/><Relationship Id="rId10" Type="http://schemas.openxmlformats.org/officeDocument/2006/relationships/image" Target="media/ab59929f7b224549d21a1c0a94c9d0341b132c6a.png"/><Relationship Id="rId11" Type="http://schemas.openxmlformats.org/officeDocument/2006/relationships/image" Target="media/eb7d5f9a484a054464dc4c19d802a3face2cc1a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2026-09-22T08:49:20.903Z</dcterms:created>
  <dcterms:modified xsi:type="dcterms:W3CDTF">2026-09-22T08:49:20.913Z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