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Securities Lending Collateral Policy</w:t>
      </w:r>
    </w:p>
    <w:p>
      <w:pPr>
        <w:pStyle w:val="Heading2"/>
      </w:pPr>
      <w:r>
        <w:t>Collateral</w:t>
      </w:r>
    </w:p>
    <w:p>
      <w:r>
        <w:t>Loans of US securities must be collateralized at 102 percent of market value; loans of non-US securities at 105 percent.</w:t>
      </w:r>
    </w:p>
    <w:p>
      <w:pPr>
        <w:pStyle w:val="Heading2"/>
      </w:pPr>
      <w:r>
        <w:t>Marking to Market</w:t>
      </w:r>
    </w:p>
    <w:p>
      <w:r>
        <w:t>Collateral is marked to market daily. If coverage drops below the requirement, a collateral call is issued the same day.</w:t>
      </w:r>
    </w:p>
    <w:p>
      <w:pPr>
        <w:pStyle w:val="Heading2"/>
      </w:pPr>
      <w:r>
        <w:t>Governance</w:t>
      </w:r>
    </w:p>
    <w:p>
      <w:r>
        <w:t>The Securities Lending Committee approves borrowers. The policy is governed by SEC Rule 15c3-3.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Securities Lending Collateral Policy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