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SOP: Suspicious Activity Report Filing</w:t>
      </w:r>
    </w:p>
    <w:p>
      <w:pPr>
        <w:pStyle w:val="Heading2"/>
      </w:pPr>
      <w:r>
        <w:t>Scope</w:t>
      </w:r>
    </w:p>
    <w:p>
      <w:r>
        <w:t>This standard operating procedure applies to analysts in the Financial Intelligence Unit (FIU). It requires the AML and KYC Policy.</w:t>
      </w:r>
    </w:p>
    <w:p>
      <w:pPr>
        <w:pStyle w:val="Heading2"/>
      </w:pPr>
      <w:r>
        <w:t>Step 1 - Triage</w:t>
      </w:r>
    </w:p>
    <w:p>
      <w:r>
        <w:t>Open the alert in Case Manager, confirm it is not a duplicate, and assign a priority. Priority 1 alerts involve possible terrorist financing and must be escalated to the BSA Officer within 4 hours.</w:t>
      </w:r>
    </w:p>
    <w:p>
      <w:pPr>
        <w:pStyle w:val="Heading2"/>
      </w:pPr>
      <w:r>
        <w:t>Step 2 - Investigation</w:t>
      </w:r>
    </w:p>
    <w:p>
      <w:r>
        <w:t>Collect 12 months of transaction history, KYC profile and any adverse media. Document the narrative using the who, what, when, where, why and how structure.</w:t>
      </w:r>
    </w:p>
    <w:p>
      <w:pPr>
        <w:pStyle w:val="Heading2"/>
      </w:pPr>
      <w:r>
        <w:t>Step 3 - Decision</w:t>
      </w:r>
    </w:p>
    <w:p>
      <w:r>
        <w:t>A second analyst reviews the case. If the reviewers disagree, the BSA Officer makes the final decision.</w:t>
      </w:r>
    </w:p>
    <w:p>
      <w:pPr>
        <w:pStyle w:val="Heading2"/>
      </w:pPr>
      <w:r>
        <w:t>Step 4 - Filing</w:t>
      </w:r>
    </w:p>
    <w:p>
      <w:r>
        <w:t>File the SAR through the BSA E-Filing system within 30 calendar days of detection. If no suspect is identified, the deadline may be extended by 30 days, but never beyond 60 days total. Continuing activity reviews are performed every 90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Suspicious Activity Report Filing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