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Compensation Bands and Bonus Pool Guidelines</w:t>
      </w:r>
    </w:p>
    <w:p>
      <w:pPr>
        <w:pStyle w:val="Heading2"/>
      </w:pPr>
      <w:r>
        <w:t>Bands</w:t>
      </w:r>
    </w:p>
    <w:p>
      <w:r>
        <w:t>Compensation bands are reviewed annually by the Compensation Committee. Band data is restricted to HR business partners and executives.</w:t>
      </w:r>
    </w:p>
    <w:p>
      <w:pPr>
        <w:pStyle w:val="Heading2"/>
      </w:pPr>
      <w:r>
        <w:t>Bonus Pool</w:t>
      </w:r>
    </w:p>
    <w:p>
      <w:r>
        <w:t>The firm-wide bonus pool is funded at between 80 and 120 percent of target based on firm performance and risk-adjusted return.</w:t>
      </w:r>
    </w:p>
    <w:p>
      <w:pPr>
        <w:pStyle w:val="Heading2"/>
      </w:pPr>
      <w:r>
        <w:t>Clawback</w:t>
      </w:r>
    </w:p>
    <w:p>
      <w:r>
        <w:t>Bonuses for material risk takers are subject to a 3-year clawback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Compensation Bands and Bonus Pool Guidelines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