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SOP: Wealth Client Onboarding</w:t>
      </w:r>
    </w:p>
    <w:p>
      <w:pPr>
        <w:pStyle w:val="Heading2"/>
      </w:pPr>
      <w:r>
        <w:t>Steps</w:t>
      </w:r>
    </w:p>
    <w:p>
      <w:r>
        <w:t>Onboarding has five steps: discovery meeting, KYC collection, investment profile, account opening and funding. This SOP requires the AML and KYC Policy and the Investment Suitability Policy.</w:t>
      </w:r>
    </w:p>
    <w:p>
      <w:pPr>
        <w:pStyle w:val="Heading2"/>
      </w:pPr>
      <w:r>
        <w:t>Documents</w:t>
      </w:r>
    </w:p>
    <w:p>
      <w:r>
        <w:t>Collect a government ID, proof of address dated within 90 days, and a signed advisory agreement.</w:t>
      </w:r>
    </w:p>
    <w:p>
      <w:pPr>
        <w:pStyle w:val="Heading2"/>
      </w:pPr>
      <w:r>
        <w:t>Service Level</w:t>
      </w:r>
    </w:p>
    <w:p>
      <w:r>
        <w:t>Accounts must be opened within 5 business days of receiving complete documentation. Example record: client Jane Doe, SSN 123-45-6789, email jane.doe@example.com, phone 555-0199.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SOP: Wealth Client Onboarding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