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D7912" w14:textId="49387418" w:rsidR="007E1A5E" w:rsidRDefault="008F522F"/>
    <w:p w14:paraId="15CA8ED8" w14:textId="16D6AAF2" w:rsidR="008F522F" w:rsidRDefault="008F522F"/>
    <w:p w14:paraId="1EE13F9C" w14:textId="77777777" w:rsidR="008F522F" w:rsidRDefault="008F522F" w:rsidP="008F522F">
      <w:pPr>
        <w:spacing w:after="160" w:line="259" w:lineRule="auto"/>
        <w:rPr>
          <w:rFonts w:ascii="Arial" w:hAnsi="Arial" w:cs="Arial"/>
        </w:rPr>
      </w:pPr>
    </w:p>
    <w:p w14:paraId="5DB41C47" w14:textId="77777777" w:rsidR="008F522F" w:rsidRDefault="008F522F" w:rsidP="008F522F">
      <w:pPr>
        <w:spacing w:after="160" w:line="259" w:lineRule="auto"/>
        <w:rPr>
          <w:rFonts w:ascii="Arial" w:hAnsi="Arial" w:cs="Arial"/>
        </w:rPr>
      </w:pPr>
    </w:p>
    <w:p w14:paraId="24EDE146" w14:textId="4251F86C" w:rsidR="008F522F" w:rsidRPr="008F522F" w:rsidRDefault="008F522F" w:rsidP="008F522F">
      <w:pPr>
        <w:spacing w:after="160" w:line="259" w:lineRule="auto"/>
        <w:rPr>
          <w:rFonts w:ascii="Arial" w:hAnsi="Arial" w:cs="Arial"/>
          <w:b/>
          <w:sz w:val="28"/>
          <w:szCs w:val="28"/>
        </w:rPr>
      </w:pPr>
      <w:r w:rsidRPr="008F522F">
        <w:rPr>
          <w:rFonts w:ascii="Arial" w:hAnsi="Arial" w:cs="Arial"/>
          <w:sz w:val="28"/>
          <w:szCs w:val="28"/>
        </w:rPr>
        <w:t xml:space="preserve">R plc provides you the following standard cost information for another of its products for next year. It is anticipated that the budgeted quarterly production of 30,000 units will equal sales.  </w:t>
      </w:r>
    </w:p>
    <w:tbl>
      <w:tblPr>
        <w:tblStyle w:val="TableGrid"/>
        <w:tblW w:w="0" w:type="auto"/>
        <w:tblLayout w:type="fixed"/>
        <w:tblLook w:val="04A0" w:firstRow="1" w:lastRow="0" w:firstColumn="1" w:lastColumn="0" w:noHBand="0" w:noVBand="1"/>
      </w:tblPr>
      <w:tblGrid>
        <w:gridCol w:w="3539"/>
        <w:gridCol w:w="1134"/>
      </w:tblGrid>
      <w:tr w:rsidR="008F522F" w:rsidRPr="008F522F" w14:paraId="6804B04F" w14:textId="77777777" w:rsidTr="00FE6566">
        <w:tc>
          <w:tcPr>
            <w:tcW w:w="3539" w:type="dxa"/>
          </w:tcPr>
          <w:p w14:paraId="54E7F074" w14:textId="77777777" w:rsidR="008F522F" w:rsidRPr="008F522F" w:rsidRDefault="008F522F" w:rsidP="00FE6566">
            <w:pPr>
              <w:spacing w:after="160" w:line="259" w:lineRule="auto"/>
              <w:rPr>
                <w:rFonts w:ascii="Arial" w:hAnsi="Arial" w:cs="Arial"/>
                <w:sz w:val="28"/>
                <w:szCs w:val="28"/>
              </w:rPr>
            </w:pPr>
          </w:p>
        </w:tc>
        <w:tc>
          <w:tcPr>
            <w:tcW w:w="1134" w:type="dxa"/>
          </w:tcPr>
          <w:p w14:paraId="61006A8E"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Per unit</w:t>
            </w:r>
          </w:p>
        </w:tc>
      </w:tr>
      <w:tr w:rsidR="008F522F" w:rsidRPr="008F522F" w14:paraId="040E779C" w14:textId="77777777" w:rsidTr="00FE6566">
        <w:tc>
          <w:tcPr>
            <w:tcW w:w="3539" w:type="dxa"/>
          </w:tcPr>
          <w:p w14:paraId="16ECC807"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Selling price </w:t>
            </w:r>
          </w:p>
        </w:tc>
        <w:tc>
          <w:tcPr>
            <w:tcW w:w="1134" w:type="dxa"/>
          </w:tcPr>
          <w:p w14:paraId="14C27BA7"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£1.00</w:t>
            </w:r>
          </w:p>
        </w:tc>
      </w:tr>
      <w:tr w:rsidR="008F522F" w:rsidRPr="008F522F" w14:paraId="0EA1A876" w14:textId="77777777" w:rsidTr="00FE6566">
        <w:tc>
          <w:tcPr>
            <w:tcW w:w="3539" w:type="dxa"/>
          </w:tcPr>
          <w:p w14:paraId="3A0F4927"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Variable production cost</w:t>
            </w:r>
          </w:p>
        </w:tc>
        <w:tc>
          <w:tcPr>
            <w:tcW w:w="1134" w:type="dxa"/>
          </w:tcPr>
          <w:p w14:paraId="777640D2"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£0.65</w:t>
            </w:r>
          </w:p>
        </w:tc>
      </w:tr>
      <w:tr w:rsidR="008F522F" w:rsidRPr="008F522F" w14:paraId="1BCDA490" w14:textId="77777777" w:rsidTr="00FE6566">
        <w:tc>
          <w:tcPr>
            <w:tcW w:w="3539" w:type="dxa"/>
          </w:tcPr>
          <w:p w14:paraId="6AC86732"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Fixed production cost</w:t>
            </w:r>
          </w:p>
        </w:tc>
        <w:tc>
          <w:tcPr>
            <w:tcW w:w="1134" w:type="dxa"/>
          </w:tcPr>
          <w:p w14:paraId="252BC913"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£0.20</w:t>
            </w:r>
          </w:p>
        </w:tc>
      </w:tr>
    </w:tbl>
    <w:p w14:paraId="3B2EE6CE" w14:textId="77777777" w:rsidR="008F522F" w:rsidRPr="008F522F" w:rsidRDefault="008F522F" w:rsidP="008F522F">
      <w:pPr>
        <w:spacing w:after="160" w:line="259" w:lineRule="auto"/>
        <w:rPr>
          <w:rFonts w:ascii="Arial" w:hAnsi="Arial" w:cs="Arial"/>
          <w:sz w:val="28"/>
          <w:szCs w:val="28"/>
        </w:rPr>
      </w:pPr>
    </w:p>
    <w:p w14:paraId="1159330C" w14:textId="77777777" w:rsidR="008F522F" w:rsidRPr="008F522F" w:rsidRDefault="008F522F" w:rsidP="008F522F">
      <w:pPr>
        <w:spacing w:after="160" w:line="259" w:lineRule="auto"/>
        <w:rPr>
          <w:rFonts w:ascii="Arial" w:hAnsi="Arial" w:cs="Arial"/>
          <w:sz w:val="28"/>
          <w:szCs w:val="28"/>
        </w:rPr>
      </w:pPr>
      <w:r w:rsidRPr="008F522F">
        <w:rPr>
          <w:rFonts w:ascii="Arial" w:hAnsi="Arial" w:cs="Arial"/>
          <w:sz w:val="28"/>
          <w:szCs w:val="28"/>
        </w:rPr>
        <w:t>Budgeted annual selling, distribution and administration (all fixed) are £8,400.</w:t>
      </w:r>
    </w:p>
    <w:p w14:paraId="26080E68" w14:textId="77777777" w:rsidR="008F522F" w:rsidRPr="008F522F" w:rsidRDefault="008F522F" w:rsidP="008F522F">
      <w:pPr>
        <w:spacing w:after="160" w:line="259" w:lineRule="auto"/>
        <w:rPr>
          <w:rFonts w:ascii="Arial" w:hAnsi="Arial" w:cs="Arial"/>
          <w:sz w:val="28"/>
          <w:szCs w:val="28"/>
        </w:rPr>
      </w:pPr>
      <w:r w:rsidRPr="008F522F">
        <w:rPr>
          <w:rFonts w:ascii="Arial" w:hAnsi="Arial" w:cs="Arial"/>
          <w:sz w:val="28"/>
          <w:szCs w:val="28"/>
        </w:rPr>
        <w:t>Actual quarterly production and sales are provided below:</w:t>
      </w:r>
    </w:p>
    <w:tbl>
      <w:tblPr>
        <w:tblStyle w:val="TableGrid"/>
        <w:tblW w:w="0" w:type="auto"/>
        <w:tblLayout w:type="fixed"/>
        <w:tblLook w:val="04A0" w:firstRow="1" w:lastRow="0" w:firstColumn="1" w:lastColumn="0" w:noHBand="0" w:noVBand="1"/>
      </w:tblPr>
      <w:tblGrid>
        <w:gridCol w:w="2689"/>
        <w:gridCol w:w="1275"/>
        <w:gridCol w:w="1276"/>
        <w:gridCol w:w="1134"/>
        <w:gridCol w:w="1276"/>
      </w:tblGrid>
      <w:tr w:rsidR="008F522F" w:rsidRPr="008F522F" w14:paraId="0C8762BF" w14:textId="77777777" w:rsidTr="00FE6566">
        <w:tc>
          <w:tcPr>
            <w:tcW w:w="2689" w:type="dxa"/>
          </w:tcPr>
          <w:p w14:paraId="1E1D645B"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Quarter </w:t>
            </w:r>
          </w:p>
        </w:tc>
        <w:tc>
          <w:tcPr>
            <w:tcW w:w="1275" w:type="dxa"/>
          </w:tcPr>
          <w:p w14:paraId="689FAFDA"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1</w:t>
            </w:r>
          </w:p>
        </w:tc>
        <w:tc>
          <w:tcPr>
            <w:tcW w:w="1276" w:type="dxa"/>
          </w:tcPr>
          <w:p w14:paraId="512A3242"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2</w:t>
            </w:r>
          </w:p>
        </w:tc>
        <w:tc>
          <w:tcPr>
            <w:tcW w:w="1134" w:type="dxa"/>
          </w:tcPr>
          <w:p w14:paraId="5AD6F5AD"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3</w:t>
            </w:r>
          </w:p>
        </w:tc>
        <w:tc>
          <w:tcPr>
            <w:tcW w:w="1276" w:type="dxa"/>
          </w:tcPr>
          <w:p w14:paraId="039BD6AD"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4</w:t>
            </w:r>
          </w:p>
        </w:tc>
      </w:tr>
      <w:tr w:rsidR="008F522F" w:rsidRPr="008F522F" w14:paraId="6495F776" w14:textId="77777777" w:rsidTr="00FE6566">
        <w:tc>
          <w:tcPr>
            <w:tcW w:w="2689" w:type="dxa"/>
          </w:tcPr>
          <w:p w14:paraId="40E40032"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Production (units)</w:t>
            </w:r>
          </w:p>
        </w:tc>
        <w:tc>
          <w:tcPr>
            <w:tcW w:w="1275" w:type="dxa"/>
          </w:tcPr>
          <w:p w14:paraId="05E84A98"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34,000</w:t>
            </w:r>
          </w:p>
        </w:tc>
        <w:tc>
          <w:tcPr>
            <w:tcW w:w="1276" w:type="dxa"/>
          </w:tcPr>
          <w:p w14:paraId="3B82672F"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28,000</w:t>
            </w:r>
          </w:p>
        </w:tc>
        <w:tc>
          <w:tcPr>
            <w:tcW w:w="1134" w:type="dxa"/>
          </w:tcPr>
          <w:p w14:paraId="14BD583C"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33,000</w:t>
            </w:r>
          </w:p>
        </w:tc>
        <w:tc>
          <w:tcPr>
            <w:tcW w:w="1276" w:type="dxa"/>
          </w:tcPr>
          <w:p w14:paraId="3EEEA753"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27,000</w:t>
            </w:r>
          </w:p>
        </w:tc>
      </w:tr>
      <w:tr w:rsidR="008F522F" w:rsidRPr="008F522F" w14:paraId="516F840A" w14:textId="77777777" w:rsidTr="00FE6566">
        <w:tc>
          <w:tcPr>
            <w:tcW w:w="2689" w:type="dxa"/>
          </w:tcPr>
          <w:p w14:paraId="684361AD"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Sales (units)</w:t>
            </w:r>
          </w:p>
        </w:tc>
        <w:tc>
          <w:tcPr>
            <w:tcW w:w="1275" w:type="dxa"/>
          </w:tcPr>
          <w:p w14:paraId="7C0714B1"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28,000</w:t>
            </w:r>
          </w:p>
        </w:tc>
        <w:tc>
          <w:tcPr>
            <w:tcW w:w="1276" w:type="dxa"/>
          </w:tcPr>
          <w:p w14:paraId="36B1CB41"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 xml:space="preserve"> 32,000</w:t>
            </w:r>
          </w:p>
        </w:tc>
        <w:tc>
          <w:tcPr>
            <w:tcW w:w="1134" w:type="dxa"/>
          </w:tcPr>
          <w:p w14:paraId="5DCF4751"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28,000</w:t>
            </w:r>
          </w:p>
        </w:tc>
        <w:tc>
          <w:tcPr>
            <w:tcW w:w="1276" w:type="dxa"/>
          </w:tcPr>
          <w:p w14:paraId="73EFCBEF" w14:textId="77777777" w:rsidR="008F522F" w:rsidRPr="008F522F" w:rsidRDefault="008F522F" w:rsidP="00FE6566">
            <w:pPr>
              <w:spacing w:after="160" w:line="259" w:lineRule="auto"/>
              <w:rPr>
                <w:rFonts w:ascii="Arial" w:hAnsi="Arial" w:cs="Arial"/>
                <w:sz w:val="28"/>
                <w:szCs w:val="28"/>
              </w:rPr>
            </w:pPr>
            <w:r w:rsidRPr="008F522F">
              <w:rPr>
                <w:rFonts w:ascii="Arial" w:hAnsi="Arial" w:cs="Arial"/>
                <w:sz w:val="28"/>
                <w:szCs w:val="28"/>
              </w:rPr>
              <w:t>32,000</w:t>
            </w:r>
          </w:p>
        </w:tc>
      </w:tr>
    </w:tbl>
    <w:p w14:paraId="3E2942FB" w14:textId="77777777" w:rsidR="008F522F" w:rsidRPr="008F522F" w:rsidRDefault="008F522F" w:rsidP="008F522F">
      <w:pPr>
        <w:spacing w:after="160" w:line="259" w:lineRule="auto"/>
        <w:rPr>
          <w:rFonts w:ascii="Arial" w:hAnsi="Arial" w:cs="Arial"/>
          <w:sz w:val="28"/>
          <w:szCs w:val="28"/>
        </w:rPr>
      </w:pPr>
    </w:p>
    <w:p w14:paraId="4FFB7EBC" w14:textId="77777777" w:rsidR="008F522F" w:rsidRPr="008F522F" w:rsidRDefault="008F522F" w:rsidP="008F522F">
      <w:pPr>
        <w:spacing w:after="160" w:line="259" w:lineRule="auto"/>
        <w:rPr>
          <w:rFonts w:ascii="Arial" w:hAnsi="Arial" w:cs="Arial"/>
          <w:sz w:val="28"/>
          <w:szCs w:val="28"/>
        </w:rPr>
      </w:pPr>
      <w:r w:rsidRPr="008F522F">
        <w:rPr>
          <w:rFonts w:ascii="Arial" w:hAnsi="Arial" w:cs="Arial"/>
          <w:sz w:val="28"/>
          <w:szCs w:val="28"/>
        </w:rPr>
        <w:t>Assume no opening inventory in quarter 1. In addition, assume all budgeted costs are the same as actual costs.</w:t>
      </w:r>
    </w:p>
    <w:p w14:paraId="7E39CD2E" w14:textId="77777777" w:rsidR="008F522F" w:rsidRPr="008F522F" w:rsidRDefault="008F522F" w:rsidP="008F522F">
      <w:pPr>
        <w:spacing w:after="160" w:line="259" w:lineRule="auto"/>
        <w:rPr>
          <w:rFonts w:ascii="Arial" w:hAnsi="Arial" w:cs="Arial"/>
          <w:sz w:val="28"/>
          <w:szCs w:val="28"/>
        </w:rPr>
      </w:pPr>
      <w:r w:rsidRPr="008F522F">
        <w:rPr>
          <w:rFonts w:ascii="Arial" w:hAnsi="Arial" w:cs="Arial"/>
          <w:b/>
          <w:sz w:val="28"/>
          <w:szCs w:val="28"/>
        </w:rPr>
        <w:t>Required</w:t>
      </w:r>
      <w:r w:rsidRPr="008F522F">
        <w:rPr>
          <w:rFonts w:ascii="Arial" w:hAnsi="Arial" w:cs="Arial"/>
          <w:sz w:val="28"/>
          <w:szCs w:val="28"/>
        </w:rPr>
        <w:t>:</w:t>
      </w:r>
    </w:p>
    <w:p w14:paraId="0A816A94" w14:textId="77777777" w:rsidR="008F522F" w:rsidRPr="008F522F" w:rsidRDefault="008F522F" w:rsidP="008F522F">
      <w:pPr>
        <w:spacing w:after="160" w:line="259" w:lineRule="auto"/>
        <w:rPr>
          <w:rFonts w:ascii="Arial" w:hAnsi="Arial" w:cs="Arial"/>
          <w:b/>
          <w:sz w:val="28"/>
          <w:szCs w:val="28"/>
        </w:rPr>
      </w:pPr>
      <w:r w:rsidRPr="008F522F">
        <w:rPr>
          <w:rFonts w:ascii="Arial" w:hAnsi="Arial" w:cs="Arial"/>
          <w:sz w:val="28"/>
          <w:szCs w:val="28"/>
        </w:rPr>
        <w:t xml:space="preserve"> </w:t>
      </w:r>
      <w:r w:rsidRPr="008F522F">
        <w:rPr>
          <w:rFonts w:ascii="Arial" w:hAnsi="Arial" w:cs="Arial"/>
          <w:b/>
          <w:sz w:val="28"/>
          <w:szCs w:val="28"/>
        </w:rPr>
        <w:t xml:space="preserve">a) Quarterly marginal costing profit statements. </w:t>
      </w:r>
    </w:p>
    <w:p w14:paraId="21E275D3" w14:textId="77777777" w:rsidR="008F522F" w:rsidRPr="008F522F" w:rsidRDefault="008F522F" w:rsidP="008F522F">
      <w:pPr>
        <w:rPr>
          <w:rFonts w:ascii="Arial" w:hAnsi="Arial" w:cs="Arial"/>
          <w:b/>
          <w:sz w:val="28"/>
          <w:szCs w:val="28"/>
        </w:rPr>
      </w:pPr>
      <w:r w:rsidRPr="008F522F">
        <w:rPr>
          <w:rFonts w:ascii="Arial" w:hAnsi="Arial" w:cs="Arial"/>
          <w:b/>
          <w:sz w:val="28"/>
          <w:szCs w:val="28"/>
        </w:rPr>
        <w:t xml:space="preserve"> b) Quarterly absorption costing profit statements.</w:t>
      </w:r>
    </w:p>
    <w:p w14:paraId="07CEF320" w14:textId="77777777" w:rsidR="008F522F" w:rsidRPr="008F522F" w:rsidRDefault="008F522F" w:rsidP="008F522F">
      <w:pPr>
        <w:rPr>
          <w:rFonts w:ascii="Arial" w:hAnsi="Arial" w:cs="Arial"/>
          <w:b/>
          <w:sz w:val="28"/>
          <w:szCs w:val="28"/>
        </w:rPr>
      </w:pPr>
      <w:r w:rsidRPr="008F522F">
        <w:rPr>
          <w:rFonts w:ascii="Arial" w:hAnsi="Arial" w:cs="Arial"/>
          <w:b/>
          <w:sz w:val="28"/>
          <w:szCs w:val="28"/>
        </w:rPr>
        <w:t xml:space="preserve"> </w:t>
      </w:r>
    </w:p>
    <w:p w14:paraId="2951D371" w14:textId="77777777" w:rsidR="008F522F" w:rsidRPr="008F522F" w:rsidRDefault="008F522F" w:rsidP="008F522F">
      <w:pPr>
        <w:rPr>
          <w:rFonts w:ascii="Arial" w:hAnsi="Arial" w:cs="Arial"/>
          <w:b/>
          <w:sz w:val="28"/>
          <w:szCs w:val="28"/>
        </w:rPr>
      </w:pPr>
      <w:r w:rsidRPr="008F522F">
        <w:rPr>
          <w:rFonts w:ascii="Arial" w:hAnsi="Arial" w:cs="Arial"/>
          <w:b/>
          <w:sz w:val="28"/>
          <w:szCs w:val="28"/>
        </w:rPr>
        <w:t xml:space="preserve"> c) Explain the main differences between the above 2 costing systems. Why do external financial reporting use absorption costing systems whilst internal reporting favours marginal costing. </w:t>
      </w:r>
    </w:p>
    <w:p w14:paraId="0DE1A7C5" w14:textId="039B86BE" w:rsidR="008F522F" w:rsidRDefault="008F522F">
      <w:pPr>
        <w:rPr>
          <w:sz w:val="28"/>
          <w:szCs w:val="28"/>
        </w:rPr>
      </w:pPr>
    </w:p>
    <w:p w14:paraId="008CE73E" w14:textId="388FDC30" w:rsidR="008F522F" w:rsidRDefault="008F522F">
      <w:pPr>
        <w:rPr>
          <w:sz w:val="28"/>
          <w:szCs w:val="28"/>
        </w:rPr>
      </w:pPr>
    </w:p>
    <w:p w14:paraId="01FEECCB" w14:textId="2BCECE09" w:rsidR="008F522F" w:rsidRDefault="008F522F">
      <w:pPr>
        <w:rPr>
          <w:sz w:val="28"/>
          <w:szCs w:val="28"/>
        </w:rPr>
      </w:pPr>
    </w:p>
    <w:p w14:paraId="37C30225" w14:textId="4F360BE0" w:rsidR="008F522F" w:rsidRDefault="008F522F">
      <w:pPr>
        <w:rPr>
          <w:sz w:val="28"/>
          <w:szCs w:val="28"/>
        </w:rPr>
      </w:pPr>
    </w:p>
    <w:p w14:paraId="67726052" w14:textId="29E622BA" w:rsidR="008F522F" w:rsidRDefault="008F522F">
      <w:pPr>
        <w:rPr>
          <w:sz w:val="28"/>
          <w:szCs w:val="28"/>
        </w:rPr>
      </w:pPr>
    </w:p>
    <w:p w14:paraId="7CCEF37D" w14:textId="2A5FEBE9" w:rsidR="008F522F" w:rsidRDefault="008F522F">
      <w:pPr>
        <w:rPr>
          <w:sz w:val="28"/>
          <w:szCs w:val="28"/>
        </w:rPr>
      </w:pPr>
    </w:p>
    <w:p w14:paraId="3CEA19E5" w14:textId="7BF02E45" w:rsidR="008F522F" w:rsidRDefault="008F522F">
      <w:pPr>
        <w:rPr>
          <w:sz w:val="28"/>
          <w:szCs w:val="28"/>
        </w:rPr>
      </w:pPr>
    </w:p>
    <w:p w14:paraId="482C033A" w14:textId="5B84B324" w:rsidR="008F522F" w:rsidRDefault="008F522F">
      <w:pPr>
        <w:rPr>
          <w:sz w:val="28"/>
          <w:szCs w:val="28"/>
        </w:rPr>
      </w:pPr>
    </w:p>
    <w:p w14:paraId="5350B6AF" w14:textId="77777777" w:rsidR="008F522F" w:rsidRPr="006D6006" w:rsidRDefault="008F522F" w:rsidP="008F522F">
      <w:pPr>
        <w:rPr>
          <w:rFonts w:ascii="Arial" w:hAnsi="Arial" w:cs="Arial"/>
          <w:color w:val="FF0000"/>
        </w:rPr>
      </w:pPr>
      <w:r>
        <w:rPr>
          <w:rFonts w:ascii="Arial" w:hAnsi="Arial" w:cs="Arial"/>
          <w:color w:val="FF0000"/>
        </w:rPr>
        <w:t>I</w:t>
      </w:r>
      <w:r w:rsidRPr="006D6006">
        <w:rPr>
          <w:rFonts w:ascii="Arial" w:hAnsi="Arial" w:cs="Arial"/>
          <w:color w:val="FF0000"/>
        </w:rPr>
        <w:t>ndicative content plus how the question may be marked (e.g. points based/band marking etc.)</w:t>
      </w:r>
    </w:p>
    <w:p w14:paraId="5A7D48A4" w14:textId="77777777" w:rsidR="008F522F" w:rsidRDefault="008F522F" w:rsidP="008F522F">
      <w:pPr>
        <w:spacing w:after="160" w:line="259" w:lineRule="auto"/>
        <w:rPr>
          <w:rFonts w:ascii="Arial" w:eastAsia="Times New Roman" w:hAnsi="Arial" w:cs="Arial"/>
          <w:b/>
          <w:sz w:val="24"/>
          <w:szCs w:val="24"/>
        </w:rPr>
      </w:pPr>
    </w:p>
    <w:p w14:paraId="13589917" w14:textId="77777777" w:rsidR="008F522F" w:rsidRPr="00AB08AF" w:rsidRDefault="008F522F" w:rsidP="008F522F">
      <w:pPr>
        <w:spacing w:after="160" w:line="259" w:lineRule="auto"/>
        <w:rPr>
          <w:rFonts w:ascii="Arial" w:hAnsi="Arial" w:cs="Arial"/>
        </w:rPr>
      </w:pPr>
      <w:r w:rsidRPr="00431C89">
        <w:rPr>
          <w:rFonts w:ascii="Arial" w:hAnsi="Arial" w:cs="Arial"/>
          <w:b/>
        </w:rPr>
        <w:t xml:space="preserve"> </w:t>
      </w:r>
      <w:r w:rsidRPr="00AB08AF">
        <w:rPr>
          <w:rFonts w:ascii="Arial" w:hAnsi="Arial" w:cs="Arial"/>
          <w:b/>
          <w:u w:val="single"/>
        </w:rPr>
        <w:t>Quarterly marginal costing profit statements</w:t>
      </w:r>
      <w:r>
        <w:rPr>
          <w:rFonts w:ascii="Arial" w:hAnsi="Arial" w:cs="Arial"/>
          <w:b/>
          <w:u w:val="single"/>
        </w:rPr>
        <w:t xml:space="preserve"> – workings/notes</w:t>
      </w:r>
      <w:r w:rsidRPr="00AB08AF">
        <w:rPr>
          <w:rFonts w:ascii="Arial" w:hAnsi="Arial" w:cs="Arial"/>
          <w:b/>
        </w:rPr>
        <w:t xml:space="preserve">. </w:t>
      </w:r>
    </w:p>
    <w:p w14:paraId="48F5D535" w14:textId="77777777" w:rsidR="008F522F" w:rsidRPr="00AB08AF" w:rsidRDefault="008F522F" w:rsidP="008F522F">
      <w:pPr>
        <w:rPr>
          <w:rFonts w:ascii="Arial" w:hAnsi="Arial" w:cs="Arial"/>
          <w:b/>
        </w:rPr>
      </w:pPr>
      <w:r w:rsidRPr="00AB08AF">
        <w:rPr>
          <w:rFonts w:ascii="Arial" w:hAnsi="Arial" w:cs="Arial"/>
          <w:b/>
        </w:rPr>
        <w:t>Contribution/unit = £ [1 – 0.65] = £0.35</w:t>
      </w:r>
    </w:p>
    <w:p w14:paraId="1A012188" w14:textId="77777777" w:rsidR="008F522F" w:rsidRPr="00AB08AF" w:rsidRDefault="008F522F" w:rsidP="008F522F">
      <w:pPr>
        <w:rPr>
          <w:rFonts w:ascii="Arial" w:hAnsi="Arial" w:cs="Arial"/>
          <w:b/>
        </w:rPr>
      </w:pPr>
      <w:r w:rsidRPr="00AB08AF">
        <w:rPr>
          <w:rFonts w:ascii="Arial" w:hAnsi="Arial" w:cs="Arial"/>
          <w:b/>
        </w:rPr>
        <w:t>Fixed production cost per quarter = £0.2 x 30,000 units = £6,000</w:t>
      </w:r>
    </w:p>
    <w:p w14:paraId="387018A0" w14:textId="77777777" w:rsidR="008F522F" w:rsidRPr="00AB08AF" w:rsidRDefault="008F522F" w:rsidP="008F522F">
      <w:pPr>
        <w:rPr>
          <w:rFonts w:ascii="Arial" w:hAnsi="Arial" w:cs="Arial"/>
          <w:b/>
        </w:rPr>
      </w:pPr>
      <w:r w:rsidRPr="00AB08AF">
        <w:rPr>
          <w:rFonts w:ascii="Arial" w:hAnsi="Arial" w:cs="Arial"/>
          <w:b/>
        </w:rPr>
        <w:t>Fixed selling, distribution and administration cost per quarter = £8,400 / 4 quarters = £2,100.</w:t>
      </w:r>
    </w:p>
    <w:p w14:paraId="3F6D9122" w14:textId="77777777" w:rsidR="008F522F" w:rsidRPr="00AB08AF" w:rsidRDefault="008F522F" w:rsidP="008F522F">
      <w:pPr>
        <w:rPr>
          <w:rFonts w:ascii="Arial" w:hAnsi="Arial" w:cs="Arial"/>
          <w:b/>
        </w:rPr>
      </w:pPr>
      <w:r w:rsidRPr="00AB08AF">
        <w:rPr>
          <w:rFonts w:ascii="Arial" w:hAnsi="Arial" w:cs="Arial"/>
          <w:b/>
        </w:rPr>
        <w:t>Total fixed cost per quarter = [£6,000 + 2,100] = £8,100</w:t>
      </w:r>
    </w:p>
    <w:p w14:paraId="6965AB7A" w14:textId="77777777" w:rsidR="008F522F" w:rsidRPr="00AB08AF" w:rsidRDefault="008F522F" w:rsidP="008F522F">
      <w:pPr>
        <w:rPr>
          <w:rFonts w:ascii="Arial" w:hAnsi="Arial" w:cs="Arial"/>
          <w:b/>
        </w:rPr>
      </w:pPr>
      <w:r w:rsidRPr="00AB08AF">
        <w:rPr>
          <w:rFonts w:ascii="Arial" w:hAnsi="Arial" w:cs="Arial"/>
          <w:b/>
        </w:rPr>
        <w:t xml:space="preserve"> </w:t>
      </w:r>
    </w:p>
    <w:p w14:paraId="7C705743" w14:textId="77777777" w:rsidR="008F522F" w:rsidRPr="00AB08AF" w:rsidRDefault="008F522F" w:rsidP="008F522F">
      <w:pPr>
        <w:rPr>
          <w:rFonts w:ascii="Arial" w:hAnsi="Arial" w:cs="Arial"/>
          <w:b/>
          <w:u w:val="single"/>
        </w:rPr>
      </w:pPr>
      <w:r w:rsidRPr="00AB08AF">
        <w:rPr>
          <w:rFonts w:ascii="Arial" w:hAnsi="Arial" w:cs="Arial"/>
          <w:b/>
        </w:rPr>
        <w:t xml:space="preserve">    </w:t>
      </w:r>
      <w:r w:rsidRPr="00AB08AF">
        <w:rPr>
          <w:rFonts w:ascii="Arial" w:hAnsi="Arial" w:cs="Arial"/>
          <w:b/>
          <w:u w:val="single"/>
        </w:rPr>
        <w:t>Quarterly marginal costing profit statements [in £000s]</w:t>
      </w:r>
    </w:p>
    <w:p w14:paraId="7CD08D69" w14:textId="77777777" w:rsidR="008F522F" w:rsidRPr="00AB08AF" w:rsidRDefault="008F522F" w:rsidP="008F522F">
      <w:pPr>
        <w:rPr>
          <w:rFonts w:ascii="Arial" w:hAnsi="Arial" w:cs="Arial"/>
          <w:b/>
        </w:rPr>
      </w:pPr>
    </w:p>
    <w:tbl>
      <w:tblPr>
        <w:tblStyle w:val="TableGrid"/>
        <w:tblW w:w="0" w:type="auto"/>
        <w:tblLayout w:type="fixed"/>
        <w:tblLook w:val="04A0" w:firstRow="1" w:lastRow="0" w:firstColumn="1" w:lastColumn="0" w:noHBand="0" w:noVBand="1"/>
      </w:tblPr>
      <w:tblGrid>
        <w:gridCol w:w="4045"/>
        <w:gridCol w:w="1276"/>
        <w:gridCol w:w="1275"/>
        <w:gridCol w:w="1134"/>
        <w:gridCol w:w="1280"/>
      </w:tblGrid>
      <w:tr w:rsidR="008F522F" w:rsidRPr="00AB08AF" w14:paraId="26D88B5D" w14:textId="77777777" w:rsidTr="00FE6566">
        <w:tc>
          <w:tcPr>
            <w:tcW w:w="4045" w:type="dxa"/>
          </w:tcPr>
          <w:p w14:paraId="67CE00E2" w14:textId="77777777" w:rsidR="008F522F" w:rsidRPr="00AB08AF" w:rsidRDefault="008F522F" w:rsidP="00FE6566">
            <w:pPr>
              <w:rPr>
                <w:rFonts w:ascii="Arial" w:hAnsi="Arial" w:cs="Arial"/>
                <w:b/>
              </w:rPr>
            </w:pPr>
            <w:r w:rsidRPr="00AB08AF">
              <w:rPr>
                <w:rFonts w:ascii="Arial" w:hAnsi="Arial" w:cs="Arial"/>
                <w:b/>
              </w:rPr>
              <w:t>Quarter</w:t>
            </w:r>
          </w:p>
        </w:tc>
        <w:tc>
          <w:tcPr>
            <w:tcW w:w="1276" w:type="dxa"/>
          </w:tcPr>
          <w:p w14:paraId="6504D529" w14:textId="77777777" w:rsidR="008F522F" w:rsidRPr="00AB08AF" w:rsidRDefault="008F522F" w:rsidP="00FE6566">
            <w:pPr>
              <w:rPr>
                <w:rFonts w:ascii="Arial" w:hAnsi="Arial" w:cs="Arial"/>
                <w:b/>
              </w:rPr>
            </w:pPr>
            <w:r w:rsidRPr="00AB08AF">
              <w:rPr>
                <w:rFonts w:ascii="Arial" w:hAnsi="Arial" w:cs="Arial"/>
                <w:b/>
              </w:rPr>
              <w:t>1</w:t>
            </w:r>
          </w:p>
        </w:tc>
        <w:tc>
          <w:tcPr>
            <w:tcW w:w="1275" w:type="dxa"/>
          </w:tcPr>
          <w:p w14:paraId="057277CA" w14:textId="77777777" w:rsidR="008F522F" w:rsidRPr="00AB08AF" w:rsidRDefault="008F522F" w:rsidP="00FE6566">
            <w:pPr>
              <w:rPr>
                <w:rFonts w:ascii="Arial" w:hAnsi="Arial" w:cs="Arial"/>
                <w:b/>
              </w:rPr>
            </w:pPr>
            <w:r w:rsidRPr="00AB08AF">
              <w:rPr>
                <w:rFonts w:ascii="Arial" w:hAnsi="Arial" w:cs="Arial"/>
                <w:b/>
              </w:rPr>
              <w:t>2</w:t>
            </w:r>
          </w:p>
        </w:tc>
        <w:tc>
          <w:tcPr>
            <w:tcW w:w="1134" w:type="dxa"/>
          </w:tcPr>
          <w:p w14:paraId="136A3775" w14:textId="77777777" w:rsidR="008F522F" w:rsidRPr="00AB08AF" w:rsidRDefault="008F522F" w:rsidP="00FE6566">
            <w:pPr>
              <w:rPr>
                <w:rFonts w:ascii="Arial" w:hAnsi="Arial" w:cs="Arial"/>
                <w:b/>
              </w:rPr>
            </w:pPr>
            <w:r w:rsidRPr="00AB08AF">
              <w:rPr>
                <w:rFonts w:ascii="Arial" w:hAnsi="Arial" w:cs="Arial"/>
                <w:b/>
              </w:rPr>
              <w:t>3</w:t>
            </w:r>
          </w:p>
        </w:tc>
        <w:tc>
          <w:tcPr>
            <w:tcW w:w="1280" w:type="dxa"/>
          </w:tcPr>
          <w:p w14:paraId="6CDE4A62" w14:textId="77777777" w:rsidR="008F522F" w:rsidRPr="00AB08AF" w:rsidRDefault="008F522F" w:rsidP="00FE6566">
            <w:pPr>
              <w:rPr>
                <w:rFonts w:ascii="Arial" w:hAnsi="Arial" w:cs="Arial"/>
                <w:b/>
              </w:rPr>
            </w:pPr>
            <w:r w:rsidRPr="00AB08AF">
              <w:rPr>
                <w:rFonts w:ascii="Arial" w:hAnsi="Arial" w:cs="Arial"/>
                <w:b/>
              </w:rPr>
              <w:t>4</w:t>
            </w:r>
          </w:p>
        </w:tc>
      </w:tr>
      <w:tr w:rsidR="008F522F" w:rsidRPr="00AB08AF" w14:paraId="332DA4C0" w14:textId="77777777" w:rsidTr="00FE6566">
        <w:tc>
          <w:tcPr>
            <w:tcW w:w="4045" w:type="dxa"/>
          </w:tcPr>
          <w:p w14:paraId="5C6728B4" w14:textId="77777777" w:rsidR="008F522F" w:rsidRPr="00AB08AF" w:rsidRDefault="008F522F" w:rsidP="00FE6566">
            <w:pPr>
              <w:rPr>
                <w:rFonts w:ascii="Arial" w:hAnsi="Arial" w:cs="Arial"/>
                <w:b/>
              </w:rPr>
            </w:pPr>
            <w:r w:rsidRPr="00AB08AF">
              <w:rPr>
                <w:rFonts w:ascii="Arial" w:hAnsi="Arial" w:cs="Arial"/>
                <w:b/>
              </w:rPr>
              <w:t>Total contribution @£0.35 per unit sold</w:t>
            </w:r>
          </w:p>
        </w:tc>
        <w:tc>
          <w:tcPr>
            <w:tcW w:w="1276" w:type="dxa"/>
          </w:tcPr>
          <w:p w14:paraId="7C916AE3" w14:textId="77777777" w:rsidR="008F522F" w:rsidRPr="00AB08AF" w:rsidRDefault="008F522F" w:rsidP="00FE6566">
            <w:pPr>
              <w:rPr>
                <w:rFonts w:ascii="Arial" w:hAnsi="Arial" w:cs="Arial"/>
                <w:b/>
              </w:rPr>
            </w:pPr>
            <w:r w:rsidRPr="00AB08AF">
              <w:rPr>
                <w:rFonts w:ascii="Arial" w:hAnsi="Arial" w:cs="Arial"/>
                <w:b/>
              </w:rPr>
              <w:t>9.8</w:t>
            </w:r>
          </w:p>
        </w:tc>
        <w:tc>
          <w:tcPr>
            <w:tcW w:w="1275" w:type="dxa"/>
          </w:tcPr>
          <w:p w14:paraId="71BE7D13" w14:textId="77777777" w:rsidR="008F522F" w:rsidRPr="00AB08AF" w:rsidRDefault="008F522F" w:rsidP="00FE6566">
            <w:pPr>
              <w:rPr>
                <w:rFonts w:ascii="Arial" w:hAnsi="Arial" w:cs="Arial"/>
                <w:b/>
              </w:rPr>
            </w:pPr>
            <w:r w:rsidRPr="00AB08AF">
              <w:rPr>
                <w:rFonts w:ascii="Arial" w:hAnsi="Arial" w:cs="Arial"/>
                <w:b/>
              </w:rPr>
              <w:t>11.2</w:t>
            </w:r>
          </w:p>
        </w:tc>
        <w:tc>
          <w:tcPr>
            <w:tcW w:w="1134" w:type="dxa"/>
          </w:tcPr>
          <w:p w14:paraId="33D1306C" w14:textId="77777777" w:rsidR="008F522F" w:rsidRPr="00AB08AF" w:rsidRDefault="008F522F" w:rsidP="00FE6566">
            <w:pPr>
              <w:rPr>
                <w:rFonts w:ascii="Arial" w:hAnsi="Arial" w:cs="Arial"/>
                <w:b/>
              </w:rPr>
            </w:pPr>
            <w:r w:rsidRPr="00AB08AF">
              <w:rPr>
                <w:rFonts w:ascii="Arial" w:hAnsi="Arial" w:cs="Arial"/>
                <w:b/>
              </w:rPr>
              <w:t>9.8</w:t>
            </w:r>
          </w:p>
        </w:tc>
        <w:tc>
          <w:tcPr>
            <w:tcW w:w="1280" w:type="dxa"/>
          </w:tcPr>
          <w:p w14:paraId="7B3B7613" w14:textId="77777777" w:rsidR="008F522F" w:rsidRPr="00AB08AF" w:rsidRDefault="008F522F" w:rsidP="00FE6566">
            <w:pPr>
              <w:rPr>
                <w:rFonts w:ascii="Arial" w:hAnsi="Arial" w:cs="Arial"/>
                <w:b/>
              </w:rPr>
            </w:pPr>
            <w:r w:rsidRPr="00AB08AF">
              <w:rPr>
                <w:rFonts w:ascii="Arial" w:hAnsi="Arial" w:cs="Arial"/>
                <w:b/>
              </w:rPr>
              <w:t>11.2</w:t>
            </w:r>
          </w:p>
        </w:tc>
      </w:tr>
      <w:tr w:rsidR="008F522F" w:rsidRPr="00AB08AF" w14:paraId="41A5DA13" w14:textId="77777777" w:rsidTr="00FE6566">
        <w:tc>
          <w:tcPr>
            <w:tcW w:w="4045" w:type="dxa"/>
          </w:tcPr>
          <w:p w14:paraId="79161850" w14:textId="77777777" w:rsidR="008F522F" w:rsidRPr="00AB08AF" w:rsidRDefault="008F522F" w:rsidP="00FE6566">
            <w:pPr>
              <w:rPr>
                <w:rFonts w:ascii="Arial" w:hAnsi="Arial" w:cs="Arial"/>
                <w:b/>
              </w:rPr>
            </w:pPr>
            <w:r w:rsidRPr="00AB08AF">
              <w:rPr>
                <w:rFonts w:ascii="Arial" w:hAnsi="Arial" w:cs="Arial"/>
                <w:b/>
              </w:rPr>
              <w:t>Total fixed costs</w:t>
            </w:r>
          </w:p>
        </w:tc>
        <w:tc>
          <w:tcPr>
            <w:tcW w:w="1276" w:type="dxa"/>
          </w:tcPr>
          <w:p w14:paraId="5FAFA89A" w14:textId="77777777" w:rsidR="008F522F" w:rsidRPr="00AB08AF" w:rsidRDefault="008F522F" w:rsidP="00FE6566">
            <w:pPr>
              <w:rPr>
                <w:rFonts w:ascii="Arial" w:hAnsi="Arial" w:cs="Arial"/>
                <w:b/>
              </w:rPr>
            </w:pPr>
            <w:r w:rsidRPr="00AB08AF">
              <w:rPr>
                <w:rFonts w:ascii="Arial" w:hAnsi="Arial" w:cs="Arial"/>
                <w:b/>
              </w:rPr>
              <w:t>[8.1]</w:t>
            </w:r>
          </w:p>
        </w:tc>
        <w:tc>
          <w:tcPr>
            <w:tcW w:w="1275" w:type="dxa"/>
          </w:tcPr>
          <w:p w14:paraId="70E3F961" w14:textId="77777777" w:rsidR="008F522F" w:rsidRPr="00AB08AF" w:rsidRDefault="008F522F" w:rsidP="00FE6566">
            <w:pPr>
              <w:rPr>
                <w:rFonts w:ascii="Arial" w:hAnsi="Arial" w:cs="Arial"/>
                <w:b/>
              </w:rPr>
            </w:pPr>
            <w:r w:rsidRPr="00AB08AF">
              <w:rPr>
                <w:rFonts w:ascii="Arial" w:hAnsi="Arial" w:cs="Arial"/>
                <w:b/>
              </w:rPr>
              <w:t>[8.1]</w:t>
            </w:r>
          </w:p>
        </w:tc>
        <w:tc>
          <w:tcPr>
            <w:tcW w:w="1134" w:type="dxa"/>
          </w:tcPr>
          <w:p w14:paraId="74E2EB7B" w14:textId="77777777" w:rsidR="008F522F" w:rsidRPr="00AB08AF" w:rsidRDefault="008F522F" w:rsidP="00FE6566">
            <w:pPr>
              <w:rPr>
                <w:rFonts w:ascii="Arial" w:hAnsi="Arial" w:cs="Arial"/>
                <w:b/>
              </w:rPr>
            </w:pPr>
            <w:r w:rsidRPr="00AB08AF">
              <w:rPr>
                <w:rFonts w:ascii="Arial" w:hAnsi="Arial" w:cs="Arial"/>
                <w:b/>
              </w:rPr>
              <w:t>[8.1]</w:t>
            </w:r>
          </w:p>
        </w:tc>
        <w:tc>
          <w:tcPr>
            <w:tcW w:w="1280" w:type="dxa"/>
          </w:tcPr>
          <w:p w14:paraId="4070C798" w14:textId="77777777" w:rsidR="008F522F" w:rsidRPr="00AB08AF" w:rsidRDefault="008F522F" w:rsidP="00FE6566">
            <w:pPr>
              <w:rPr>
                <w:rFonts w:ascii="Arial" w:hAnsi="Arial" w:cs="Arial"/>
                <w:b/>
              </w:rPr>
            </w:pPr>
            <w:r w:rsidRPr="00AB08AF">
              <w:rPr>
                <w:rFonts w:ascii="Arial" w:hAnsi="Arial" w:cs="Arial"/>
                <w:b/>
              </w:rPr>
              <w:t>[8.1]</w:t>
            </w:r>
          </w:p>
        </w:tc>
      </w:tr>
      <w:tr w:rsidR="008F522F" w:rsidRPr="00AB08AF" w14:paraId="192D0084" w14:textId="77777777" w:rsidTr="00FE6566">
        <w:tc>
          <w:tcPr>
            <w:tcW w:w="4045" w:type="dxa"/>
          </w:tcPr>
          <w:p w14:paraId="12ABEC2A" w14:textId="77777777" w:rsidR="008F522F" w:rsidRPr="00AB08AF" w:rsidRDefault="008F522F" w:rsidP="00FE6566">
            <w:pPr>
              <w:rPr>
                <w:rFonts w:ascii="Arial" w:hAnsi="Arial" w:cs="Arial"/>
                <w:b/>
              </w:rPr>
            </w:pPr>
            <w:r w:rsidRPr="00AB08AF">
              <w:rPr>
                <w:rFonts w:ascii="Arial" w:hAnsi="Arial" w:cs="Arial"/>
                <w:b/>
              </w:rPr>
              <w:t>Profit</w:t>
            </w:r>
          </w:p>
        </w:tc>
        <w:tc>
          <w:tcPr>
            <w:tcW w:w="1276" w:type="dxa"/>
          </w:tcPr>
          <w:p w14:paraId="688FB1E4" w14:textId="77777777" w:rsidR="008F522F" w:rsidRPr="00AB08AF" w:rsidRDefault="008F522F" w:rsidP="00FE6566">
            <w:pPr>
              <w:rPr>
                <w:rFonts w:ascii="Arial" w:hAnsi="Arial" w:cs="Arial"/>
                <w:b/>
              </w:rPr>
            </w:pPr>
            <w:r w:rsidRPr="00AB08AF">
              <w:rPr>
                <w:rFonts w:ascii="Arial" w:hAnsi="Arial" w:cs="Arial"/>
                <w:b/>
              </w:rPr>
              <w:t xml:space="preserve"> 1.7</w:t>
            </w:r>
          </w:p>
        </w:tc>
        <w:tc>
          <w:tcPr>
            <w:tcW w:w="1275" w:type="dxa"/>
          </w:tcPr>
          <w:p w14:paraId="6BA85F3A" w14:textId="77777777" w:rsidR="008F522F" w:rsidRPr="00AB08AF" w:rsidRDefault="008F522F" w:rsidP="00FE6566">
            <w:pPr>
              <w:rPr>
                <w:rFonts w:ascii="Arial" w:hAnsi="Arial" w:cs="Arial"/>
                <w:b/>
              </w:rPr>
            </w:pPr>
            <w:r w:rsidRPr="00AB08AF">
              <w:rPr>
                <w:rFonts w:ascii="Arial" w:hAnsi="Arial" w:cs="Arial"/>
                <w:b/>
              </w:rPr>
              <w:t xml:space="preserve"> 3.1</w:t>
            </w:r>
          </w:p>
        </w:tc>
        <w:tc>
          <w:tcPr>
            <w:tcW w:w="1134" w:type="dxa"/>
          </w:tcPr>
          <w:p w14:paraId="355A2763" w14:textId="77777777" w:rsidR="008F522F" w:rsidRPr="00AB08AF" w:rsidRDefault="008F522F" w:rsidP="00FE6566">
            <w:pPr>
              <w:rPr>
                <w:rFonts w:ascii="Arial" w:hAnsi="Arial" w:cs="Arial"/>
                <w:b/>
              </w:rPr>
            </w:pPr>
            <w:r w:rsidRPr="00AB08AF">
              <w:rPr>
                <w:rFonts w:ascii="Arial" w:hAnsi="Arial" w:cs="Arial"/>
                <w:b/>
              </w:rPr>
              <w:t xml:space="preserve"> 1.7</w:t>
            </w:r>
          </w:p>
        </w:tc>
        <w:tc>
          <w:tcPr>
            <w:tcW w:w="1280" w:type="dxa"/>
          </w:tcPr>
          <w:p w14:paraId="5EA5C96B" w14:textId="77777777" w:rsidR="008F522F" w:rsidRPr="00AB08AF" w:rsidRDefault="008F522F" w:rsidP="00FE6566">
            <w:pPr>
              <w:rPr>
                <w:rFonts w:ascii="Arial" w:hAnsi="Arial" w:cs="Arial"/>
                <w:b/>
              </w:rPr>
            </w:pPr>
            <w:r w:rsidRPr="00AB08AF">
              <w:rPr>
                <w:rFonts w:ascii="Arial" w:hAnsi="Arial" w:cs="Arial"/>
                <w:b/>
              </w:rPr>
              <w:t xml:space="preserve"> 3.1</w:t>
            </w:r>
          </w:p>
        </w:tc>
      </w:tr>
    </w:tbl>
    <w:p w14:paraId="6E7977FB" w14:textId="77777777" w:rsidR="008F522F" w:rsidRPr="00AB08AF" w:rsidRDefault="008F522F" w:rsidP="008F522F">
      <w:pPr>
        <w:rPr>
          <w:rFonts w:ascii="Arial" w:hAnsi="Arial" w:cs="Arial"/>
          <w:b/>
        </w:rPr>
      </w:pPr>
    </w:p>
    <w:p w14:paraId="44FCC295" w14:textId="77777777" w:rsidR="008F522F" w:rsidRPr="00AB08AF" w:rsidRDefault="008F522F" w:rsidP="008F522F">
      <w:pPr>
        <w:rPr>
          <w:rFonts w:ascii="Arial" w:hAnsi="Arial" w:cs="Arial"/>
          <w:b/>
          <w:u w:val="single"/>
        </w:rPr>
      </w:pPr>
      <w:r w:rsidRPr="00AB08AF">
        <w:rPr>
          <w:rFonts w:ascii="Arial" w:hAnsi="Arial" w:cs="Arial"/>
          <w:b/>
          <w:u w:val="single"/>
        </w:rPr>
        <w:t xml:space="preserve">  </w:t>
      </w:r>
    </w:p>
    <w:p w14:paraId="2FC1A546" w14:textId="77777777" w:rsidR="008F522F" w:rsidRPr="00AB08AF" w:rsidRDefault="008F522F" w:rsidP="008F522F">
      <w:pPr>
        <w:rPr>
          <w:rFonts w:ascii="Arial" w:hAnsi="Arial" w:cs="Arial"/>
          <w:b/>
          <w:u w:val="single"/>
        </w:rPr>
      </w:pPr>
      <w:r w:rsidRPr="00AB08AF">
        <w:rPr>
          <w:rFonts w:ascii="Arial" w:hAnsi="Arial" w:cs="Arial"/>
          <w:b/>
        </w:rPr>
        <w:t xml:space="preserve">   </w:t>
      </w:r>
      <w:r w:rsidRPr="00AB08AF">
        <w:rPr>
          <w:rFonts w:ascii="Arial" w:hAnsi="Arial" w:cs="Arial"/>
          <w:b/>
          <w:u w:val="single"/>
        </w:rPr>
        <w:t>Quarterly absorption costing profit statements.</w:t>
      </w:r>
    </w:p>
    <w:p w14:paraId="32EE2B6C" w14:textId="77777777" w:rsidR="008F522F" w:rsidRPr="00AB08AF" w:rsidRDefault="008F522F" w:rsidP="008F522F">
      <w:pPr>
        <w:rPr>
          <w:rFonts w:ascii="Arial" w:hAnsi="Arial" w:cs="Arial"/>
          <w:b/>
          <w:u w:val="single"/>
        </w:rPr>
      </w:pPr>
    </w:p>
    <w:p w14:paraId="7604A287" w14:textId="77777777" w:rsidR="008F522F" w:rsidRPr="00AB08AF" w:rsidRDefault="008F522F" w:rsidP="008F522F">
      <w:pPr>
        <w:rPr>
          <w:rFonts w:ascii="Arial" w:hAnsi="Arial" w:cs="Arial"/>
          <w:b/>
        </w:rPr>
      </w:pPr>
      <w:r w:rsidRPr="00AB08AF">
        <w:rPr>
          <w:rFonts w:ascii="Arial" w:hAnsi="Arial" w:cs="Arial"/>
          <w:b/>
        </w:rPr>
        <w:t xml:space="preserve">Production cost per unit = </w:t>
      </w:r>
      <w:proofErr w:type="gramStart"/>
      <w:r w:rsidRPr="00AB08AF">
        <w:rPr>
          <w:rFonts w:ascii="Arial" w:hAnsi="Arial" w:cs="Arial"/>
          <w:b/>
        </w:rPr>
        <w:t>£[</w:t>
      </w:r>
      <w:proofErr w:type="gramEnd"/>
      <w:r w:rsidRPr="00AB08AF">
        <w:rPr>
          <w:rFonts w:ascii="Arial" w:hAnsi="Arial" w:cs="Arial"/>
          <w:b/>
        </w:rPr>
        <w:t>0.65 + 0.2] = £0.85</w:t>
      </w:r>
    </w:p>
    <w:p w14:paraId="2ADBFC25" w14:textId="77777777" w:rsidR="008F522F" w:rsidRPr="00AB08AF" w:rsidRDefault="008F522F" w:rsidP="008F522F">
      <w:pPr>
        <w:rPr>
          <w:rFonts w:ascii="Arial" w:hAnsi="Arial" w:cs="Arial"/>
          <w:b/>
        </w:rPr>
      </w:pPr>
      <w:r w:rsidRPr="00AB08AF">
        <w:rPr>
          <w:rFonts w:ascii="Arial" w:hAnsi="Arial" w:cs="Arial"/>
          <w:b/>
        </w:rPr>
        <w:t>GP per unit sold = £ [1 – 0.85] = £0.15</w:t>
      </w:r>
    </w:p>
    <w:p w14:paraId="5464EEE2" w14:textId="77777777" w:rsidR="008F522F" w:rsidRPr="00AB08AF" w:rsidRDefault="008F522F" w:rsidP="008F522F">
      <w:pPr>
        <w:rPr>
          <w:rFonts w:ascii="Arial" w:hAnsi="Arial" w:cs="Arial"/>
          <w:b/>
        </w:rPr>
      </w:pPr>
      <w:r w:rsidRPr="00AB08AF">
        <w:rPr>
          <w:rFonts w:ascii="Arial" w:hAnsi="Arial" w:cs="Arial"/>
          <w:b/>
        </w:rPr>
        <w:t>Fixed selling, distribution and administration cost per quarter = £8,400 / 4 quarters = £2,100.</w:t>
      </w:r>
    </w:p>
    <w:p w14:paraId="3F2D2CF8" w14:textId="77777777" w:rsidR="008F522F" w:rsidRPr="00AB08AF" w:rsidRDefault="008F522F" w:rsidP="008F522F">
      <w:pPr>
        <w:rPr>
          <w:rFonts w:ascii="Arial" w:hAnsi="Arial" w:cs="Arial"/>
          <w:b/>
        </w:rPr>
      </w:pPr>
      <w:r w:rsidRPr="00AB08AF">
        <w:rPr>
          <w:rFonts w:ascii="Arial" w:hAnsi="Arial" w:cs="Arial"/>
          <w:b/>
        </w:rPr>
        <w:t xml:space="preserve"> </w:t>
      </w:r>
    </w:p>
    <w:p w14:paraId="4322E9E7" w14:textId="77777777" w:rsidR="008F522F" w:rsidRPr="00AB08AF" w:rsidRDefault="008F522F" w:rsidP="008F522F">
      <w:pPr>
        <w:rPr>
          <w:rFonts w:ascii="Arial" w:hAnsi="Arial" w:cs="Arial"/>
          <w:b/>
          <w:u w:val="single"/>
        </w:rPr>
      </w:pPr>
    </w:p>
    <w:p w14:paraId="2D742B85" w14:textId="77777777" w:rsidR="008F522F" w:rsidRPr="00AB08AF" w:rsidRDefault="008F522F" w:rsidP="008F522F">
      <w:pPr>
        <w:rPr>
          <w:rFonts w:ascii="Arial" w:hAnsi="Arial" w:cs="Arial"/>
          <w:b/>
          <w:u w:val="single"/>
        </w:rPr>
      </w:pPr>
      <w:r w:rsidRPr="00AB08AF">
        <w:rPr>
          <w:rFonts w:ascii="Arial" w:hAnsi="Arial" w:cs="Arial"/>
          <w:b/>
        </w:rPr>
        <w:t xml:space="preserve">    </w:t>
      </w:r>
      <w:r w:rsidRPr="00AB08AF">
        <w:rPr>
          <w:rFonts w:ascii="Arial" w:hAnsi="Arial" w:cs="Arial"/>
          <w:b/>
          <w:u w:val="single"/>
        </w:rPr>
        <w:t>Quarterly absorption costing profit statements [in £000s].</w:t>
      </w:r>
    </w:p>
    <w:p w14:paraId="5CB656AB" w14:textId="77777777" w:rsidR="008F522F" w:rsidRPr="00AB08AF" w:rsidRDefault="008F522F" w:rsidP="008F522F">
      <w:pPr>
        <w:rPr>
          <w:rFonts w:ascii="Arial" w:hAnsi="Arial" w:cs="Arial"/>
        </w:rPr>
      </w:pPr>
    </w:p>
    <w:tbl>
      <w:tblPr>
        <w:tblStyle w:val="TableGrid"/>
        <w:tblW w:w="0" w:type="auto"/>
        <w:tblLayout w:type="fixed"/>
        <w:tblLook w:val="04A0" w:firstRow="1" w:lastRow="0" w:firstColumn="1" w:lastColumn="0" w:noHBand="0" w:noVBand="1"/>
      </w:tblPr>
      <w:tblGrid>
        <w:gridCol w:w="4754"/>
        <w:gridCol w:w="992"/>
        <w:gridCol w:w="1134"/>
        <w:gridCol w:w="1276"/>
        <w:gridCol w:w="1275"/>
      </w:tblGrid>
      <w:tr w:rsidR="008F522F" w:rsidRPr="00AB08AF" w14:paraId="1F66792C" w14:textId="77777777" w:rsidTr="00FE6566">
        <w:tc>
          <w:tcPr>
            <w:tcW w:w="4754" w:type="dxa"/>
          </w:tcPr>
          <w:p w14:paraId="5A27D7A7" w14:textId="77777777" w:rsidR="008F522F" w:rsidRPr="00AB08AF" w:rsidRDefault="008F522F" w:rsidP="00FE6566">
            <w:pPr>
              <w:rPr>
                <w:rFonts w:ascii="Arial" w:hAnsi="Arial" w:cs="Arial"/>
                <w:b/>
              </w:rPr>
            </w:pPr>
            <w:r w:rsidRPr="00AB08AF">
              <w:rPr>
                <w:rFonts w:ascii="Arial" w:hAnsi="Arial" w:cs="Arial"/>
                <w:b/>
              </w:rPr>
              <w:t>Quarter</w:t>
            </w:r>
          </w:p>
        </w:tc>
        <w:tc>
          <w:tcPr>
            <w:tcW w:w="992" w:type="dxa"/>
          </w:tcPr>
          <w:p w14:paraId="45891356" w14:textId="77777777" w:rsidR="008F522F" w:rsidRPr="00AB08AF" w:rsidRDefault="008F522F" w:rsidP="00FE6566">
            <w:pPr>
              <w:rPr>
                <w:rFonts w:ascii="Arial" w:hAnsi="Arial" w:cs="Arial"/>
                <w:b/>
              </w:rPr>
            </w:pPr>
            <w:r w:rsidRPr="00AB08AF">
              <w:rPr>
                <w:rFonts w:ascii="Arial" w:hAnsi="Arial" w:cs="Arial"/>
                <w:b/>
              </w:rPr>
              <w:t>1</w:t>
            </w:r>
          </w:p>
        </w:tc>
        <w:tc>
          <w:tcPr>
            <w:tcW w:w="1134" w:type="dxa"/>
          </w:tcPr>
          <w:p w14:paraId="36B792C6" w14:textId="77777777" w:rsidR="008F522F" w:rsidRPr="00AB08AF" w:rsidRDefault="008F522F" w:rsidP="00FE6566">
            <w:pPr>
              <w:rPr>
                <w:rFonts w:ascii="Arial" w:hAnsi="Arial" w:cs="Arial"/>
                <w:b/>
              </w:rPr>
            </w:pPr>
            <w:r w:rsidRPr="00AB08AF">
              <w:rPr>
                <w:rFonts w:ascii="Arial" w:hAnsi="Arial" w:cs="Arial"/>
                <w:b/>
              </w:rPr>
              <w:t>2</w:t>
            </w:r>
          </w:p>
        </w:tc>
        <w:tc>
          <w:tcPr>
            <w:tcW w:w="1276" w:type="dxa"/>
          </w:tcPr>
          <w:p w14:paraId="3B86892D" w14:textId="77777777" w:rsidR="008F522F" w:rsidRPr="00AB08AF" w:rsidRDefault="008F522F" w:rsidP="00FE6566">
            <w:pPr>
              <w:rPr>
                <w:rFonts w:ascii="Arial" w:hAnsi="Arial" w:cs="Arial"/>
                <w:b/>
              </w:rPr>
            </w:pPr>
            <w:r w:rsidRPr="00AB08AF">
              <w:rPr>
                <w:rFonts w:ascii="Arial" w:hAnsi="Arial" w:cs="Arial"/>
                <w:b/>
              </w:rPr>
              <w:t>3</w:t>
            </w:r>
          </w:p>
        </w:tc>
        <w:tc>
          <w:tcPr>
            <w:tcW w:w="1275" w:type="dxa"/>
          </w:tcPr>
          <w:p w14:paraId="3349559F" w14:textId="77777777" w:rsidR="008F522F" w:rsidRPr="00AB08AF" w:rsidRDefault="008F522F" w:rsidP="00FE6566">
            <w:pPr>
              <w:rPr>
                <w:rFonts w:ascii="Arial" w:hAnsi="Arial" w:cs="Arial"/>
                <w:b/>
              </w:rPr>
            </w:pPr>
            <w:r w:rsidRPr="00AB08AF">
              <w:rPr>
                <w:rFonts w:ascii="Arial" w:hAnsi="Arial" w:cs="Arial"/>
                <w:b/>
              </w:rPr>
              <w:t>4</w:t>
            </w:r>
          </w:p>
        </w:tc>
      </w:tr>
      <w:tr w:rsidR="008F522F" w:rsidRPr="00AB08AF" w14:paraId="5D87691C" w14:textId="77777777" w:rsidTr="00FE6566">
        <w:tc>
          <w:tcPr>
            <w:tcW w:w="4754" w:type="dxa"/>
          </w:tcPr>
          <w:p w14:paraId="3943609B" w14:textId="77777777" w:rsidR="008F522F" w:rsidRPr="00AB08AF" w:rsidRDefault="008F522F" w:rsidP="00FE6566">
            <w:pPr>
              <w:rPr>
                <w:rFonts w:ascii="Arial" w:hAnsi="Arial" w:cs="Arial"/>
                <w:b/>
              </w:rPr>
            </w:pPr>
            <w:r w:rsidRPr="00AB08AF">
              <w:rPr>
                <w:rFonts w:ascii="Arial" w:hAnsi="Arial" w:cs="Arial"/>
                <w:b/>
              </w:rPr>
              <w:t>GP @£0.15 per unit sold</w:t>
            </w:r>
          </w:p>
        </w:tc>
        <w:tc>
          <w:tcPr>
            <w:tcW w:w="992" w:type="dxa"/>
          </w:tcPr>
          <w:p w14:paraId="68DDE90E" w14:textId="77777777" w:rsidR="008F522F" w:rsidRPr="00AB08AF" w:rsidRDefault="008F522F" w:rsidP="00FE6566">
            <w:pPr>
              <w:rPr>
                <w:rFonts w:ascii="Arial" w:hAnsi="Arial" w:cs="Arial"/>
                <w:b/>
              </w:rPr>
            </w:pPr>
            <w:r w:rsidRPr="00AB08AF">
              <w:rPr>
                <w:rFonts w:ascii="Arial" w:hAnsi="Arial" w:cs="Arial"/>
                <w:b/>
              </w:rPr>
              <w:t>4.2</w:t>
            </w:r>
          </w:p>
        </w:tc>
        <w:tc>
          <w:tcPr>
            <w:tcW w:w="1134" w:type="dxa"/>
          </w:tcPr>
          <w:p w14:paraId="2442BA9E" w14:textId="77777777" w:rsidR="008F522F" w:rsidRPr="00AB08AF" w:rsidRDefault="008F522F" w:rsidP="00FE6566">
            <w:pPr>
              <w:rPr>
                <w:rFonts w:ascii="Arial" w:hAnsi="Arial" w:cs="Arial"/>
                <w:b/>
              </w:rPr>
            </w:pPr>
            <w:r w:rsidRPr="00AB08AF">
              <w:rPr>
                <w:rFonts w:ascii="Arial" w:hAnsi="Arial" w:cs="Arial"/>
                <w:b/>
              </w:rPr>
              <w:t>4.8</w:t>
            </w:r>
          </w:p>
        </w:tc>
        <w:tc>
          <w:tcPr>
            <w:tcW w:w="1276" w:type="dxa"/>
          </w:tcPr>
          <w:p w14:paraId="2EFE14E5" w14:textId="77777777" w:rsidR="008F522F" w:rsidRPr="00AB08AF" w:rsidRDefault="008F522F" w:rsidP="00FE6566">
            <w:pPr>
              <w:rPr>
                <w:rFonts w:ascii="Arial" w:hAnsi="Arial" w:cs="Arial"/>
                <w:b/>
              </w:rPr>
            </w:pPr>
            <w:r w:rsidRPr="00AB08AF">
              <w:rPr>
                <w:rFonts w:ascii="Arial" w:hAnsi="Arial" w:cs="Arial"/>
                <w:b/>
              </w:rPr>
              <w:t>4.2</w:t>
            </w:r>
          </w:p>
        </w:tc>
        <w:tc>
          <w:tcPr>
            <w:tcW w:w="1275" w:type="dxa"/>
          </w:tcPr>
          <w:p w14:paraId="64745255" w14:textId="77777777" w:rsidR="008F522F" w:rsidRPr="00AB08AF" w:rsidRDefault="008F522F" w:rsidP="00FE6566">
            <w:pPr>
              <w:rPr>
                <w:rFonts w:ascii="Arial" w:hAnsi="Arial" w:cs="Arial"/>
                <w:b/>
              </w:rPr>
            </w:pPr>
            <w:r w:rsidRPr="00AB08AF">
              <w:rPr>
                <w:rFonts w:ascii="Arial" w:hAnsi="Arial" w:cs="Arial"/>
                <w:b/>
              </w:rPr>
              <w:t>4.8</w:t>
            </w:r>
          </w:p>
        </w:tc>
      </w:tr>
      <w:tr w:rsidR="008F522F" w:rsidRPr="00AB08AF" w14:paraId="6E076C6B" w14:textId="77777777" w:rsidTr="00FE6566">
        <w:tc>
          <w:tcPr>
            <w:tcW w:w="4754" w:type="dxa"/>
          </w:tcPr>
          <w:p w14:paraId="2ED83608" w14:textId="77777777" w:rsidR="008F522F" w:rsidRPr="00AB08AF" w:rsidRDefault="008F522F" w:rsidP="00FE6566">
            <w:pPr>
              <w:rPr>
                <w:rFonts w:ascii="Arial" w:hAnsi="Arial" w:cs="Arial"/>
                <w:b/>
              </w:rPr>
            </w:pPr>
            <w:r w:rsidRPr="00AB08AF">
              <w:rPr>
                <w:rFonts w:ascii="Arial" w:hAnsi="Arial" w:cs="Arial"/>
                <w:b/>
              </w:rPr>
              <w:t>[Under]/over absorption of fixed production cost @ £0.2/unit [see notes below]</w:t>
            </w:r>
          </w:p>
        </w:tc>
        <w:tc>
          <w:tcPr>
            <w:tcW w:w="992" w:type="dxa"/>
          </w:tcPr>
          <w:p w14:paraId="379DA919" w14:textId="77777777" w:rsidR="008F522F" w:rsidRPr="00AB08AF" w:rsidRDefault="008F522F" w:rsidP="00FE6566">
            <w:pPr>
              <w:rPr>
                <w:rFonts w:ascii="Arial" w:hAnsi="Arial" w:cs="Arial"/>
                <w:b/>
              </w:rPr>
            </w:pPr>
            <w:r w:rsidRPr="00AB08AF">
              <w:rPr>
                <w:rFonts w:ascii="Arial" w:hAnsi="Arial" w:cs="Arial"/>
                <w:b/>
              </w:rPr>
              <w:t>0.8</w:t>
            </w:r>
          </w:p>
          <w:p w14:paraId="366CF5E8" w14:textId="77777777" w:rsidR="008F522F" w:rsidRPr="00AB08AF" w:rsidRDefault="008F522F" w:rsidP="00FE6566">
            <w:pPr>
              <w:rPr>
                <w:rFonts w:ascii="Arial" w:hAnsi="Arial" w:cs="Arial"/>
                <w:b/>
              </w:rPr>
            </w:pPr>
            <w:r w:rsidRPr="00AB08AF">
              <w:rPr>
                <w:rFonts w:ascii="Arial" w:hAnsi="Arial" w:cs="Arial"/>
                <w:b/>
              </w:rPr>
              <w:t xml:space="preserve">  </w:t>
            </w:r>
          </w:p>
        </w:tc>
        <w:tc>
          <w:tcPr>
            <w:tcW w:w="1134" w:type="dxa"/>
          </w:tcPr>
          <w:p w14:paraId="0D22863F" w14:textId="77777777" w:rsidR="008F522F" w:rsidRPr="00AB08AF" w:rsidRDefault="008F522F" w:rsidP="00FE6566">
            <w:pPr>
              <w:rPr>
                <w:rFonts w:ascii="Arial" w:hAnsi="Arial" w:cs="Arial"/>
                <w:b/>
              </w:rPr>
            </w:pPr>
            <w:r w:rsidRPr="00AB08AF">
              <w:rPr>
                <w:rFonts w:ascii="Arial" w:hAnsi="Arial" w:cs="Arial"/>
                <w:b/>
              </w:rPr>
              <w:t>[0.4]</w:t>
            </w:r>
          </w:p>
          <w:p w14:paraId="0084E4E0" w14:textId="77777777" w:rsidR="008F522F" w:rsidRPr="00AB08AF" w:rsidRDefault="008F522F" w:rsidP="00FE6566">
            <w:pPr>
              <w:rPr>
                <w:rFonts w:ascii="Arial" w:hAnsi="Arial" w:cs="Arial"/>
                <w:b/>
              </w:rPr>
            </w:pPr>
            <w:r w:rsidRPr="00AB08AF">
              <w:rPr>
                <w:rFonts w:ascii="Arial" w:hAnsi="Arial" w:cs="Arial"/>
                <w:b/>
              </w:rPr>
              <w:t xml:space="preserve"> </w:t>
            </w:r>
          </w:p>
        </w:tc>
        <w:tc>
          <w:tcPr>
            <w:tcW w:w="1276" w:type="dxa"/>
          </w:tcPr>
          <w:p w14:paraId="054D0B84" w14:textId="77777777" w:rsidR="008F522F" w:rsidRPr="00AB08AF" w:rsidRDefault="008F522F" w:rsidP="00FE6566">
            <w:pPr>
              <w:rPr>
                <w:rFonts w:ascii="Arial" w:hAnsi="Arial" w:cs="Arial"/>
                <w:b/>
              </w:rPr>
            </w:pPr>
            <w:r w:rsidRPr="00AB08AF">
              <w:rPr>
                <w:rFonts w:ascii="Arial" w:hAnsi="Arial" w:cs="Arial"/>
                <w:b/>
              </w:rPr>
              <w:t>0.6</w:t>
            </w:r>
          </w:p>
          <w:p w14:paraId="77BF8BE3" w14:textId="77777777" w:rsidR="008F522F" w:rsidRPr="00AB08AF" w:rsidRDefault="008F522F" w:rsidP="00FE6566">
            <w:pPr>
              <w:rPr>
                <w:rFonts w:ascii="Arial" w:hAnsi="Arial" w:cs="Arial"/>
                <w:b/>
              </w:rPr>
            </w:pPr>
          </w:p>
        </w:tc>
        <w:tc>
          <w:tcPr>
            <w:tcW w:w="1275" w:type="dxa"/>
          </w:tcPr>
          <w:p w14:paraId="0A666D00" w14:textId="77777777" w:rsidR="008F522F" w:rsidRPr="00AB08AF" w:rsidRDefault="008F522F" w:rsidP="00FE6566">
            <w:pPr>
              <w:rPr>
                <w:rFonts w:ascii="Arial" w:hAnsi="Arial" w:cs="Arial"/>
                <w:b/>
              </w:rPr>
            </w:pPr>
            <w:r w:rsidRPr="00AB08AF">
              <w:rPr>
                <w:rFonts w:ascii="Arial" w:hAnsi="Arial" w:cs="Arial"/>
                <w:b/>
              </w:rPr>
              <w:t>[0.6]</w:t>
            </w:r>
          </w:p>
          <w:p w14:paraId="16705206" w14:textId="77777777" w:rsidR="008F522F" w:rsidRPr="00AB08AF" w:rsidRDefault="008F522F" w:rsidP="00FE6566">
            <w:pPr>
              <w:rPr>
                <w:rFonts w:ascii="Arial" w:hAnsi="Arial" w:cs="Arial"/>
                <w:b/>
              </w:rPr>
            </w:pPr>
            <w:r w:rsidRPr="00AB08AF">
              <w:rPr>
                <w:rFonts w:ascii="Arial" w:hAnsi="Arial" w:cs="Arial"/>
                <w:b/>
              </w:rPr>
              <w:t xml:space="preserve">   </w:t>
            </w:r>
          </w:p>
        </w:tc>
      </w:tr>
      <w:tr w:rsidR="008F522F" w:rsidRPr="00AB08AF" w14:paraId="58E8ED17" w14:textId="77777777" w:rsidTr="00FE6566">
        <w:tc>
          <w:tcPr>
            <w:tcW w:w="4754" w:type="dxa"/>
          </w:tcPr>
          <w:p w14:paraId="2DD74693" w14:textId="77777777" w:rsidR="008F522F" w:rsidRPr="00AB08AF" w:rsidRDefault="008F522F" w:rsidP="00FE6566">
            <w:pPr>
              <w:rPr>
                <w:rFonts w:ascii="Arial" w:hAnsi="Arial" w:cs="Arial"/>
                <w:b/>
              </w:rPr>
            </w:pPr>
            <w:r w:rsidRPr="00AB08AF">
              <w:rPr>
                <w:rFonts w:ascii="Arial" w:hAnsi="Arial" w:cs="Arial"/>
                <w:b/>
              </w:rPr>
              <w:t>Fixed selling, distribution and administration cost</w:t>
            </w:r>
          </w:p>
        </w:tc>
        <w:tc>
          <w:tcPr>
            <w:tcW w:w="992" w:type="dxa"/>
          </w:tcPr>
          <w:p w14:paraId="36BB3910" w14:textId="77777777" w:rsidR="008F522F" w:rsidRPr="00AB08AF" w:rsidRDefault="008F522F" w:rsidP="00FE6566">
            <w:pPr>
              <w:rPr>
                <w:rFonts w:ascii="Arial" w:hAnsi="Arial" w:cs="Arial"/>
                <w:b/>
              </w:rPr>
            </w:pPr>
            <w:r w:rsidRPr="00AB08AF">
              <w:rPr>
                <w:rFonts w:ascii="Arial" w:hAnsi="Arial" w:cs="Arial"/>
                <w:b/>
              </w:rPr>
              <w:t>[2.1]</w:t>
            </w:r>
          </w:p>
        </w:tc>
        <w:tc>
          <w:tcPr>
            <w:tcW w:w="1134" w:type="dxa"/>
          </w:tcPr>
          <w:p w14:paraId="4788F57A" w14:textId="77777777" w:rsidR="008F522F" w:rsidRPr="00AB08AF" w:rsidRDefault="008F522F" w:rsidP="00FE6566">
            <w:pPr>
              <w:rPr>
                <w:rFonts w:ascii="Arial" w:hAnsi="Arial" w:cs="Arial"/>
                <w:b/>
              </w:rPr>
            </w:pPr>
            <w:r w:rsidRPr="00AB08AF">
              <w:rPr>
                <w:rFonts w:ascii="Arial" w:hAnsi="Arial" w:cs="Arial"/>
                <w:b/>
              </w:rPr>
              <w:t>[2.1]</w:t>
            </w:r>
          </w:p>
        </w:tc>
        <w:tc>
          <w:tcPr>
            <w:tcW w:w="1276" w:type="dxa"/>
          </w:tcPr>
          <w:p w14:paraId="6C3E1AEA" w14:textId="77777777" w:rsidR="008F522F" w:rsidRPr="00AB08AF" w:rsidRDefault="008F522F" w:rsidP="00FE6566">
            <w:pPr>
              <w:rPr>
                <w:rFonts w:ascii="Arial" w:hAnsi="Arial" w:cs="Arial"/>
                <w:b/>
              </w:rPr>
            </w:pPr>
            <w:r w:rsidRPr="00AB08AF">
              <w:rPr>
                <w:rFonts w:ascii="Arial" w:hAnsi="Arial" w:cs="Arial"/>
                <w:b/>
              </w:rPr>
              <w:t>[2.1]</w:t>
            </w:r>
          </w:p>
        </w:tc>
        <w:tc>
          <w:tcPr>
            <w:tcW w:w="1275" w:type="dxa"/>
          </w:tcPr>
          <w:p w14:paraId="259B7BCB" w14:textId="77777777" w:rsidR="008F522F" w:rsidRPr="00AB08AF" w:rsidRDefault="008F522F" w:rsidP="00FE6566">
            <w:pPr>
              <w:rPr>
                <w:rFonts w:ascii="Arial" w:hAnsi="Arial" w:cs="Arial"/>
                <w:b/>
              </w:rPr>
            </w:pPr>
            <w:r w:rsidRPr="00AB08AF">
              <w:rPr>
                <w:rFonts w:ascii="Arial" w:hAnsi="Arial" w:cs="Arial"/>
                <w:b/>
              </w:rPr>
              <w:t>[2.1]</w:t>
            </w:r>
          </w:p>
        </w:tc>
      </w:tr>
      <w:tr w:rsidR="008F522F" w:rsidRPr="00AB08AF" w14:paraId="18B2758B" w14:textId="77777777" w:rsidTr="00FE6566">
        <w:tc>
          <w:tcPr>
            <w:tcW w:w="4754" w:type="dxa"/>
          </w:tcPr>
          <w:p w14:paraId="7ADC7D18" w14:textId="77777777" w:rsidR="008F522F" w:rsidRPr="00AB08AF" w:rsidRDefault="008F522F" w:rsidP="00FE6566">
            <w:pPr>
              <w:rPr>
                <w:rFonts w:ascii="Arial" w:hAnsi="Arial" w:cs="Arial"/>
                <w:b/>
              </w:rPr>
            </w:pPr>
            <w:r w:rsidRPr="00AB08AF">
              <w:rPr>
                <w:rFonts w:ascii="Arial" w:hAnsi="Arial" w:cs="Arial"/>
                <w:b/>
              </w:rPr>
              <w:t>Profit</w:t>
            </w:r>
          </w:p>
        </w:tc>
        <w:tc>
          <w:tcPr>
            <w:tcW w:w="992" w:type="dxa"/>
          </w:tcPr>
          <w:p w14:paraId="77B7F794" w14:textId="77777777" w:rsidR="008F522F" w:rsidRPr="00AB08AF" w:rsidRDefault="008F522F" w:rsidP="00FE6566">
            <w:pPr>
              <w:rPr>
                <w:rFonts w:ascii="Arial" w:hAnsi="Arial" w:cs="Arial"/>
                <w:b/>
              </w:rPr>
            </w:pPr>
            <w:r w:rsidRPr="00AB08AF">
              <w:rPr>
                <w:rFonts w:ascii="Arial" w:hAnsi="Arial" w:cs="Arial"/>
                <w:b/>
              </w:rPr>
              <w:t xml:space="preserve"> 2.9</w:t>
            </w:r>
          </w:p>
        </w:tc>
        <w:tc>
          <w:tcPr>
            <w:tcW w:w="1134" w:type="dxa"/>
          </w:tcPr>
          <w:p w14:paraId="67A1DE53" w14:textId="77777777" w:rsidR="008F522F" w:rsidRPr="00AB08AF" w:rsidRDefault="008F522F" w:rsidP="00FE6566">
            <w:pPr>
              <w:rPr>
                <w:rFonts w:ascii="Arial" w:hAnsi="Arial" w:cs="Arial"/>
                <w:b/>
              </w:rPr>
            </w:pPr>
            <w:r w:rsidRPr="00AB08AF">
              <w:rPr>
                <w:rFonts w:ascii="Arial" w:hAnsi="Arial" w:cs="Arial"/>
                <w:b/>
              </w:rPr>
              <w:t>2.3</w:t>
            </w:r>
          </w:p>
        </w:tc>
        <w:tc>
          <w:tcPr>
            <w:tcW w:w="1276" w:type="dxa"/>
          </w:tcPr>
          <w:p w14:paraId="47DB1634" w14:textId="77777777" w:rsidR="008F522F" w:rsidRPr="00AB08AF" w:rsidRDefault="008F522F" w:rsidP="00FE6566">
            <w:pPr>
              <w:rPr>
                <w:rFonts w:ascii="Arial" w:hAnsi="Arial" w:cs="Arial"/>
                <w:b/>
              </w:rPr>
            </w:pPr>
            <w:r w:rsidRPr="00AB08AF">
              <w:rPr>
                <w:rFonts w:ascii="Arial" w:hAnsi="Arial" w:cs="Arial"/>
                <w:b/>
              </w:rPr>
              <w:t>2.7</w:t>
            </w:r>
          </w:p>
        </w:tc>
        <w:tc>
          <w:tcPr>
            <w:tcW w:w="1275" w:type="dxa"/>
          </w:tcPr>
          <w:p w14:paraId="3AEFB2FD" w14:textId="77777777" w:rsidR="008F522F" w:rsidRPr="00AB08AF" w:rsidRDefault="008F522F" w:rsidP="00FE6566">
            <w:pPr>
              <w:rPr>
                <w:rFonts w:ascii="Arial" w:hAnsi="Arial" w:cs="Arial"/>
                <w:b/>
              </w:rPr>
            </w:pPr>
            <w:r w:rsidRPr="00AB08AF">
              <w:rPr>
                <w:rFonts w:ascii="Arial" w:hAnsi="Arial" w:cs="Arial"/>
                <w:b/>
              </w:rPr>
              <w:t>2,1</w:t>
            </w:r>
          </w:p>
        </w:tc>
      </w:tr>
    </w:tbl>
    <w:p w14:paraId="115422FA" w14:textId="77777777" w:rsidR="008F522F" w:rsidRPr="00AB08AF" w:rsidRDefault="008F522F" w:rsidP="008F522F">
      <w:pPr>
        <w:pStyle w:val="NormalWeb"/>
        <w:rPr>
          <w:rFonts w:ascii="Arial" w:hAnsi="Arial" w:cs="Arial"/>
          <w:b/>
          <w:sz w:val="22"/>
          <w:szCs w:val="22"/>
        </w:rPr>
      </w:pPr>
      <w:r w:rsidRPr="00AB08AF">
        <w:rPr>
          <w:rFonts w:ascii="Arial" w:hAnsi="Arial" w:cs="Arial"/>
          <w:b/>
          <w:sz w:val="22"/>
          <w:szCs w:val="22"/>
        </w:rPr>
        <w:t>Notes:</w:t>
      </w:r>
    </w:p>
    <w:p w14:paraId="63CE7D40" w14:textId="77777777" w:rsidR="008F522F" w:rsidRPr="00AB08AF" w:rsidRDefault="008F522F" w:rsidP="008F522F">
      <w:pPr>
        <w:pStyle w:val="NormalWeb"/>
        <w:rPr>
          <w:rFonts w:ascii="Arial" w:hAnsi="Arial" w:cs="Arial"/>
          <w:b/>
          <w:sz w:val="22"/>
          <w:szCs w:val="22"/>
        </w:rPr>
      </w:pPr>
      <w:r w:rsidRPr="00AB08AF">
        <w:rPr>
          <w:rFonts w:ascii="Arial" w:hAnsi="Arial" w:cs="Arial"/>
          <w:b/>
          <w:sz w:val="22"/>
          <w:szCs w:val="22"/>
        </w:rPr>
        <w:t>Q 1: [34,000 – 30,000] units x £0.2 = £800</w:t>
      </w:r>
    </w:p>
    <w:p w14:paraId="03A7F571" w14:textId="77777777" w:rsidR="008F522F" w:rsidRPr="00AB08AF" w:rsidRDefault="008F522F" w:rsidP="008F522F">
      <w:pPr>
        <w:pStyle w:val="NormalWeb"/>
        <w:rPr>
          <w:rFonts w:ascii="Arial" w:hAnsi="Arial" w:cs="Arial"/>
          <w:b/>
          <w:sz w:val="22"/>
          <w:szCs w:val="22"/>
        </w:rPr>
      </w:pPr>
      <w:r w:rsidRPr="00AB08AF">
        <w:rPr>
          <w:rFonts w:ascii="Arial" w:hAnsi="Arial" w:cs="Arial"/>
          <w:b/>
          <w:sz w:val="22"/>
          <w:szCs w:val="22"/>
        </w:rPr>
        <w:t>Q 2: [28,000 – 30,000] units x £0.2 = £ [400]</w:t>
      </w:r>
    </w:p>
    <w:p w14:paraId="5D7FA6D2" w14:textId="77777777" w:rsidR="008F522F" w:rsidRPr="00AB08AF" w:rsidRDefault="008F522F" w:rsidP="008F522F">
      <w:pPr>
        <w:pStyle w:val="NormalWeb"/>
        <w:rPr>
          <w:rFonts w:ascii="Arial" w:hAnsi="Arial" w:cs="Arial"/>
          <w:b/>
          <w:sz w:val="22"/>
          <w:szCs w:val="22"/>
        </w:rPr>
      </w:pPr>
      <w:r w:rsidRPr="00AB08AF">
        <w:rPr>
          <w:rFonts w:ascii="Arial" w:hAnsi="Arial" w:cs="Arial"/>
          <w:b/>
          <w:sz w:val="22"/>
          <w:szCs w:val="22"/>
        </w:rPr>
        <w:t>Q 3: [33,000 – 30,000] units x £0.2 = £600</w:t>
      </w:r>
    </w:p>
    <w:p w14:paraId="052FBE07" w14:textId="77777777" w:rsidR="008F522F" w:rsidRPr="00AB08AF" w:rsidRDefault="008F522F" w:rsidP="008F522F">
      <w:pPr>
        <w:pStyle w:val="NormalWeb"/>
        <w:rPr>
          <w:rFonts w:ascii="Arial" w:hAnsi="Arial" w:cs="Arial"/>
          <w:b/>
          <w:sz w:val="22"/>
          <w:szCs w:val="22"/>
        </w:rPr>
      </w:pPr>
      <w:r w:rsidRPr="00AB08AF">
        <w:rPr>
          <w:rFonts w:ascii="Arial" w:hAnsi="Arial" w:cs="Arial"/>
          <w:b/>
          <w:sz w:val="22"/>
          <w:szCs w:val="22"/>
        </w:rPr>
        <w:t>Q 4: [27,000 – 30,000] units x £0.2 = £ [600]</w:t>
      </w:r>
    </w:p>
    <w:p w14:paraId="1399D010" w14:textId="77777777" w:rsidR="008F522F" w:rsidRDefault="008F522F" w:rsidP="008F522F">
      <w:pPr>
        <w:rPr>
          <w:rFonts w:ascii="Arial" w:eastAsia="Times New Roman" w:hAnsi="Arial" w:cs="Arial"/>
          <w:b/>
          <w:u w:val="single"/>
        </w:rPr>
      </w:pPr>
    </w:p>
    <w:p w14:paraId="0ECFAE29" w14:textId="77777777" w:rsidR="008F522F" w:rsidRPr="00AB08AF" w:rsidRDefault="008F522F" w:rsidP="008F522F">
      <w:pPr>
        <w:rPr>
          <w:rFonts w:ascii="Arial" w:eastAsia="Times New Roman" w:hAnsi="Arial" w:cs="Arial"/>
          <w:b/>
          <w:u w:val="single"/>
        </w:rPr>
      </w:pPr>
      <w:r w:rsidRPr="00AB08AF">
        <w:rPr>
          <w:rFonts w:ascii="Arial" w:eastAsia="Times New Roman" w:hAnsi="Arial" w:cs="Arial"/>
          <w:b/>
          <w:u w:val="single"/>
        </w:rPr>
        <w:t>COSTING SYSTEMS</w:t>
      </w:r>
      <w:r>
        <w:rPr>
          <w:rFonts w:ascii="Arial" w:eastAsia="Times New Roman" w:hAnsi="Arial" w:cs="Arial"/>
          <w:b/>
          <w:u w:val="single"/>
        </w:rPr>
        <w:t xml:space="preserve">: </w:t>
      </w:r>
      <w:r w:rsidRPr="00AB08AF">
        <w:rPr>
          <w:rFonts w:ascii="Arial" w:eastAsia="Times New Roman" w:hAnsi="Arial" w:cs="Arial"/>
          <w:b/>
          <w:u w:val="single"/>
        </w:rPr>
        <w:t>ABSORPTION AND MARGINAL</w:t>
      </w:r>
      <w:r w:rsidRPr="00AB08AF">
        <w:rPr>
          <w:rFonts w:ascii="Arial" w:eastAsia="Times New Roman" w:hAnsi="Arial" w:cs="Arial"/>
          <w:u w:val="single"/>
        </w:rPr>
        <w:t xml:space="preserve"> </w:t>
      </w:r>
      <w:r w:rsidRPr="00AB08AF">
        <w:rPr>
          <w:rFonts w:ascii="Arial" w:eastAsia="Times New Roman" w:hAnsi="Arial" w:cs="Arial"/>
          <w:b/>
          <w:u w:val="single"/>
        </w:rPr>
        <w:t>COSTING</w:t>
      </w:r>
      <w:r w:rsidRPr="00AB08AF">
        <w:rPr>
          <w:rFonts w:ascii="Arial" w:eastAsia="Times New Roman" w:hAnsi="Arial" w:cs="Arial"/>
          <w:u w:val="single"/>
        </w:rPr>
        <w:t xml:space="preserve"> </w:t>
      </w:r>
    </w:p>
    <w:p w14:paraId="50592526" w14:textId="77777777" w:rsidR="008F522F" w:rsidRPr="00AB08AF" w:rsidRDefault="008F522F" w:rsidP="008F522F">
      <w:pPr>
        <w:spacing w:before="100" w:beforeAutospacing="1" w:after="100" w:afterAutospacing="1"/>
        <w:rPr>
          <w:rFonts w:ascii="Arial" w:eastAsia="Times New Roman" w:hAnsi="Arial" w:cs="Arial"/>
        </w:rPr>
      </w:pPr>
      <w:r w:rsidRPr="00AB08AF">
        <w:rPr>
          <w:rFonts w:ascii="Arial" w:eastAsia="Times New Roman" w:hAnsi="Arial" w:cs="Arial"/>
        </w:rPr>
        <w:t xml:space="preserve">• </w:t>
      </w:r>
      <w:r w:rsidRPr="00AB08AF">
        <w:rPr>
          <w:rFonts w:ascii="Arial" w:eastAsia="Times New Roman" w:hAnsi="Arial" w:cs="Arial"/>
          <w:u w:val="single"/>
        </w:rPr>
        <w:t>Absorption Costing</w:t>
      </w:r>
      <w:r w:rsidRPr="00AB08AF">
        <w:rPr>
          <w:rFonts w:ascii="Arial" w:eastAsia="Times New Roman" w:hAnsi="Arial" w:cs="Arial"/>
        </w:rPr>
        <w:t xml:space="preserve"> </w:t>
      </w:r>
      <w:r>
        <w:rPr>
          <w:rFonts w:ascii="Arial" w:eastAsia="Times New Roman" w:hAnsi="Arial" w:cs="Arial"/>
        </w:rPr>
        <w:t xml:space="preserve">requires </w:t>
      </w:r>
      <w:r w:rsidRPr="00AB08AF">
        <w:rPr>
          <w:rFonts w:ascii="Arial" w:eastAsia="Times New Roman" w:hAnsi="Arial" w:cs="Arial"/>
        </w:rPr>
        <w:t xml:space="preserve">that </w:t>
      </w:r>
      <w:r w:rsidRPr="00AB08AF">
        <w:rPr>
          <w:rFonts w:ascii="Arial" w:eastAsia="Times New Roman" w:hAnsi="Arial" w:cs="Arial"/>
          <w:color w:val="001E5E"/>
        </w:rPr>
        <w:t xml:space="preserve">all </w:t>
      </w:r>
      <w:r w:rsidRPr="00AB08AF">
        <w:rPr>
          <w:rFonts w:ascii="Arial" w:eastAsia="Times New Roman" w:hAnsi="Arial" w:cs="Arial"/>
        </w:rPr>
        <w:t xml:space="preserve">production costs, both fixed and variable, will be charged to obtain a full absorption cost for the product. A profit margin is then added to this. </w:t>
      </w:r>
    </w:p>
    <w:p w14:paraId="06F2FCDF" w14:textId="77777777" w:rsidR="008F522F" w:rsidRDefault="008F522F" w:rsidP="008F522F">
      <w:pPr>
        <w:spacing w:before="100" w:beforeAutospacing="1" w:after="100" w:afterAutospacing="1"/>
        <w:rPr>
          <w:rFonts w:ascii="Arial" w:eastAsia="Times New Roman" w:hAnsi="Arial" w:cs="Arial"/>
        </w:rPr>
      </w:pPr>
      <w:r w:rsidRPr="00AB08AF">
        <w:rPr>
          <w:rFonts w:ascii="Arial" w:eastAsia="Times New Roman" w:hAnsi="Arial" w:cs="Arial"/>
        </w:rPr>
        <w:t xml:space="preserve">• </w:t>
      </w:r>
      <w:r w:rsidRPr="00AB08AF">
        <w:rPr>
          <w:rFonts w:ascii="Arial" w:eastAsia="Times New Roman" w:hAnsi="Arial" w:cs="Arial"/>
          <w:u w:val="single"/>
        </w:rPr>
        <w:t xml:space="preserve">Marginal </w:t>
      </w:r>
      <w:r>
        <w:rPr>
          <w:rFonts w:ascii="Arial" w:eastAsia="Times New Roman" w:hAnsi="Arial" w:cs="Arial"/>
          <w:u w:val="single"/>
        </w:rPr>
        <w:t xml:space="preserve">[or Variable] </w:t>
      </w:r>
      <w:r w:rsidRPr="00AB08AF">
        <w:rPr>
          <w:rFonts w:ascii="Arial" w:eastAsia="Times New Roman" w:hAnsi="Arial" w:cs="Arial"/>
          <w:u w:val="single"/>
        </w:rPr>
        <w:t>Costing</w:t>
      </w:r>
      <w:r w:rsidRPr="00AB08AF">
        <w:rPr>
          <w:rFonts w:ascii="Arial" w:eastAsia="Times New Roman" w:hAnsi="Arial" w:cs="Arial"/>
        </w:rPr>
        <w:t xml:space="preserve"> </w:t>
      </w:r>
      <w:r>
        <w:rPr>
          <w:rFonts w:ascii="Arial" w:eastAsia="Times New Roman" w:hAnsi="Arial" w:cs="Arial"/>
        </w:rPr>
        <w:t xml:space="preserve">requires </w:t>
      </w:r>
      <w:r w:rsidRPr="00AB08AF">
        <w:rPr>
          <w:rFonts w:ascii="Arial" w:eastAsia="Times New Roman" w:hAnsi="Arial" w:cs="Arial"/>
        </w:rPr>
        <w:t xml:space="preserve">that the variable costs only are considered as a means to determine the cost of a product. A contribution margin is then added to this. The selling price less the variable costs is referred to as </w:t>
      </w:r>
      <w:r>
        <w:rPr>
          <w:rFonts w:ascii="Arial" w:eastAsia="Times New Roman" w:hAnsi="Arial" w:cs="Arial"/>
          <w:color w:val="6D2D9E"/>
        </w:rPr>
        <w:t>‘</w:t>
      </w:r>
      <w:r w:rsidRPr="00432509">
        <w:rPr>
          <w:rFonts w:ascii="Arial" w:eastAsia="Times New Roman" w:hAnsi="Arial" w:cs="Arial"/>
          <w:color w:val="FF0000"/>
        </w:rPr>
        <w:t>contribution</w:t>
      </w:r>
      <w:r>
        <w:rPr>
          <w:rFonts w:ascii="Arial" w:eastAsia="Times New Roman" w:hAnsi="Arial" w:cs="Arial"/>
          <w:color w:val="6D2D9E"/>
        </w:rPr>
        <w:t>’</w:t>
      </w:r>
      <w:r w:rsidRPr="00AB08AF">
        <w:rPr>
          <w:rFonts w:ascii="Arial" w:eastAsia="Times New Roman" w:hAnsi="Arial" w:cs="Arial"/>
        </w:rPr>
        <w:t xml:space="preserve">. The term means that every time a unit is sold it is contributing to covering the fixed overheads. </w:t>
      </w:r>
    </w:p>
    <w:p w14:paraId="32DBB73A" w14:textId="77777777" w:rsidR="008F522F" w:rsidRDefault="008F522F" w:rsidP="008F522F">
      <w:pPr>
        <w:spacing w:before="100" w:beforeAutospacing="1" w:after="100" w:afterAutospacing="1"/>
        <w:rPr>
          <w:rFonts w:ascii="Arial" w:eastAsia="Times New Roman" w:hAnsi="Arial" w:cs="Arial"/>
        </w:rPr>
      </w:pPr>
      <w:r>
        <w:rPr>
          <w:rFonts w:ascii="Arial" w:eastAsia="Times New Roman" w:hAnsi="Arial" w:cs="Arial"/>
        </w:rPr>
        <w:t xml:space="preserve">  So, in essence, the only difference between the 2 costing systems is the treatment on fixed production costs in inventory valuation and profit reporting. In an absorption </w:t>
      </w:r>
      <w:proofErr w:type="gramStart"/>
      <w:r>
        <w:rPr>
          <w:rFonts w:ascii="Arial" w:eastAsia="Times New Roman" w:hAnsi="Arial" w:cs="Arial"/>
        </w:rPr>
        <w:t>costing  system</w:t>
      </w:r>
      <w:proofErr w:type="gramEnd"/>
      <w:r>
        <w:rPr>
          <w:rFonts w:ascii="Arial" w:eastAsia="Times New Roman" w:hAnsi="Arial" w:cs="Arial"/>
        </w:rPr>
        <w:t xml:space="preserve"> this is treated as </w:t>
      </w:r>
      <w:r w:rsidRPr="00432509">
        <w:rPr>
          <w:rFonts w:ascii="Arial" w:eastAsia="Times New Roman" w:hAnsi="Arial" w:cs="Arial"/>
          <w:color w:val="FF0000"/>
          <w:u w:val="single"/>
        </w:rPr>
        <w:t>production costs</w:t>
      </w:r>
      <w:r w:rsidRPr="00432509">
        <w:rPr>
          <w:rFonts w:ascii="Arial" w:eastAsia="Times New Roman" w:hAnsi="Arial" w:cs="Arial"/>
          <w:color w:val="FF0000"/>
        </w:rPr>
        <w:t xml:space="preserve"> </w:t>
      </w:r>
      <w:r>
        <w:rPr>
          <w:rFonts w:ascii="Arial" w:eastAsia="Times New Roman" w:hAnsi="Arial" w:cs="Arial"/>
        </w:rPr>
        <w:t xml:space="preserve">while in a marginal costing system it is written off as </w:t>
      </w:r>
      <w:r w:rsidRPr="00432509">
        <w:rPr>
          <w:rFonts w:ascii="Arial" w:eastAsia="Times New Roman" w:hAnsi="Arial" w:cs="Arial"/>
          <w:color w:val="FF0000"/>
          <w:u w:val="single"/>
        </w:rPr>
        <w:t>period costs</w:t>
      </w:r>
      <w:r>
        <w:rPr>
          <w:rFonts w:ascii="Arial" w:eastAsia="Times New Roman" w:hAnsi="Arial" w:cs="Arial"/>
        </w:rPr>
        <w:t>.</w:t>
      </w:r>
    </w:p>
    <w:p w14:paraId="3210F919" w14:textId="77777777" w:rsidR="008F522F" w:rsidRDefault="008F522F" w:rsidP="008F522F">
      <w:pPr>
        <w:spacing w:before="100" w:beforeAutospacing="1" w:after="100" w:afterAutospacing="1"/>
        <w:rPr>
          <w:rFonts w:ascii="Arial" w:eastAsia="Times New Roman" w:hAnsi="Arial" w:cs="Arial"/>
        </w:rPr>
      </w:pPr>
      <w:r>
        <w:rPr>
          <w:rFonts w:ascii="Arial" w:eastAsia="Times New Roman" w:hAnsi="Arial" w:cs="Arial"/>
        </w:rPr>
        <w:t xml:space="preserve">   With external reporting, absorption costing must be used since inventory must be valued at the full production cost [which includes fixed production costs] as per financial reporting standards [Accounting Standards]. </w:t>
      </w:r>
    </w:p>
    <w:p w14:paraId="5031036E" w14:textId="77777777" w:rsidR="008F522F" w:rsidRPr="00AB08AF" w:rsidRDefault="008F522F" w:rsidP="008F522F">
      <w:pPr>
        <w:spacing w:before="100" w:beforeAutospacing="1" w:after="100" w:afterAutospacing="1"/>
        <w:rPr>
          <w:rFonts w:ascii="Arial" w:eastAsia="Times New Roman" w:hAnsi="Arial" w:cs="Arial"/>
        </w:rPr>
      </w:pPr>
      <w:r>
        <w:rPr>
          <w:rFonts w:ascii="Arial" w:eastAsia="Times New Roman" w:hAnsi="Arial" w:cs="Arial"/>
        </w:rPr>
        <w:t xml:space="preserve">    With internal reporting to management there is a choice between the 2 costing systems and hence the debate as to which costing system best serves the needs of management. Management prefer the use of marginal costing. The reasons for this are summarised below.</w:t>
      </w:r>
    </w:p>
    <w:p w14:paraId="035D7A84" w14:textId="77777777" w:rsidR="008F522F" w:rsidRDefault="008F522F" w:rsidP="008F522F">
      <w:pPr>
        <w:rPr>
          <w:rFonts w:ascii="Times New Roman" w:eastAsia="Times New Roman" w:hAnsi="Times New Roman"/>
          <w:b/>
          <w:sz w:val="30"/>
          <w:szCs w:val="30"/>
        </w:rPr>
      </w:pPr>
    </w:p>
    <w:p w14:paraId="3431CE7B" w14:textId="77777777" w:rsidR="008F522F" w:rsidRDefault="008F522F" w:rsidP="008F522F">
      <w:pPr>
        <w:rPr>
          <w:rFonts w:ascii="Arial" w:eastAsia="Times New Roman" w:hAnsi="Arial" w:cs="Arial"/>
          <w:b/>
        </w:rPr>
      </w:pPr>
    </w:p>
    <w:p w14:paraId="75CB04D2" w14:textId="77777777" w:rsidR="008F522F" w:rsidRDefault="008F522F" w:rsidP="008F522F">
      <w:pPr>
        <w:rPr>
          <w:rFonts w:ascii="Arial" w:eastAsia="Times New Roman" w:hAnsi="Arial" w:cs="Arial"/>
          <w:b/>
        </w:rPr>
      </w:pPr>
    </w:p>
    <w:p w14:paraId="0884D8B7" w14:textId="77777777" w:rsidR="008F522F" w:rsidRPr="004A3412" w:rsidRDefault="008F522F" w:rsidP="008F522F">
      <w:pPr>
        <w:rPr>
          <w:rFonts w:ascii="Arial" w:eastAsia="Times New Roman" w:hAnsi="Arial" w:cs="Arial"/>
        </w:rPr>
      </w:pPr>
      <w:r w:rsidRPr="004A3412">
        <w:rPr>
          <w:rFonts w:ascii="Arial" w:eastAsia="Times New Roman" w:hAnsi="Arial" w:cs="Arial"/>
          <w:b/>
        </w:rPr>
        <w:t>Summary</w:t>
      </w:r>
      <w:r w:rsidRPr="004A3412">
        <w:rPr>
          <w:rFonts w:ascii="Arial" w:eastAsia="Times New Roman" w:hAnsi="Arial" w:cs="Arial"/>
        </w:rPr>
        <w:t xml:space="preserve">: Differences between marginal costing and absorption costing </w:t>
      </w:r>
    </w:p>
    <w:p w14:paraId="6B7A91A9" w14:textId="77777777" w:rsidR="008F522F" w:rsidRPr="004A3412" w:rsidRDefault="008F522F" w:rsidP="008F522F">
      <w:pPr>
        <w:rPr>
          <w:rFonts w:ascii="Arial" w:eastAsia="Times New Roman" w:hAnsi="Arial" w:cs="Arial"/>
        </w:rPr>
      </w:pP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870"/>
        <w:gridCol w:w="3830"/>
      </w:tblGrid>
      <w:tr w:rsidR="008F522F" w:rsidRPr="004A3412" w14:paraId="5C340A18" w14:textId="77777777" w:rsidTr="00FE6566">
        <w:tc>
          <w:tcPr>
            <w:tcW w:w="5870" w:type="dxa"/>
            <w:tcBorders>
              <w:top w:val="single" w:sz="18" w:space="0" w:color="6B6D6D"/>
              <w:left w:val="single" w:sz="18" w:space="0" w:color="6B6D6D"/>
              <w:bottom w:val="single" w:sz="8" w:space="0" w:color="6B6D6D"/>
              <w:right w:val="single" w:sz="8" w:space="0" w:color="6B6D6D"/>
            </w:tcBorders>
            <w:shd w:val="clear" w:color="auto" w:fill="FFFFFF"/>
            <w:vAlign w:val="center"/>
            <w:hideMark/>
          </w:tcPr>
          <w:p w14:paraId="5832EE8A" w14:textId="77777777" w:rsidR="008F522F" w:rsidRPr="004A3412" w:rsidRDefault="008F522F" w:rsidP="00FE6566">
            <w:pPr>
              <w:spacing w:before="100" w:beforeAutospacing="1" w:after="100" w:afterAutospacing="1"/>
              <w:rPr>
                <w:rFonts w:ascii="Arial" w:eastAsia="Times New Roman" w:hAnsi="Arial" w:cs="Arial"/>
                <w:b/>
              </w:rPr>
            </w:pPr>
            <w:r w:rsidRPr="004A3412">
              <w:rPr>
                <w:rFonts w:ascii="Arial" w:eastAsia="Times New Roman" w:hAnsi="Arial" w:cs="Arial"/>
                <w:color w:val="190705"/>
              </w:rPr>
              <w:t xml:space="preserve"> </w:t>
            </w:r>
            <w:r w:rsidRPr="004A3412">
              <w:rPr>
                <w:rFonts w:ascii="Arial" w:eastAsia="Times New Roman" w:hAnsi="Arial" w:cs="Arial"/>
                <w:b/>
                <w:color w:val="190705"/>
              </w:rPr>
              <w:t>Marginal costing</w:t>
            </w:r>
          </w:p>
        </w:tc>
        <w:tc>
          <w:tcPr>
            <w:tcW w:w="3830" w:type="dxa"/>
            <w:tcBorders>
              <w:top w:val="single" w:sz="18" w:space="0" w:color="6B6D6D"/>
              <w:left w:val="single" w:sz="8" w:space="0" w:color="6B6D6D"/>
              <w:bottom w:val="single" w:sz="8" w:space="0" w:color="6B6D6D"/>
              <w:right w:val="single" w:sz="18" w:space="0" w:color="6B6D6D"/>
            </w:tcBorders>
            <w:shd w:val="clear" w:color="auto" w:fill="FFFFFF"/>
            <w:vAlign w:val="center"/>
            <w:hideMark/>
          </w:tcPr>
          <w:p w14:paraId="34F5FE92" w14:textId="77777777" w:rsidR="008F522F" w:rsidRPr="004A3412" w:rsidRDefault="008F522F" w:rsidP="00FE6566">
            <w:pPr>
              <w:spacing w:before="100" w:beforeAutospacing="1" w:after="100" w:afterAutospacing="1"/>
              <w:rPr>
                <w:rFonts w:ascii="Arial" w:eastAsia="Times New Roman" w:hAnsi="Arial" w:cs="Arial"/>
                <w:b/>
              </w:rPr>
            </w:pPr>
            <w:r w:rsidRPr="004A3412">
              <w:rPr>
                <w:rFonts w:ascii="Arial" w:eastAsia="Times New Roman" w:hAnsi="Arial" w:cs="Arial"/>
                <w:b/>
                <w:color w:val="190705"/>
              </w:rPr>
              <w:t xml:space="preserve">Absorption costing </w:t>
            </w:r>
          </w:p>
        </w:tc>
      </w:tr>
      <w:tr w:rsidR="008F522F" w:rsidRPr="004A3412" w14:paraId="1EFE90F0" w14:textId="77777777" w:rsidTr="00FE6566">
        <w:tc>
          <w:tcPr>
            <w:tcW w:w="5870" w:type="dxa"/>
            <w:tcBorders>
              <w:top w:val="single" w:sz="8" w:space="0" w:color="6B6D6D"/>
              <w:left w:val="single" w:sz="18" w:space="0" w:color="6B6D6D"/>
              <w:bottom w:val="single" w:sz="8" w:space="0" w:color="6B6D6D"/>
              <w:right w:val="single" w:sz="8" w:space="0" w:color="6B6D6D"/>
            </w:tcBorders>
            <w:shd w:val="clear" w:color="auto" w:fill="FFFFFF"/>
            <w:vAlign w:val="center"/>
            <w:hideMark/>
          </w:tcPr>
          <w:p w14:paraId="53741981" w14:textId="77777777" w:rsidR="008F522F" w:rsidRPr="004A3412" w:rsidRDefault="008F522F" w:rsidP="00FE6566">
            <w:pPr>
              <w:spacing w:before="100" w:beforeAutospacing="1" w:after="100" w:afterAutospacing="1"/>
              <w:rPr>
                <w:rFonts w:ascii="Arial" w:eastAsia="Times New Roman" w:hAnsi="Arial" w:cs="Arial"/>
              </w:rPr>
            </w:pPr>
            <w:r>
              <w:rPr>
                <w:rFonts w:ascii="Arial" w:eastAsia="Times New Roman" w:hAnsi="Arial" w:cs="Arial"/>
                <w:color w:val="190705"/>
              </w:rPr>
              <w:t xml:space="preserve">   </w:t>
            </w:r>
            <w:r w:rsidRPr="004A3412">
              <w:rPr>
                <w:rFonts w:ascii="Arial" w:eastAsia="Times New Roman" w:hAnsi="Arial" w:cs="Arial"/>
                <w:color w:val="190705"/>
              </w:rPr>
              <w:t xml:space="preserve">Variable costs charged to products, fixed costs charged to the period </w:t>
            </w:r>
          </w:p>
        </w:tc>
        <w:tc>
          <w:tcPr>
            <w:tcW w:w="3830" w:type="dxa"/>
            <w:tcBorders>
              <w:top w:val="single" w:sz="8" w:space="0" w:color="6B6D6D"/>
              <w:left w:val="single" w:sz="8" w:space="0" w:color="6B6D6D"/>
              <w:bottom w:val="single" w:sz="8" w:space="0" w:color="6B6D6D"/>
              <w:right w:val="single" w:sz="18" w:space="0" w:color="6B6D6D"/>
            </w:tcBorders>
            <w:shd w:val="clear" w:color="auto" w:fill="FFFFFF"/>
            <w:vAlign w:val="center"/>
            <w:hideMark/>
          </w:tcPr>
          <w:p w14:paraId="28033B16" w14:textId="77777777" w:rsidR="008F522F" w:rsidRPr="004A3412" w:rsidRDefault="008F522F" w:rsidP="00FE6566">
            <w:pPr>
              <w:spacing w:before="100" w:beforeAutospacing="1" w:after="100" w:afterAutospacing="1"/>
              <w:rPr>
                <w:rFonts w:ascii="Arial" w:eastAsia="Times New Roman" w:hAnsi="Arial" w:cs="Arial"/>
                <w:color w:val="190705"/>
              </w:rPr>
            </w:pPr>
            <w:r>
              <w:rPr>
                <w:rFonts w:ascii="Arial" w:eastAsia="Times New Roman" w:hAnsi="Arial" w:cs="Arial"/>
                <w:color w:val="190705"/>
              </w:rPr>
              <w:t xml:space="preserve">   </w:t>
            </w:r>
            <w:r w:rsidRPr="004A3412">
              <w:rPr>
                <w:rFonts w:ascii="Arial" w:eastAsia="Times New Roman" w:hAnsi="Arial" w:cs="Arial"/>
                <w:color w:val="190705"/>
              </w:rPr>
              <w:t>Direct and Indirect costs of production charged to products as required for external reporting.</w:t>
            </w:r>
          </w:p>
        </w:tc>
      </w:tr>
      <w:tr w:rsidR="008F522F" w:rsidRPr="004A3412" w14:paraId="0081C469" w14:textId="77777777" w:rsidTr="00FE6566">
        <w:tc>
          <w:tcPr>
            <w:tcW w:w="5870" w:type="dxa"/>
            <w:tcBorders>
              <w:top w:val="single" w:sz="8" w:space="0" w:color="6B6D6D"/>
              <w:left w:val="single" w:sz="18" w:space="0" w:color="6B6D6D"/>
              <w:bottom w:val="single" w:sz="8" w:space="0" w:color="6B6D6D"/>
              <w:right w:val="single" w:sz="8" w:space="0" w:color="6B6D6D"/>
            </w:tcBorders>
            <w:shd w:val="clear" w:color="auto" w:fill="FFFFFF"/>
            <w:vAlign w:val="center"/>
            <w:hideMark/>
          </w:tcPr>
          <w:p w14:paraId="270B07C7" w14:textId="77777777" w:rsidR="008F522F" w:rsidRPr="004A3412" w:rsidRDefault="008F522F" w:rsidP="00FE6566">
            <w:pPr>
              <w:spacing w:before="100" w:beforeAutospacing="1" w:after="100" w:afterAutospacing="1"/>
              <w:rPr>
                <w:rFonts w:ascii="Arial" w:eastAsia="Times New Roman" w:hAnsi="Arial" w:cs="Arial"/>
              </w:rPr>
            </w:pPr>
            <w:r>
              <w:rPr>
                <w:rFonts w:ascii="Arial" w:eastAsia="Times New Roman" w:hAnsi="Arial" w:cs="Arial"/>
                <w:color w:val="190705"/>
              </w:rPr>
              <w:t xml:space="preserve">   </w:t>
            </w:r>
            <w:r w:rsidRPr="004A3412">
              <w:rPr>
                <w:rFonts w:ascii="Arial" w:eastAsia="Times New Roman" w:hAnsi="Arial" w:cs="Arial"/>
                <w:color w:val="190705"/>
              </w:rPr>
              <w:t xml:space="preserve">Cannot be used for external reporting – i.e. only internal/management use e.g. </w:t>
            </w:r>
            <w:r w:rsidRPr="004A3412">
              <w:rPr>
                <w:rFonts w:ascii="Arial" w:eastAsia="Times New Roman" w:hAnsi="Arial" w:cs="Arial"/>
              </w:rPr>
              <w:t xml:space="preserve">How to </w:t>
            </w:r>
            <w:r w:rsidRPr="004A3412">
              <w:rPr>
                <w:rFonts w:ascii="Arial" w:eastAsia="Times New Roman" w:hAnsi="Arial" w:cs="Arial"/>
                <w:color w:val="001E5E"/>
              </w:rPr>
              <w:t xml:space="preserve">price a product </w:t>
            </w:r>
            <w:r w:rsidRPr="004A3412">
              <w:rPr>
                <w:rFonts w:ascii="Arial" w:eastAsia="Times New Roman" w:hAnsi="Arial" w:cs="Arial"/>
              </w:rPr>
              <w:t xml:space="preserve">in the </w:t>
            </w:r>
            <w:r w:rsidRPr="004A3412">
              <w:rPr>
                <w:rFonts w:ascii="Arial" w:eastAsia="Times New Roman" w:hAnsi="Arial" w:cs="Arial"/>
                <w:color w:val="001E5E"/>
              </w:rPr>
              <w:t xml:space="preserve">short term </w:t>
            </w:r>
            <w:r w:rsidRPr="004A3412">
              <w:rPr>
                <w:rFonts w:ascii="Arial" w:eastAsia="Times New Roman" w:hAnsi="Arial" w:cs="Arial"/>
              </w:rPr>
              <w:t>if, for example there is surplus capacity in a factory</w:t>
            </w:r>
            <w:r>
              <w:rPr>
                <w:rFonts w:ascii="Arial" w:eastAsia="Times New Roman" w:hAnsi="Arial" w:cs="Arial"/>
              </w:rPr>
              <w:t>.</w:t>
            </w:r>
          </w:p>
        </w:tc>
        <w:tc>
          <w:tcPr>
            <w:tcW w:w="3830" w:type="dxa"/>
            <w:tcBorders>
              <w:top w:val="single" w:sz="8" w:space="0" w:color="6B6D6D"/>
              <w:left w:val="single" w:sz="8" w:space="0" w:color="6B6D6D"/>
              <w:bottom w:val="single" w:sz="8" w:space="0" w:color="6B6D6D"/>
              <w:right w:val="single" w:sz="18" w:space="0" w:color="6B6D6D"/>
            </w:tcBorders>
            <w:shd w:val="clear" w:color="auto" w:fill="FFFFFF"/>
            <w:vAlign w:val="center"/>
            <w:hideMark/>
          </w:tcPr>
          <w:p w14:paraId="6D3626CC" w14:textId="77777777" w:rsidR="008F522F" w:rsidRPr="004A3412" w:rsidRDefault="008F522F" w:rsidP="00FE6566">
            <w:pPr>
              <w:spacing w:before="100" w:beforeAutospacing="1" w:after="100" w:afterAutospacing="1"/>
              <w:rPr>
                <w:rFonts w:ascii="Arial" w:eastAsia="Times New Roman" w:hAnsi="Arial" w:cs="Arial"/>
                <w:color w:val="190705"/>
              </w:rPr>
            </w:pPr>
            <w:r>
              <w:rPr>
                <w:rFonts w:ascii="Arial" w:eastAsia="Times New Roman" w:hAnsi="Arial" w:cs="Arial"/>
                <w:color w:val="190705"/>
              </w:rPr>
              <w:t xml:space="preserve">    </w:t>
            </w:r>
            <w:r w:rsidRPr="004A3412">
              <w:rPr>
                <w:rFonts w:ascii="Arial" w:eastAsia="Times New Roman" w:hAnsi="Arial" w:cs="Arial"/>
                <w:color w:val="190705"/>
              </w:rPr>
              <w:t>May result in problems of over/under recovery of fixed production overhead</w:t>
            </w:r>
            <w:r>
              <w:rPr>
                <w:rFonts w:ascii="Arial" w:eastAsia="Times New Roman" w:hAnsi="Arial" w:cs="Arial"/>
                <w:color w:val="190705"/>
              </w:rPr>
              <w:t xml:space="preserve"> as seen in absorption costing profit statements</w:t>
            </w:r>
            <w:r w:rsidRPr="004A3412">
              <w:rPr>
                <w:rFonts w:ascii="Arial" w:eastAsia="Times New Roman" w:hAnsi="Arial" w:cs="Arial"/>
                <w:color w:val="190705"/>
              </w:rPr>
              <w:t>.</w:t>
            </w:r>
          </w:p>
          <w:p w14:paraId="517B4137" w14:textId="77777777" w:rsidR="008F522F" w:rsidRPr="004A3412" w:rsidRDefault="008F522F" w:rsidP="00FE6566">
            <w:pPr>
              <w:spacing w:before="100" w:beforeAutospacing="1" w:after="100" w:afterAutospacing="1"/>
              <w:rPr>
                <w:rFonts w:ascii="Arial" w:eastAsia="Times New Roman" w:hAnsi="Arial" w:cs="Arial"/>
              </w:rPr>
            </w:pPr>
          </w:p>
        </w:tc>
      </w:tr>
      <w:tr w:rsidR="008F522F" w:rsidRPr="004A3412" w14:paraId="3D110961" w14:textId="77777777" w:rsidTr="00FE6566">
        <w:tc>
          <w:tcPr>
            <w:tcW w:w="5870" w:type="dxa"/>
            <w:tcBorders>
              <w:top w:val="single" w:sz="8" w:space="0" w:color="6B6D6D"/>
              <w:left w:val="single" w:sz="18" w:space="0" w:color="6B6D6D"/>
              <w:bottom w:val="single" w:sz="18" w:space="0" w:color="6B6D6D"/>
              <w:right w:val="single" w:sz="8" w:space="0" w:color="6B6D6D"/>
            </w:tcBorders>
            <w:shd w:val="clear" w:color="auto" w:fill="FFFFFF"/>
            <w:vAlign w:val="center"/>
            <w:hideMark/>
          </w:tcPr>
          <w:p w14:paraId="0D589311" w14:textId="77777777" w:rsidR="008F522F" w:rsidRPr="004A3412" w:rsidRDefault="008F522F" w:rsidP="00FE6566">
            <w:pPr>
              <w:spacing w:before="100" w:beforeAutospacing="1" w:after="100" w:afterAutospacing="1"/>
              <w:rPr>
                <w:rFonts w:ascii="Arial" w:eastAsia="Times New Roman" w:hAnsi="Arial" w:cs="Arial"/>
              </w:rPr>
            </w:pPr>
            <w:r>
              <w:rPr>
                <w:rFonts w:ascii="Arial" w:eastAsia="Times New Roman" w:hAnsi="Arial" w:cs="Arial"/>
                <w:color w:val="190705"/>
              </w:rPr>
              <w:t xml:space="preserve">   </w:t>
            </w:r>
            <w:r w:rsidRPr="004A3412">
              <w:rPr>
                <w:rFonts w:ascii="Arial" w:eastAsia="Times New Roman" w:hAnsi="Arial" w:cs="Arial"/>
                <w:color w:val="190705"/>
              </w:rPr>
              <w:t xml:space="preserve">May result in lack of control over fixed costs </w:t>
            </w:r>
          </w:p>
        </w:tc>
        <w:tc>
          <w:tcPr>
            <w:tcW w:w="3830" w:type="dxa"/>
            <w:tcBorders>
              <w:top w:val="single" w:sz="8" w:space="0" w:color="6B6D6D"/>
              <w:left w:val="single" w:sz="8" w:space="0" w:color="6B6D6D"/>
              <w:bottom w:val="single" w:sz="18" w:space="0" w:color="6B6D6D"/>
              <w:right w:val="single" w:sz="18" w:space="0" w:color="6B6D6D"/>
            </w:tcBorders>
            <w:shd w:val="clear" w:color="auto" w:fill="FFFFFF"/>
            <w:vAlign w:val="center"/>
            <w:hideMark/>
          </w:tcPr>
          <w:p w14:paraId="1A0E9905" w14:textId="77777777" w:rsidR="008F522F" w:rsidRPr="004A3412" w:rsidRDefault="008F522F" w:rsidP="00FE6566">
            <w:pPr>
              <w:spacing w:before="100" w:beforeAutospacing="1" w:after="100" w:afterAutospacing="1"/>
              <w:rPr>
                <w:rFonts w:ascii="Arial" w:eastAsia="Times New Roman" w:hAnsi="Arial" w:cs="Arial"/>
              </w:rPr>
            </w:pPr>
            <w:r>
              <w:rPr>
                <w:rFonts w:ascii="Arial" w:eastAsia="Times New Roman" w:hAnsi="Arial" w:cs="Arial"/>
                <w:color w:val="190705"/>
              </w:rPr>
              <w:t xml:space="preserve">    </w:t>
            </w:r>
            <w:r w:rsidRPr="004A3412">
              <w:rPr>
                <w:rFonts w:ascii="Arial" w:eastAsia="Times New Roman" w:hAnsi="Arial" w:cs="Arial"/>
                <w:color w:val="190705"/>
              </w:rPr>
              <w:t xml:space="preserve">Managers range of interest extended by indirect costs in their performance reports </w:t>
            </w:r>
          </w:p>
        </w:tc>
      </w:tr>
    </w:tbl>
    <w:p w14:paraId="51A1A50B" w14:textId="77777777" w:rsidR="008F522F" w:rsidRPr="004A3412" w:rsidRDefault="008F522F" w:rsidP="008F522F">
      <w:pPr>
        <w:rPr>
          <w:rFonts w:ascii="Arial" w:eastAsia="Times New Roman" w:hAnsi="Arial" w:cs="Arial"/>
        </w:rPr>
      </w:pPr>
    </w:p>
    <w:p w14:paraId="41456E36" w14:textId="77777777" w:rsidR="008F522F" w:rsidRDefault="008F522F" w:rsidP="008F522F">
      <w:pPr>
        <w:pStyle w:val="NoSpacing"/>
        <w:rPr>
          <w:rFonts w:ascii="Arial" w:hAnsi="Arial" w:cs="Arial"/>
          <w:szCs w:val="24"/>
        </w:rPr>
      </w:pPr>
    </w:p>
    <w:p w14:paraId="1FA1F7F1" w14:textId="77777777" w:rsidR="008F522F" w:rsidRDefault="008F522F" w:rsidP="008F522F">
      <w:pPr>
        <w:pStyle w:val="NoSpacing"/>
        <w:rPr>
          <w:rFonts w:ascii="Arial" w:hAnsi="Arial" w:cs="Arial"/>
          <w:szCs w:val="24"/>
        </w:rPr>
      </w:pPr>
    </w:p>
    <w:p w14:paraId="23B1A8BA" w14:textId="77777777" w:rsidR="008F522F" w:rsidRDefault="008F522F" w:rsidP="008F522F">
      <w:pPr>
        <w:pStyle w:val="NoSpacing"/>
        <w:rPr>
          <w:rFonts w:ascii="Arial" w:hAnsi="Arial" w:cs="Arial"/>
          <w:szCs w:val="24"/>
        </w:rPr>
      </w:pPr>
    </w:p>
    <w:p w14:paraId="71A2A8AE" w14:textId="77777777" w:rsidR="008F522F" w:rsidRDefault="008F522F" w:rsidP="008F522F">
      <w:pPr>
        <w:pStyle w:val="NoSpacing"/>
        <w:rPr>
          <w:rFonts w:ascii="Arial" w:hAnsi="Arial" w:cs="Arial"/>
          <w:szCs w:val="24"/>
        </w:rPr>
      </w:pPr>
    </w:p>
    <w:p w14:paraId="082E157F" w14:textId="77777777" w:rsidR="008F522F" w:rsidRDefault="008F522F" w:rsidP="008F522F">
      <w:pPr>
        <w:pStyle w:val="NoSpacing"/>
        <w:rPr>
          <w:rFonts w:ascii="Arial" w:hAnsi="Arial" w:cs="Arial"/>
          <w:szCs w:val="24"/>
        </w:rPr>
      </w:pPr>
    </w:p>
    <w:p w14:paraId="0CD95B93" w14:textId="099AD4AC" w:rsidR="008F522F" w:rsidRDefault="008F522F">
      <w:pPr>
        <w:rPr>
          <w:sz w:val="28"/>
          <w:szCs w:val="28"/>
        </w:rPr>
      </w:pPr>
      <w:bookmarkStart w:id="0" w:name="_GoBack"/>
      <w:bookmarkEnd w:id="0"/>
    </w:p>
    <w:p w14:paraId="13DD7BCA" w14:textId="32E2BBCA" w:rsidR="008F522F" w:rsidRDefault="008F522F">
      <w:pPr>
        <w:rPr>
          <w:sz w:val="28"/>
          <w:szCs w:val="28"/>
        </w:rPr>
      </w:pPr>
    </w:p>
    <w:p w14:paraId="3F4B1232" w14:textId="3E05CB86" w:rsidR="008F522F" w:rsidRDefault="008F522F">
      <w:pPr>
        <w:rPr>
          <w:sz w:val="28"/>
          <w:szCs w:val="28"/>
        </w:rPr>
      </w:pPr>
    </w:p>
    <w:p w14:paraId="7F5DB8D4" w14:textId="4988A576" w:rsidR="008F522F" w:rsidRDefault="008F522F">
      <w:pPr>
        <w:rPr>
          <w:sz w:val="28"/>
          <w:szCs w:val="28"/>
        </w:rPr>
      </w:pPr>
    </w:p>
    <w:p w14:paraId="1A4070DE" w14:textId="3536B5B0" w:rsidR="008F522F" w:rsidRDefault="008F522F">
      <w:pPr>
        <w:rPr>
          <w:sz w:val="28"/>
          <w:szCs w:val="28"/>
        </w:rPr>
      </w:pPr>
    </w:p>
    <w:p w14:paraId="0EE4EDE4" w14:textId="7F870C35" w:rsidR="008F522F" w:rsidRDefault="008F522F">
      <w:pPr>
        <w:rPr>
          <w:sz w:val="28"/>
          <w:szCs w:val="28"/>
        </w:rPr>
      </w:pPr>
    </w:p>
    <w:p w14:paraId="7AEC38EC" w14:textId="77777777" w:rsidR="008F522F" w:rsidRPr="008F522F" w:rsidRDefault="008F522F">
      <w:pPr>
        <w:rPr>
          <w:sz w:val="28"/>
          <w:szCs w:val="28"/>
        </w:rPr>
      </w:pPr>
    </w:p>
    <w:sectPr w:rsidR="008F522F" w:rsidRPr="008F522F"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2F"/>
    <w:rsid w:val="00070084"/>
    <w:rsid w:val="006B03E8"/>
    <w:rsid w:val="007129A8"/>
    <w:rsid w:val="008F522F"/>
    <w:rsid w:val="009F1567"/>
    <w:rsid w:val="00AB4C4B"/>
    <w:rsid w:val="00E11375"/>
    <w:rsid w:val="00E27861"/>
    <w:rsid w:val="00E7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E8129C"/>
  <w14:defaultImageDpi w14:val="32767"/>
  <w15:chartTrackingRefBased/>
  <w15:docId w15:val="{0939E8B9-23C9-2846-AC1C-6F5A0D85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22F"/>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522F"/>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522F"/>
    <w:rPr>
      <w:rFonts w:ascii="Calibri" w:eastAsia="Calibri" w:hAnsi="Calibri" w:cs="Times New Roman"/>
      <w:sz w:val="22"/>
      <w:szCs w:val="22"/>
    </w:rPr>
  </w:style>
  <w:style w:type="paragraph" w:styleId="NormalWeb">
    <w:name w:val="Normal (Web)"/>
    <w:basedOn w:val="Normal"/>
    <w:uiPriority w:val="99"/>
    <w:unhideWhenUsed/>
    <w:rsid w:val="008F522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1</cp:revision>
  <dcterms:created xsi:type="dcterms:W3CDTF">2023-03-24T13:29:00Z</dcterms:created>
  <dcterms:modified xsi:type="dcterms:W3CDTF">2023-03-24T13:33:00Z</dcterms:modified>
</cp:coreProperties>
</file>