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CB1B" w14:textId="77777777" w:rsidR="00F8506D" w:rsidRDefault="00F8506D" w:rsidP="00F8506D">
      <w:pPr>
        <w:pStyle w:val="Default"/>
        <w:rPr>
          <w:b/>
          <w:bCs/>
          <w:sz w:val="23"/>
          <w:szCs w:val="23"/>
        </w:rPr>
      </w:pPr>
      <w:r>
        <w:rPr>
          <w:b/>
          <w:bCs/>
          <w:sz w:val="23"/>
          <w:szCs w:val="23"/>
        </w:rPr>
        <w:t xml:space="preserve">Module Aim: </w:t>
      </w:r>
    </w:p>
    <w:p w14:paraId="3076FDA6" w14:textId="3AAE0432" w:rsidR="00F8506D" w:rsidRDefault="00F8506D" w:rsidP="00F8506D">
      <w:pPr>
        <w:pStyle w:val="Default"/>
        <w:rPr>
          <w:sz w:val="23"/>
          <w:szCs w:val="23"/>
        </w:rPr>
      </w:pPr>
      <w:r>
        <w:rPr>
          <w:sz w:val="23"/>
          <w:szCs w:val="23"/>
        </w:rPr>
        <w:t xml:space="preserve">This module aims to help students understand the different approaches to managing stakeholders in a business context. They will explore theories around stakeholder management and relationship development and the benefits of cross functional working within the workplace to achieve business purpose. The module aims to allow students to analyse the impact that collaborative working has on an organisation and to investigate the effects of resolution disputes and the impact this has on internal and external stakeholders. Students will develop influence and negotiation skills and be confident in managing conflict and difficult situations. </w:t>
      </w:r>
    </w:p>
    <w:p w14:paraId="1BAA8714" w14:textId="5FED8B3D" w:rsidR="009F01EE" w:rsidRDefault="00EA69E3"/>
    <w:p w14:paraId="37039D5E" w14:textId="20B902CE" w:rsidR="00F8506D" w:rsidRDefault="00F8506D"/>
    <w:p w14:paraId="15C1E615" w14:textId="77777777" w:rsidR="00F8506D" w:rsidRDefault="00F8506D" w:rsidP="00F8506D">
      <w:pPr>
        <w:pStyle w:val="Default"/>
        <w:rPr>
          <w:sz w:val="23"/>
          <w:szCs w:val="23"/>
        </w:rPr>
      </w:pPr>
      <w:r>
        <w:rPr>
          <w:b/>
          <w:bCs/>
          <w:sz w:val="23"/>
          <w:szCs w:val="23"/>
        </w:rPr>
        <w:t xml:space="preserve">Module Learning Outcomes: </w:t>
      </w:r>
    </w:p>
    <w:p w14:paraId="4AA46588" w14:textId="77777777" w:rsidR="00F8506D" w:rsidRDefault="00F8506D" w:rsidP="00F8506D">
      <w:pPr>
        <w:pStyle w:val="Default"/>
        <w:rPr>
          <w:sz w:val="23"/>
          <w:szCs w:val="23"/>
        </w:rPr>
      </w:pPr>
      <w:r>
        <w:rPr>
          <w:b/>
          <w:bCs/>
          <w:sz w:val="23"/>
          <w:szCs w:val="23"/>
        </w:rPr>
        <w:t xml:space="preserve">LO1: </w:t>
      </w:r>
      <w:r>
        <w:rPr>
          <w:sz w:val="23"/>
          <w:szCs w:val="23"/>
        </w:rPr>
        <w:t xml:space="preserve">Critically analyse approaches to stakeholder management and engagement with a view to identifying strategies for improvement </w:t>
      </w:r>
    </w:p>
    <w:p w14:paraId="1FD7EB33" w14:textId="77777777" w:rsidR="00F8506D" w:rsidRDefault="00F8506D" w:rsidP="00F8506D">
      <w:pPr>
        <w:pStyle w:val="Default"/>
        <w:rPr>
          <w:sz w:val="23"/>
          <w:szCs w:val="23"/>
        </w:rPr>
      </w:pPr>
      <w:r>
        <w:rPr>
          <w:b/>
          <w:bCs/>
          <w:sz w:val="23"/>
          <w:szCs w:val="23"/>
        </w:rPr>
        <w:t xml:space="preserve">LO2: </w:t>
      </w:r>
      <w:r>
        <w:rPr>
          <w:sz w:val="23"/>
          <w:szCs w:val="23"/>
        </w:rPr>
        <w:t xml:space="preserve">Evaluate cross-functional working to deliver positive results </w:t>
      </w:r>
    </w:p>
    <w:p w14:paraId="3966C05F" w14:textId="77777777" w:rsidR="00F8506D" w:rsidRDefault="00F8506D" w:rsidP="00F8506D">
      <w:pPr>
        <w:pStyle w:val="Default"/>
        <w:rPr>
          <w:sz w:val="23"/>
          <w:szCs w:val="23"/>
        </w:rPr>
      </w:pPr>
      <w:r>
        <w:rPr>
          <w:b/>
          <w:bCs/>
          <w:sz w:val="23"/>
          <w:szCs w:val="23"/>
        </w:rPr>
        <w:t xml:space="preserve">LO3: </w:t>
      </w:r>
      <w:r>
        <w:rPr>
          <w:sz w:val="23"/>
          <w:szCs w:val="23"/>
        </w:rPr>
        <w:t xml:space="preserve">Analyse the impact of collaborative working and managing difficult conversations with internal and external stakeholders </w:t>
      </w:r>
    </w:p>
    <w:p w14:paraId="74AD62A3" w14:textId="323DBFF7" w:rsidR="00F8506D" w:rsidRDefault="00F8506D" w:rsidP="00F8506D">
      <w:pPr>
        <w:rPr>
          <w:sz w:val="23"/>
          <w:szCs w:val="23"/>
        </w:rPr>
      </w:pPr>
      <w:r>
        <w:rPr>
          <w:b/>
          <w:bCs/>
          <w:sz w:val="23"/>
          <w:szCs w:val="23"/>
        </w:rPr>
        <w:t xml:space="preserve">LO4: </w:t>
      </w:r>
      <w:r>
        <w:rPr>
          <w:sz w:val="23"/>
          <w:szCs w:val="23"/>
        </w:rPr>
        <w:t xml:space="preserve">Critically reflect on collaborative relationship skills </w:t>
      </w:r>
    </w:p>
    <w:p w14:paraId="05FA46A4" w14:textId="6D74C83C" w:rsidR="00F8506D" w:rsidRDefault="00F8506D" w:rsidP="00F8506D">
      <w:pPr>
        <w:rPr>
          <w:sz w:val="23"/>
          <w:szCs w:val="23"/>
        </w:rPr>
      </w:pPr>
    </w:p>
    <w:p w14:paraId="34328AA7" w14:textId="11FDEF07" w:rsidR="00F8506D" w:rsidRDefault="00F8506D" w:rsidP="00F8506D">
      <w:pPr>
        <w:rPr>
          <w:sz w:val="23"/>
          <w:szCs w:val="23"/>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23"/>
        <w:gridCol w:w="2223"/>
        <w:gridCol w:w="2223"/>
        <w:gridCol w:w="2223"/>
      </w:tblGrid>
      <w:tr w:rsidR="00F8506D" w14:paraId="5768971F" w14:textId="77777777">
        <w:tblPrEx>
          <w:tblCellMar>
            <w:top w:w="0" w:type="dxa"/>
            <w:bottom w:w="0" w:type="dxa"/>
          </w:tblCellMar>
        </w:tblPrEx>
        <w:trPr>
          <w:trHeight w:val="448"/>
        </w:trPr>
        <w:tc>
          <w:tcPr>
            <w:tcW w:w="2223" w:type="dxa"/>
            <w:tcBorders>
              <w:top w:val="none" w:sz="6" w:space="0" w:color="auto"/>
              <w:bottom w:val="none" w:sz="6" w:space="0" w:color="auto"/>
              <w:right w:val="none" w:sz="6" w:space="0" w:color="auto"/>
            </w:tcBorders>
          </w:tcPr>
          <w:p w14:paraId="14D96051" w14:textId="77777777" w:rsidR="00F8506D" w:rsidRDefault="00F8506D">
            <w:pPr>
              <w:pStyle w:val="Default"/>
              <w:rPr>
                <w:sz w:val="23"/>
                <w:szCs w:val="23"/>
              </w:rPr>
            </w:pPr>
            <w:r>
              <w:rPr>
                <w:sz w:val="23"/>
                <w:szCs w:val="23"/>
              </w:rPr>
              <w:t xml:space="preserve">Assessment type </w:t>
            </w:r>
          </w:p>
        </w:tc>
        <w:tc>
          <w:tcPr>
            <w:tcW w:w="2223" w:type="dxa"/>
            <w:tcBorders>
              <w:top w:val="none" w:sz="6" w:space="0" w:color="auto"/>
              <w:left w:val="none" w:sz="6" w:space="0" w:color="auto"/>
              <w:bottom w:val="none" w:sz="6" w:space="0" w:color="auto"/>
              <w:right w:val="none" w:sz="6" w:space="0" w:color="auto"/>
            </w:tcBorders>
          </w:tcPr>
          <w:p w14:paraId="7250BE2B" w14:textId="77777777" w:rsidR="00F8506D" w:rsidRDefault="00F8506D">
            <w:pPr>
              <w:pStyle w:val="Default"/>
              <w:rPr>
                <w:sz w:val="23"/>
                <w:szCs w:val="23"/>
              </w:rPr>
            </w:pPr>
            <w:r>
              <w:rPr>
                <w:sz w:val="23"/>
                <w:szCs w:val="23"/>
              </w:rPr>
              <w:t xml:space="preserve">Specific requirements </w:t>
            </w:r>
          </w:p>
          <w:p w14:paraId="1E9C610C" w14:textId="77777777" w:rsidR="00F8506D" w:rsidRDefault="00F8506D">
            <w:pPr>
              <w:pStyle w:val="Default"/>
              <w:rPr>
                <w:sz w:val="23"/>
                <w:szCs w:val="23"/>
              </w:rPr>
            </w:pPr>
            <w:r>
              <w:rPr>
                <w:sz w:val="23"/>
                <w:szCs w:val="23"/>
              </w:rPr>
              <w:t>(</w:t>
            </w:r>
            <w:proofErr w:type="gramStart"/>
            <w:r>
              <w:rPr>
                <w:sz w:val="23"/>
                <w:szCs w:val="23"/>
              </w:rPr>
              <w:t>e.g.</w:t>
            </w:r>
            <w:proofErr w:type="gramEnd"/>
            <w:r>
              <w:rPr>
                <w:sz w:val="23"/>
                <w:szCs w:val="23"/>
              </w:rPr>
              <w:t xml:space="preserve"> word count) </w:t>
            </w:r>
          </w:p>
        </w:tc>
        <w:tc>
          <w:tcPr>
            <w:tcW w:w="2223" w:type="dxa"/>
            <w:tcBorders>
              <w:top w:val="none" w:sz="6" w:space="0" w:color="auto"/>
              <w:left w:val="none" w:sz="6" w:space="0" w:color="auto"/>
              <w:bottom w:val="none" w:sz="6" w:space="0" w:color="auto"/>
              <w:right w:val="none" w:sz="6" w:space="0" w:color="auto"/>
            </w:tcBorders>
          </w:tcPr>
          <w:p w14:paraId="7043D2B6" w14:textId="77777777" w:rsidR="00F8506D" w:rsidRDefault="00F8506D">
            <w:pPr>
              <w:pStyle w:val="Default"/>
              <w:rPr>
                <w:sz w:val="23"/>
                <w:szCs w:val="23"/>
              </w:rPr>
            </w:pPr>
            <w:r>
              <w:rPr>
                <w:sz w:val="23"/>
                <w:szCs w:val="23"/>
              </w:rPr>
              <w:t xml:space="preserve">Learning outcomes being assessed </w:t>
            </w:r>
          </w:p>
        </w:tc>
        <w:tc>
          <w:tcPr>
            <w:tcW w:w="2223" w:type="dxa"/>
            <w:tcBorders>
              <w:top w:val="none" w:sz="6" w:space="0" w:color="auto"/>
              <w:left w:val="none" w:sz="6" w:space="0" w:color="auto"/>
              <w:bottom w:val="none" w:sz="6" w:space="0" w:color="auto"/>
            </w:tcBorders>
          </w:tcPr>
          <w:p w14:paraId="74F789A6" w14:textId="77777777" w:rsidR="00F8506D" w:rsidRDefault="00F8506D">
            <w:pPr>
              <w:pStyle w:val="Default"/>
              <w:rPr>
                <w:sz w:val="23"/>
                <w:szCs w:val="23"/>
              </w:rPr>
            </w:pPr>
            <w:r>
              <w:rPr>
                <w:sz w:val="23"/>
                <w:szCs w:val="23"/>
              </w:rPr>
              <w:t xml:space="preserve">Weighting % of final mark </w:t>
            </w:r>
          </w:p>
        </w:tc>
      </w:tr>
      <w:tr w:rsidR="00F8506D" w14:paraId="5D134FB0" w14:textId="77777777">
        <w:tblPrEx>
          <w:tblCellMar>
            <w:top w:w="0" w:type="dxa"/>
            <w:bottom w:w="0" w:type="dxa"/>
          </w:tblCellMar>
        </w:tblPrEx>
        <w:trPr>
          <w:trHeight w:val="103"/>
        </w:trPr>
        <w:tc>
          <w:tcPr>
            <w:tcW w:w="2223" w:type="dxa"/>
            <w:tcBorders>
              <w:top w:val="none" w:sz="6" w:space="0" w:color="auto"/>
              <w:bottom w:val="none" w:sz="6" w:space="0" w:color="auto"/>
              <w:right w:val="none" w:sz="6" w:space="0" w:color="auto"/>
            </w:tcBorders>
          </w:tcPr>
          <w:p w14:paraId="627A56CD" w14:textId="77777777" w:rsidR="00F8506D" w:rsidRDefault="00F8506D">
            <w:pPr>
              <w:pStyle w:val="Default"/>
              <w:rPr>
                <w:sz w:val="22"/>
                <w:szCs w:val="22"/>
              </w:rPr>
            </w:pPr>
            <w:r>
              <w:rPr>
                <w:b/>
                <w:bCs/>
                <w:sz w:val="22"/>
                <w:szCs w:val="22"/>
              </w:rPr>
              <w:t xml:space="preserve">Report </w:t>
            </w:r>
          </w:p>
        </w:tc>
        <w:tc>
          <w:tcPr>
            <w:tcW w:w="2223" w:type="dxa"/>
            <w:tcBorders>
              <w:top w:val="none" w:sz="6" w:space="0" w:color="auto"/>
              <w:left w:val="none" w:sz="6" w:space="0" w:color="auto"/>
              <w:bottom w:val="none" w:sz="6" w:space="0" w:color="auto"/>
              <w:right w:val="none" w:sz="6" w:space="0" w:color="auto"/>
            </w:tcBorders>
          </w:tcPr>
          <w:p w14:paraId="0A60EED0" w14:textId="77777777" w:rsidR="00F8506D" w:rsidRDefault="00F8506D">
            <w:pPr>
              <w:pStyle w:val="Default"/>
              <w:rPr>
                <w:sz w:val="22"/>
                <w:szCs w:val="22"/>
              </w:rPr>
            </w:pPr>
            <w:r>
              <w:rPr>
                <w:b/>
                <w:bCs/>
                <w:sz w:val="22"/>
                <w:szCs w:val="22"/>
              </w:rPr>
              <w:t xml:space="preserve">3,000 words </w:t>
            </w:r>
          </w:p>
        </w:tc>
        <w:tc>
          <w:tcPr>
            <w:tcW w:w="2223" w:type="dxa"/>
            <w:tcBorders>
              <w:top w:val="none" w:sz="6" w:space="0" w:color="auto"/>
              <w:left w:val="none" w:sz="6" w:space="0" w:color="auto"/>
              <w:bottom w:val="none" w:sz="6" w:space="0" w:color="auto"/>
              <w:right w:val="none" w:sz="6" w:space="0" w:color="auto"/>
            </w:tcBorders>
          </w:tcPr>
          <w:p w14:paraId="43B64A19" w14:textId="77777777" w:rsidR="00F8506D" w:rsidRDefault="00F8506D">
            <w:pPr>
              <w:pStyle w:val="Default"/>
              <w:rPr>
                <w:sz w:val="22"/>
                <w:szCs w:val="22"/>
              </w:rPr>
            </w:pPr>
            <w:r>
              <w:rPr>
                <w:b/>
                <w:bCs/>
                <w:sz w:val="22"/>
                <w:szCs w:val="22"/>
              </w:rPr>
              <w:t xml:space="preserve">LOs 1, 2, 3 </w:t>
            </w:r>
          </w:p>
        </w:tc>
        <w:tc>
          <w:tcPr>
            <w:tcW w:w="2223" w:type="dxa"/>
            <w:tcBorders>
              <w:top w:val="none" w:sz="6" w:space="0" w:color="auto"/>
              <w:left w:val="none" w:sz="6" w:space="0" w:color="auto"/>
              <w:bottom w:val="none" w:sz="6" w:space="0" w:color="auto"/>
            </w:tcBorders>
          </w:tcPr>
          <w:p w14:paraId="43458530" w14:textId="77777777" w:rsidR="00F8506D" w:rsidRDefault="00F8506D">
            <w:pPr>
              <w:pStyle w:val="Default"/>
              <w:rPr>
                <w:sz w:val="22"/>
                <w:szCs w:val="22"/>
              </w:rPr>
            </w:pPr>
            <w:r>
              <w:rPr>
                <w:b/>
                <w:bCs/>
                <w:sz w:val="22"/>
                <w:szCs w:val="22"/>
              </w:rPr>
              <w:t xml:space="preserve">75% </w:t>
            </w:r>
          </w:p>
        </w:tc>
      </w:tr>
      <w:tr w:rsidR="00F8506D" w14:paraId="7C329E73" w14:textId="77777777">
        <w:tblPrEx>
          <w:tblCellMar>
            <w:top w:w="0" w:type="dxa"/>
            <w:bottom w:w="0" w:type="dxa"/>
          </w:tblCellMar>
        </w:tblPrEx>
        <w:trPr>
          <w:trHeight w:val="103"/>
        </w:trPr>
        <w:tc>
          <w:tcPr>
            <w:tcW w:w="2223" w:type="dxa"/>
            <w:tcBorders>
              <w:top w:val="none" w:sz="6" w:space="0" w:color="auto"/>
              <w:bottom w:val="none" w:sz="6" w:space="0" w:color="auto"/>
              <w:right w:val="none" w:sz="6" w:space="0" w:color="auto"/>
            </w:tcBorders>
          </w:tcPr>
          <w:p w14:paraId="48E4F731" w14:textId="77777777" w:rsidR="00F8506D" w:rsidRDefault="00F8506D">
            <w:pPr>
              <w:pStyle w:val="Default"/>
              <w:rPr>
                <w:sz w:val="22"/>
                <w:szCs w:val="22"/>
              </w:rPr>
            </w:pPr>
            <w:r>
              <w:rPr>
                <w:b/>
                <w:bCs/>
                <w:sz w:val="22"/>
                <w:szCs w:val="22"/>
              </w:rPr>
              <w:t xml:space="preserve">Reflection </w:t>
            </w:r>
          </w:p>
        </w:tc>
        <w:tc>
          <w:tcPr>
            <w:tcW w:w="2223" w:type="dxa"/>
            <w:tcBorders>
              <w:top w:val="none" w:sz="6" w:space="0" w:color="auto"/>
              <w:left w:val="none" w:sz="6" w:space="0" w:color="auto"/>
              <w:bottom w:val="none" w:sz="6" w:space="0" w:color="auto"/>
              <w:right w:val="none" w:sz="6" w:space="0" w:color="auto"/>
            </w:tcBorders>
          </w:tcPr>
          <w:p w14:paraId="12EBEDFE" w14:textId="77777777" w:rsidR="00F8506D" w:rsidRDefault="00F8506D">
            <w:pPr>
              <w:pStyle w:val="Default"/>
              <w:rPr>
                <w:sz w:val="22"/>
                <w:szCs w:val="22"/>
              </w:rPr>
            </w:pPr>
            <w:r>
              <w:rPr>
                <w:b/>
                <w:bCs/>
                <w:sz w:val="22"/>
                <w:szCs w:val="22"/>
              </w:rPr>
              <w:t xml:space="preserve">1,000 words </w:t>
            </w:r>
          </w:p>
        </w:tc>
        <w:tc>
          <w:tcPr>
            <w:tcW w:w="2223" w:type="dxa"/>
            <w:tcBorders>
              <w:top w:val="none" w:sz="6" w:space="0" w:color="auto"/>
              <w:left w:val="none" w:sz="6" w:space="0" w:color="auto"/>
              <w:bottom w:val="none" w:sz="6" w:space="0" w:color="auto"/>
              <w:right w:val="none" w:sz="6" w:space="0" w:color="auto"/>
            </w:tcBorders>
          </w:tcPr>
          <w:p w14:paraId="0015DEED" w14:textId="77777777" w:rsidR="00F8506D" w:rsidRDefault="00F8506D">
            <w:pPr>
              <w:pStyle w:val="Default"/>
              <w:rPr>
                <w:sz w:val="22"/>
                <w:szCs w:val="22"/>
              </w:rPr>
            </w:pPr>
            <w:r>
              <w:rPr>
                <w:b/>
                <w:bCs/>
                <w:sz w:val="22"/>
                <w:szCs w:val="22"/>
              </w:rPr>
              <w:t xml:space="preserve">LO4 </w:t>
            </w:r>
          </w:p>
        </w:tc>
        <w:tc>
          <w:tcPr>
            <w:tcW w:w="2223" w:type="dxa"/>
            <w:tcBorders>
              <w:top w:val="none" w:sz="6" w:space="0" w:color="auto"/>
              <w:left w:val="none" w:sz="6" w:space="0" w:color="auto"/>
              <w:bottom w:val="none" w:sz="6" w:space="0" w:color="auto"/>
            </w:tcBorders>
          </w:tcPr>
          <w:p w14:paraId="6215DFAB" w14:textId="77777777" w:rsidR="00F8506D" w:rsidRDefault="00F8506D">
            <w:pPr>
              <w:pStyle w:val="Default"/>
              <w:rPr>
                <w:sz w:val="22"/>
                <w:szCs w:val="22"/>
              </w:rPr>
            </w:pPr>
            <w:r>
              <w:rPr>
                <w:b/>
                <w:bCs/>
                <w:sz w:val="22"/>
                <w:szCs w:val="22"/>
              </w:rPr>
              <w:t xml:space="preserve">25% </w:t>
            </w:r>
          </w:p>
        </w:tc>
      </w:tr>
    </w:tbl>
    <w:p w14:paraId="55C7A886" w14:textId="3CF5AEDE" w:rsidR="00F8506D" w:rsidRDefault="00F8506D" w:rsidP="00F8506D"/>
    <w:p w14:paraId="384255B0" w14:textId="63DE0F03" w:rsidR="00F8506D" w:rsidRDefault="00F8506D" w:rsidP="00F8506D"/>
    <w:p w14:paraId="58F2CA45" w14:textId="20221CA7" w:rsidR="00F8506D" w:rsidRPr="00F8506D" w:rsidRDefault="00F8506D" w:rsidP="00F8506D">
      <w:pPr>
        <w:rPr>
          <w:b/>
          <w:bCs/>
        </w:rPr>
      </w:pPr>
      <w:r w:rsidRPr="00F8506D">
        <w:rPr>
          <w:b/>
          <w:bCs/>
        </w:rPr>
        <w:t>Reading list</w:t>
      </w:r>
    </w:p>
    <w:p w14:paraId="57B1F2BB" w14:textId="60B9D563" w:rsidR="00F8506D" w:rsidRDefault="00F8506D" w:rsidP="00F8506D"/>
    <w:p w14:paraId="00218023" w14:textId="77777777" w:rsidR="00F8506D" w:rsidRDefault="00F8506D" w:rsidP="00F8506D">
      <w:pPr>
        <w:pStyle w:val="Default"/>
        <w:rPr>
          <w:sz w:val="23"/>
          <w:szCs w:val="23"/>
        </w:rPr>
      </w:pPr>
      <w:r>
        <w:rPr>
          <w:sz w:val="23"/>
          <w:szCs w:val="23"/>
        </w:rPr>
        <w:t xml:space="preserve">Caspersen, D., 2015. </w:t>
      </w:r>
      <w:r>
        <w:rPr>
          <w:i/>
          <w:iCs/>
          <w:sz w:val="23"/>
          <w:szCs w:val="23"/>
        </w:rPr>
        <w:t xml:space="preserve">Changing the Conversation: The 17 Principles of Conflict Resolution. London, </w:t>
      </w:r>
      <w:r>
        <w:rPr>
          <w:sz w:val="23"/>
          <w:szCs w:val="23"/>
        </w:rPr>
        <w:t xml:space="preserve">Profile Books </w:t>
      </w:r>
    </w:p>
    <w:p w14:paraId="203D7963" w14:textId="77777777" w:rsidR="00F8506D" w:rsidRDefault="00F8506D" w:rsidP="00F8506D">
      <w:pPr>
        <w:pStyle w:val="Default"/>
        <w:rPr>
          <w:sz w:val="23"/>
          <w:szCs w:val="23"/>
        </w:rPr>
      </w:pPr>
      <w:r>
        <w:rPr>
          <w:sz w:val="23"/>
          <w:szCs w:val="23"/>
        </w:rPr>
        <w:t xml:space="preserve">Freeman, R.E., et al. 2010. </w:t>
      </w:r>
      <w:r>
        <w:rPr>
          <w:i/>
          <w:iCs/>
          <w:sz w:val="23"/>
          <w:szCs w:val="23"/>
        </w:rPr>
        <w:t>Stakeholder Theory: The State of the Art</w:t>
      </w:r>
      <w:r>
        <w:rPr>
          <w:sz w:val="23"/>
          <w:szCs w:val="23"/>
        </w:rPr>
        <w:t xml:space="preserve">. Cambridge. Cambridge University Press. </w:t>
      </w:r>
    </w:p>
    <w:p w14:paraId="7166870E" w14:textId="77777777" w:rsidR="00F8506D" w:rsidRDefault="00F8506D" w:rsidP="00F8506D">
      <w:pPr>
        <w:pStyle w:val="Default"/>
        <w:rPr>
          <w:sz w:val="23"/>
          <w:szCs w:val="23"/>
        </w:rPr>
      </w:pPr>
      <w:r>
        <w:rPr>
          <w:sz w:val="23"/>
          <w:szCs w:val="23"/>
        </w:rPr>
        <w:t xml:space="preserve">Friedman, A.L., and Miles, S., 2006. </w:t>
      </w:r>
      <w:r>
        <w:rPr>
          <w:i/>
          <w:iCs/>
          <w:sz w:val="23"/>
          <w:szCs w:val="23"/>
        </w:rPr>
        <w:t>Stakeholders: Theory and Practice</w:t>
      </w:r>
      <w:r>
        <w:rPr>
          <w:sz w:val="23"/>
          <w:szCs w:val="23"/>
        </w:rPr>
        <w:t xml:space="preserve">. Berkshire: Open University Press. </w:t>
      </w:r>
    </w:p>
    <w:p w14:paraId="0558263E" w14:textId="77777777" w:rsidR="00F8506D" w:rsidRDefault="00F8506D" w:rsidP="00F8506D">
      <w:pPr>
        <w:pStyle w:val="Default"/>
        <w:rPr>
          <w:sz w:val="23"/>
          <w:szCs w:val="23"/>
        </w:rPr>
      </w:pPr>
      <w:r>
        <w:rPr>
          <w:sz w:val="23"/>
          <w:szCs w:val="23"/>
        </w:rPr>
        <w:t xml:space="preserve">Mayfield, P.M., 2013 </w:t>
      </w:r>
      <w:r>
        <w:rPr>
          <w:i/>
          <w:iCs/>
          <w:sz w:val="23"/>
          <w:szCs w:val="23"/>
        </w:rPr>
        <w:t>Practical People Engagement: Leading Change Through the Power of Relationships</w:t>
      </w:r>
      <w:r>
        <w:rPr>
          <w:sz w:val="23"/>
          <w:szCs w:val="23"/>
        </w:rPr>
        <w:t>. 1</w:t>
      </w:r>
      <w:r>
        <w:rPr>
          <w:sz w:val="16"/>
          <w:szCs w:val="16"/>
        </w:rPr>
        <w:t xml:space="preserve">st </w:t>
      </w:r>
      <w:r>
        <w:rPr>
          <w:sz w:val="23"/>
          <w:szCs w:val="23"/>
        </w:rPr>
        <w:t xml:space="preserve">ed. Oxfordshire </w:t>
      </w:r>
      <w:proofErr w:type="spellStart"/>
      <w:r>
        <w:rPr>
          <w:sz w:val="23"/>
          <w:szCs w:val="23"/>
        </w:rPr>
        <w:t>Elbereth</w:t>
      </w:r>
      <w:proofErr w:type="spellEnd"/>
      <w:r>
        <w:rPr>
          <w:sz w:val="23"/>
          <w:szCs w:val="23"/>
        </w:rPr>
        <w:t xml:space="preserve"> Publishing. </w:t>
      </w:r>
    </w:p>
    <w:p w14:paraId="317062C1" w14:textId="53334E01" w:rsidR="00F8506D" w:rsidRDefault="00F8506D" w:rsidP="00F8506D">
      <w:r>
        <w:rPr>
          <w:sz w:val="23"/>
          <w:szCs w:val="23"/>
        </w:rPr>
        <w:t xml:space="preserve">Patton, B., (et al) 2011. </w:t>
      </w:r>
      <w:r>
        <w:rPr>
          <w:i/>
          <w:iCs/>
          <w:sz w:val="23"/>
          <w:szCs w:val="23"/>
        </w:rPr>
        <w:t>Difficult conversations: How to Discuss What Matters Most</w:t>
      </w:r>
      <w:r>
        <w:rPr>
          <w:sz w:val="23"/>
          <w:szCs w:val="23"/>
        </w:rPr>
        <w:t xml:space="preserve">. New York: Viking Press. </w:t>
      </w:r>
    </w:p>
    <w:sectPr w:rsidR="00F8506D" w:rsidSect="002168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6D"/>
    <w:rsid w:val="000E0BA0"/>
    <w:rsid w:val="001D188B"/>
    <w:rsid w:val="001E2C46"/>
    <w:rsid w:val="0021681D"/>
    <w:rsid w:val="00794856"/>
    <w:rsid w:val="00BB515F"/>
    <w:rsid w:val="00D32959"/>
    <w:rsid w:val="00EA69E3"/>
    <w:rsid w:val="00F831FF"/>
    <w:rsid w:val="00F85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FA9DA8"/>
  <w15:chartTrackingRefBased/>
  <w15:docId w15:val="{82004C9B-169F-0143-9D64-A1F36353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506D"/>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Otovwe, Edafe (Postgraduate Researcher)</dc:creator>
  <cp:keywords/>
  <dc:description/>
  <cp:lastModifiedBy>Otovwe, Edafe (Postgraduate Researcher)</cp:lastModifiedBy>
  <cp:revision>1</cp:revision>
  <dcterms:created xsi:type="dcterms:W3CDTF">2022-05-23T10:16:00Z</dcterms:created>
  <dcterms:modified xsi:type="dcterms:W3CDTF">2022-05-23T10:21:00Z</dcterms:modified>
</cp:coreProperties>
</file>