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227"/>
        <w:gridCol w:w="5302"/>
      </w:tblGrid>
      <w:tr w:rsidR="006C3B10" w:rsidRPr="00B7609E" w14:paraId="52F8A560" w14:textId="77777777" w:rsidTr="004959B9">
        <w:tc>
          <w:tcPr>
            <w:tcW w:w="3227" w:type="dxa"/>
            <w:shd w:val="clear" w:color="auto" w:fill="auto"/>
            <w:tcMar>
              <w:top w:w="113" w:type="dxa"/>
              <w:bottom w:w="113" w:type="dxa"/>
            </w:tcMar>
          </w:tcPr>
          <w:p w14:paraId="52F8A55E" w14:textId="77777777" w:rsidR="006C3B10" w:rsidRPr="00B7609E" w:rsidRDefault="006C3B10" w:rsidP="004959B9">
            <w:pPr>
              <w:rPr>
                <w:rFonts w:cs="Arial"/>
                <w:b/>
                <w:bCs/>
              </w:rPr>
            </w:pPr>
            <w:r w:rsidRPr="00B7609E">
              <w:rPr>
                <w:rFonts w:cs="Arial"/>
                <w:b/>
                <w:bCs/>
              </w:rPr>
              <w:t xml:space="preserve">MODULE TITLE: </w:t>
            </w:r>
          </w:p>
        </w:tc>
        <w:tc>
          <w:tcPr>
            <w:tcW w:w="5302" w:type="dxa"/>
            <w:shd w:val="clear" w:color="auto" w:fill="auto"/>
            <w:tcMar>
              <w:top w:w="113" w:type="dxa"/>
              <w:bottom w:w="113" w:type="dxa"/>
            </w:tcMar>
          </w:tcPr>
          <w:p w14:paraId="52F8A55F" w14:textId="77777777" w:rsidR="006C3B10" w:rsidRPr="00B7609E" w:rsidRDefault="006C3B10" w:rsidP="004959B9">
            <w:pPr>
              <w:rPr>
                <w:rFonts w:cs="Arial"/>
                <w:b/>
                <w:bCs/>
              </w:rPr>
            </w:pPr>
            <w:r>
              <w:rPr>
                <w:rFonts w:cs="Arial"/>
                <w:b/>
                <w:bCs/>
              </w:rPr>
              <w:t>Personal and Professional Development</w:t>
            </w:r>
          </w:p>
        </w:tc>
      </w:tr>
      <w:tr w:rsidR="006C3B10" w:rsidRPr="00993229" w14:paraId="52F8A563" w14:textId="77777777" w:rsidTr="004959B9">
        <w:tc>
          <w:tcPr>
            <w:tcW w:w="3227" w:type="dxa"/>
            <w:shd w:val="clear" w:color="auto" w:fill="auto"/>
            <w:tcMar>
              <w:top w:w="113" w:type="dxa"/>
              <w:bottom w:w="113" w:type="dxa"/>
            </w:tcMar>
          </w:tcPr>
          <w:p w14:paraId="52F8A561" w14:textId="77777777" w:rsidR="006C3B10" w:rsidRPr="00993229" w:rsidRDefault="006C3B10" w:rsidP="004959B9">
            <w:pPr>
              <w:rPr>
                <w:rFonts w:cs="Arial"/>
                <w:b/>
              </w:rPr>
            </w:pPr>
            <w:r w:rsidRPr="00993229">
              <w:rPr>
                <w:rFonts w:cs="Arial"/>
                <w:b/>
              </w:rPr>
              <w:t>MODULE CODE:</w:t>
            </w:r>
          </w:p>
        </w:tc>
        <w:tc>
          <w:tcPr>
            <w:tcW w:w="5302" w:type="dxa"/>
            <w:shd w:val="clear" w:color="auto" w:fill="auto"/>
            <w:tcMar>
              <w:top w:w="113" w:type="dxa"/>
              <w:bottom w:w="113" w:type="dxa"/>
            </w:tcMar>
          </w:tcPr>
          <w:p w14:paraId="52F8A562" w14:textId="77777777" w:rsidR="006C3B10" w:rsidRPr="00993229" w:rsidRDefault="006C3B10" w:rsidP="004959B9">
            <w:pPr>
              <w:rPr>
                <w:rFonts w:cs="Arial"/>
              </w:rPr>
            </w:pPr>
            <w:r w:rsidRPr="002900F4">
              <w:rPr>
                <w:rFonts w:cs="Arial"/>
              </w:rPr>
              <w:t>CMDBST104</w:t>
            </w:r>
          </w:p>
        </w:tc>
      </w:tr>
      <w:tr w:rsidR="006C3B10" w:rsidRPr="00993229" w14:paraId="52F8A566" w14:textId="77777777" w:rsidTr="004959B9">
        <w:tc>
          <w:tcPr>
            <w:tcW w:w="3227" w:type="dxa"/>
            <w:shd w:val="clear" w:color="auto" w:fill="auto"/>
            <w:tcMar>
              <w:top w:w="113" w:type="dxa"/>
              <w:bottom w:w="113" w:type="dxa"/>
            </w:tcMar>
          </w:tcPr>
          <w:p w14:paraId="52F8A564" w14:textId="77777777" w:rsidR="006C3B10" w:rsidRPr="00993229" w:rsidRDefault="006C3B10" w:rsidP="004959B9">
            <w:pPr>
              <w:rPr>
                <w:rFonts w:cs="Arial"/>
              </w:rPr>
            </w:pPr>
            <w:r w:rsidRPr="00993229">
              <w:rPr>
                <w:rFonts w:cs="Arial"/>
                <w:b/>
              </w:rPr>
              <w:t>LEVEL</w:t>
            </w:r>
            <w:r w:rsidRPr="00993229">
              <w:rPr>
                <w:rFonts w:cs="Arial"/>
                <w:b/>
                <w:bCs/>
              </w:rPr>
              <w:t>:</w:t>
            </w:r>
          </w:p>
        </w:tc>
        <w:tc>
          <w:tcPr>
            <w:tcW w:w="5302" w:type="dxa"/>
            <w:shd w:val="clear" w:color="auto" w:fill="auto"/>
            <w:tcMar>
              <w:top w:w="113" w:type="dxa"/>
              <w:bottom w:w="113" w:type="dxa"/>
            </w:tcMar>
          </w:tcPr>
          <w:p w14:paraId="52F8A565" w14:textId="77777777" w:rsidR="006C3B10" w:rsidRPr="00993229" w:rsidRDefault="006C3B10" w:rsidP="004959B9">
            <w:pPr>
              <w:rPr>
                <w:rFonts w:cs="Arial"/>
              </w:rPr>
            </w:pPr>
            <w:r>
              <w:rPr>
                <w:rFonts w:cs="Arial"/>
              </w:rPr>
              <w:t>4</w:t>
            </w:r>
          </w:p>
        </w:tc>
      </w:tr>
      <w:tr w:rsidR="006C3B10" w:rsidRPr="00993229" w14:paraId="52F8A569" w14:textId="77777777" w:rsidTr="004959B9">
        <w:tc>
          <w:tcPr>
            <w:tcW w:w="3227" w:type="dxa"/>
            <w:shd w:val="clear" w:color="auto" w:fill="auto"/>
            <w:tcMar>
              <w:top w:w="113" w:type="dxa"/>
              <w:bottom w:w="113" w:type="dxa"/>
            </w:tcMar>
          </w:tcPr>
          <w:p w14:paraId="52F8A567" w14:textId="77777777" w:rsidR="006C3B10" w:rsidRPr="00993229" w:rsidRDefault="006C3B10" w:rsidP="004959B9">
            <w:pPr>
              <w:rPr>
                <w:rFonts w:cs="Arial"/>
              </w:rPr>
            </w:pPr>
            <w:r w:rsidRPr="00993229">
              <w:rPr>
                <w:rFonts w:cs="Arial"/>
                <w:b/>
              </w:rPr>
              <w:t>CREDITS:</w:t>
            </w:r>
          </w:p>
        </w:tc>
        <w:tc>
          <w:tcPr>
            <w:tcW w:w="5302" w:type="dxa"/>
            <w:shd w:val="clear" w:color="auto" w:fill="auto"/>
            <w:tcMar>
              <w:top w:w="113" w:type="dxa"/>
              <w:bottom w:w="113" w:type="dxa"/>
            </w:tcMar>
          </w:tcPr>
          <w:p w14:paraId="52F8A568" w14:textId="77777777" w:rsidR="006C3B10" w:rsidRPr="00993229" w:rsidRDefault="006C3B10" w:rsidP="004959B9">
            <w:pPr>
              <w:rPr>
                <w:rFonts w:cs="Arial"/>
              </w:rPr>
            </w:pPr>
            <w:r>
              <w:rPr>
                <w:rFonts w:cs="Arial"/>
              </w:rPr>
              <w:t>20</w:t>
            </w:r>
          </w:p>
        </w:tc>
      </w:tr>
      <w:tr w:rsidR="006C3B10" w:rsidRPr="00993229" w14:paraId="52F8A56C" w14:textId="77777777" w:rsidTr="004959B9">
        <w:tc>
          <w:tcPr>
            <w:tcW w:w="3227" w:type="dxa"/>
            <w:shd w:val="clear" w:color="auto" w:fill="auto"/>
            <w:tcMar>
              <w:top w:w="113" w:type="dxa"/>
              <w:bottom w:w="113" w:type="dxa"/>
            </w:tcMar>
          </w:tcPr>
          <w:p w14:paraId="52F8A56A" w14:textId="77777777" w:rsidR="006C3B10" w:rsidRPr="00993229" w:rsidRDefault="006C3B10" w:rsidP="004959B9">
            <w:pPr>
              <w:rPr>
                <w:rFonts w:cs="Arial"/>
              </w:rPr>
            </w:pPr>
            <w:r>
              <w:rPr>
                <w:rFonts w:cs="Arial"/>
                <w:b/>
              </w:rPr>
              <w:t xml:space="preserve">TOTAL </w:t>
            </w:r>
            <w:r w:rsidRPr="00993229">
              <w:rPr>
                <w:rFonts w:cs="Arial"/>
                <w:b/>
              </w:rPr>
              <w:t>STUDY HOURS</w:t>
            </w:r>
            <w:r w:rsidRPr="00993229">
              <w:rPr>
                <w:rFonts w:cs="Arial"/>
                <w:b/>
                <w:bCs/>
              </w:rPr>
              <w:t>:</w:t>
            </w:r>
          </w:p>
        </w:tc>
        <w:tc>
          <w:tcPr>
            <w:tcW w:w="5302" w:type="dxa"/>
            <w:shd w:val="clear" w:color="auto" w:fill="auto"/>
            <w:tcMar>
              <w:top w:w="113" w:type="dxa"/>
              <w:bottom w:w="113" w:type="dxa"/>
            </w:tcMar>
          </w:tcPr>
          <w:p w14:paraId="52F8A56B" w14:textId="77777777" w:rsidR="006C3B10" w:rsidRPr="00EC76AE" w:rsidRDefault="006C3B10" w:rsidP="004959B9">
            <w:pPr>
              <w:rPr>
                <w:rFonts w:cs="Arial"/>
                <w:iCs/>
                <w:color w:val="FF0000"/>
              </w:rPr>
            </w:pPr>
            <w:r w:rsidRPr="00EC76AE">
              <w:rPr>
                <w:rFonts w:cs="Arial"/>
                <w:iCs/>
              </w:rPr>
              <w:t>200</w:t>
            </w:r>
          </w:p>
        </w:tc>
      </w:tr>
      <w:tr w:rsidR="006C3B10" w:rsidRPr="00993229" w14:paraId="52F8A57F" w14:textId="77777777" w:rsidTr="004959B9">
        <w:tc>
          <w:tcPr>
            <w:tcW w:w="3227" w:type="dxa"/>
            <w:shd w:val="clear" w:color="auto" w:fill="auto"/>
            <w:tcMar>
              <w:top w:w="113" w:type="dxa"/>
              <w:bottom w:w="113" w:type="dxa"/>
            </w:tcMar>
          </w:tcPr>
          <w:p w14:paraId="52F8A56D" w14:textId="77777777" w:rsidR="006C3B10" w:rsidRPr="00993229" w:rsidRDefault="006C3B10" w:rsidP="004959B9">
            <w:pPr>
              <w:rPr>
                <w:rFonts w:cs="Arial"/>
                <w:b/>
              </w:rPr>
            </w:pPr>
            <w:r>
              <w:rPr>
                <w:rFonts w:cs="Arial"/>
                <w:b/>
              </w:rPr>
              <w:t>STUDY HOURS BREAKDOWN:</w:t>
            </w:r>
          </w:p>
        </w:tc>
        <w:tc>
          <w:tcPr>
            <w:tcW w:w="5302" w:type="dxa"/>
            <w:shd w:val="clear" w:color="auto" w:fill="auto"/>
            <w:tcMar>
              <w:top w:w="113" w:type="dxa"/>
              <w:bottom w:w="113" w:type="dxa"/>
            </w:tcMar>
          </w:tcPr>
          <w:tbl>
            <w:tblPr>
              <w:tblW w:w="0" w:type="auto"/>
              <w:tblInd w:w="60" w:type="dxa"/>
              <w:tblCellMar>
                <w:left w:w="60" w:type="dxa"/>
                <w:right w:w="60" w:type="dxa"/>
              </w:tblCellMar>
              <w:tblLook w:val="0000" w:firstRow="0" w:lastRow="0" w:firstColumn="0" w:lastColumn="0" w:noHBand="0" w:noVBand="0"/>
            </w:tblPr>
            <w:tblGrid>
              <w:gridCol w:w="3740"/>
              <w:gridCol w:w="1270"/>
            </w:tblGrid>
            <w:tr w:rsidR="006C3B10" w:rsidRPr="00650DB6" w14:paraId="52F8A570" w14:textId="77777777" w:rsidTr="004959B9">
              <w:trPr>
                <w:trHeight w:val="340"/>
              </w:trPr>
              <w:tc>
                <w:tcPr>
                  <w:tcW w:w="5133" w:type="dxa"/>
                  <w:tcBorders>
                    <w:top w:val="single" w:sz="6" w:space="0" w:color="auto"/>
                    <w:left w:val="single" w:sz="6" w:space="0" w:color="auto"/>
                  </w:tcBorders>
                  <w:shd w:val="clear" w:color="FFFFFF" w:fill="auto"/>
                </w:tcPr>
                <w:p w14:paraId="52F8A56E" w14:textId="77777777" w:rsidR="006C3B10" w:rsidRPr="00650DB6" w:rsidRDefault="006C3B10" w:rsidP="004959B9">
                  <w:pPr>
                    <w:rPr>
                      <w:b/>
                      <w:color w:val="000000" w:themeColor="text1"/>
                    </w:rPr>
                  </w:pPr>
                </w:p>
              </w:tc>
              <w:tc>
                <w:tcPr>
                  <w:tcW w:w="1539" w:type="dxa"/>
                  <w:tcBorders>
                    <w:top w:val="single" w:sz="6" w:space="0" w:color="auto"/>
                    <w:left w:val="single" w:sz="6" w:space="0" w:color="auto"/>
                    <w:right w:val="single" w:sz="6" w:space="0" w:color="auto"/>
                  </w:tcBorders>
                  <w:shd w:val="clear" w:color="FFFFFF" w:fill="auto"/>
                </w:tcPr>
                <w:p w14:paraId="52F8A56F" w14:textId="77777777" w:rsidR="006C3B10" w:rsidRPr="00650DB6" w:rsidRDefault="006C3B10" w:rsidP="004959B9">
                  <w:pPr>
                    <w:jc w:val="right"/>
                    <w:rPr>
                      <w:b/>
                      <w:color w:val="000000" w:themeColor="text1"/>
                      <w:u w:val="single"/>
                    </w:rPr>
                  </w:pPr>
                  <w:r w:rsidRPr="00650DB6">
                    <w:rPr>
                      <w:b/>
                      <w:color w:val="000000" w:themeColor="text1"/>
                    </w:rPr>
                    <w:t>STUDY HOURS</w:t>
                  </w:r>
                </w:p>
              </w:tc>
            </w:tr>
            <w:tr w:rsidR="006C3B10" w:rsidRPr="00650DB6" w14:paraId="52F8A574" w14:textId="77777777" w:rsidTr="004959B9">
              <w:trPr>
                <w:trHeight w:val="340"/>
              </w:trPr>
              <w:tc>
                <w:tcPr>
                  <w:tcW w:w="5133" w:type="dxa"/>
                  <w:tcBorders>
                    <w:top w:val="single" w:sz="6" w:space="0" w:color="auto"/>
                    <w:left w:val="single" w:sz="6" w:space="0" w:color="auto"/>
                  </w:tcBorders>
                </w:tcPr>
                <w:p w14:paraId="52F8A571" w14:textId="77777777" w:rsidR="006C3B10" w:rsidRPr="00650DB6" w:rsidRDefault="006C3B10" w:rsidP="004959B9">
                  <w:pPr>
                    <w:pStyle w:val="Heading1"/>
                    <w:rPr>
                      <w:rFonts w:ascii="Times New Roman" w:hAnsi="Times New Roman"/>
                      <w:b w:val="0"/>
                      <w:color w:val="000000" w:themeColor="text1"/>
                      <w:sz w:val="22"/>
                      <w:szCs w:val="22"/>
                    </w:rPr>
                  </w:pPr>
                  <w:r w:rsidRPr="00650DB6">
                    <w:rPr>
                      <w:rFonts w:ascii="Times New Roman" w:hAnsi="Times New Roman"/>
                      <w:color w:val="000000" w:themeColor="text1"/>
                      <w:sz w:val="22"/>
                      <w:szCs w:val="22"/>
                    </w:rPr>
                    <w:t>Lectures/ seminars</w:t>
                  </w:r>
                </w:p>
              </w:tc>
              <w:tc>
                <w:tcPr>
                  <w:tcW w:w="1539" w:type="dxa"/>
                  <w:tcBorders>
                    <w:top w:val="single" w:sz="6" w:space="0" w:color="auto"/>
                    <w:left w:val="single" w:sz="6" w:space="0" w:color="auto"/>
                    <w:right w:val="single" w:sz="6" w:space="0" w:color="auto"/>
                  </w:tcBorders>
                </w:tcPr>
                <w:p w14:paraId="52F8A572" w14:textId="77777777" w:rsidR="006C3B10" w:rsidRPr="00650DB6" w:rsidRDefault="006C3B10" w:rsidP="004959B9">
                  <w:pPr>
                    <w:pStyle w:val="QuickFormat1"/>
                    <w:jc w:val="right"/>
                    <w:rPr>
                      <w:color w:val="000000" w:themeColor="text1"/>
                      <w:sz w:val="22"/>
                      <w:szCs w:val="22"/>
                    </w:rPr>
                  </w:pPr>
                </w:p>
                <w:p w14:paraId="52F8A573" w14:textId="77777777" w:rsidR="006C3B10" w:rsidRPr="00650DB6" w:rsidRDefault="006C3B10" w:rsidP="004959B9">
                  <w:pPr>
                    <w:pStyle w:val="QuickFormat1"/>
                    <w:jc w:val="right"/>
                    <w:rPr>
                      <w:color w:val="000000" w:themeColor="text1"/>
                      <w:sz w:val="22"/>
                      <w:szCs w:val="22"/>
                    </w:rPr>
                  </w:pPr>
                  <w:r w:rsidRPr="00650DB6">
                    <w:rPr>
                      <w:color w:val="000000" w:themeColor="text1"/>
                      <w:sz w:val="22"/>
                      <w:szCs w:val="22"/>
                    </w:rPr>
                    <w:t>24</w:t>
                  </w:r>
                </w:p>
              </w:tc>
            </w:tr>
            <w:tr w:rsidR="006C3B10" w:rsidRPr="00650DB6" w14:paraId="52F8A577" w14:textId="77777777" w:rsidTr="004959B9">
              <w:trPr>
                <w:trHeight w:val="340"/>
              </w:trPr>
              <w:tc>
                <w:tcPr>
                  <w:tcW w:w="5133" w:type="dxa"/>
                  <w:tcBorders>
                    <w:top w:val="single" w:sz="6" w:space="0" w:color="auto"/>
                    <w:left w:val="single" w:sz="6" w:space="0" w:color="auto"/>
                  </w:tcBorders>
                </w:tcPr>
                <w:p w14:paraId="52F8A575" w14:textId="77777777" w:rsidR="006C3B10" w:rsidRPr="00650DB6" w:rsidRDefault="006C3B10" w:rsidP="004959B9">
                  <w:pPr>
                    <w:pStyle w:val="QuickFormat1"/>
                    <w:rPr>
                      <w:color w:val="000000" w:themeColor="text1"/>
                      <w:sz w:val="22"/>
                      <w:szCs w:val="22"/>
                    </w:rPr>
                  </w:pPr>
                  <w:r w:rsidRPr="00650DB6">
                    <w:rPr>
                      <w:color w:val="000000" w:themeColor="text1"/>
                      <w:sz w:val="22"/>
                      <w:szCs w:val="22"/>
                    </w:rPr>
                    <w:t>Directed learning</w:t>
                  </w:r>
                </w:p>
              </w:tc>
              <w:tc>
                <w:tcPr>
                  <w:tcW w:w="1539" w:type="dxa"/>
                  <w:tcBorders>
                    <w:top w:val="single" w:sz="6" w:space="0" w:color="auto"/>
                    <w:left w:val="single" w:sz="6" w:space="0" w:color="auto"/>
                    <w:right w:val="single" w:sz="6" w:space="0" w:color="auto"/>
                  </w:tcBorders>
                </w:tcPr>
                <w:p w14:paraId="52F8A576" w14:textId="77777777" w:rsidR="006C3B10" w:rsidRPr="00650DB6" w:rsidRDefault="006C3B10" w:rsidP="004959B9">
                  <w:pPr>
                    <w:jc w:val="right"/>
                    <w:rPr>
                      <w:color w:val="000000" w:themeColor="text1"/>
                    </w:rPr>
                  </w:pPr>
                  <w:r w:rsidRPr="00650DB6">
                    <w:rPr>
                      <w:color w:val="000000" w:themeColor="text1"/>
                    </w:rPr>
                    <w:t>48</w:t>
                  </w:r>
                </w:p>
              </w:tc>
            </w:tr>
            <w:tr w:rsidR="006C3B10" w:rsidRPr="00650DB6" w14:paraId="52F8A57A" w14:textId="77777777" w:rsidTr="004959B9">
              <w:trPr>
                <w:trHeight w:val="340"/>
              </w:trPr>
              <w:tc>
                <w:tcPr>
                  <w:tcW w:w="5133" w:type="dxa"/>
                  <w:tcBorders>
                    <w:top w:val="single" w:sz="6" w:space="0" w:color="auto"/>
                    <w:left w:val="single" w:sz="6" w:space="0" w:color="auto"/>
                  </w:tcBorders>
                </w:tcPr>
                <w:p w14:paraId="52F8A578" w14:textId="77777777" w:rsidR="006C3B10" w:rsidRPr="00650DB6" w:rsidRDefault="006C3B10" w:rsidP="004959B9">
                  <w:pPr>
                    <w:pStyle w:val="QuickFormat1"/>
                    <w:rPr>
                      <w:color w:val="000000" w:themeColor="text1"/>
                      <w:sz w:val="22"/>
                      <w:szCs w:val="22"/>
                    </w:rPr>
                  </w:pPr>
                  <w:r w:rsidRPr="00650DB6">
                    <w:rPr>
                      <w:color w:val="000000" w:themeColor="text1"/>
                      <w:sz w:val="22"/>
                      <w:szCs w:val="22"/>
                    </w:rPr>
                    <w:t>Independent learning</w:t>
                  </w:r>
                </w:p>
              </w:tc>
              <w:tc>
                <w:tcPr>
                  <w:tcW w:w="1539" w:type="dxa"/>
                  <w:tcBorders>
                    <w:top w:val="single" w:sz="6" w:space="0" w:color="auto"/>
                    <w:left w:val="single" w:sz="6" w:space="0" w:color="auto"/>
                    <w:right w:val="single" w:sz="6" w:space="0" w:color="auto"/>
                  </w:tcBorders>
                </w:tcPr>
                <w:p w14:paraId="52F8A579" w14:textId="77777777" w:rsidR="006C3B10" w:rsidRPr="00650DB6" w:rsidRDefault="006C3B10" w:rsidP="004959B9">
                  <w:pPr>
                    <w:jc w:val="right"/>
                    <w:rPr>
                      <w:color w:val="000000" w:themeColor="text1"/>
                    </w:rPr>
                  </w:pPr>
                  <w:r w:rsidRPr="00650DB6">
                    <w:rPr>
                      <w:color w:val="000000" w:themeColor="text1"/>
                    </w:rPr>
                    <w:t>128</w:t>
                  </w:r>
                </w:p>
              </w:tc>
            </w:tr>
            <w:tr w:rsidR="006C3B10" w:rsidRPr="00650DB6" w14:paraId="52F8A57D" w14:textId="77777777" w:rsidTr="004959B9">
              <w:trPr>
                <w:trHeight w:val="340"/>
              </w:trPr>
              <w:tc>
                <w:tcPr>
                  <w:tcW w:w="5133" w:type="dxa"/>
                  <w:tcBorders>
                    <w:top w:val="single" w:sz="6" w:space="0" w:color="auto"/>
                    <w:left w:val="single" w:sz="6" w:space="0" w:color="auto"/>
                    <w:bottom w:val="single" w:sz="6" w:space="0" w:color="auto"/>
                  </w:tcBorders>
                </w:tcPr>
                <w:p w14:paraId="52F8A57B" w14:textId="77777777" w:rsidR="006C3B10" w:rsidRPr="00650DB6" w:rsidRDefault="006C3B10" w:rsidP="004959B9">
                  <w:pPr>
                    <w:rPr>
                      <w:b/>
                      <w:color w:val="000000" w:themeColor="text1"/>
                    </w:rPr>
                  </w:pPr>
                  <w:r w:rsidRPr="00650DB6">
                    <w:rPr>
                      <w:b/>
                      <w:color w:val="000000" w:themeColor="text1"/>
                    </w:rPr>
                    <w:t>Total study hours</w:t>
                  </w:r>
                </w:p>
              </w:tc>
              <w:tc>
                <w:tcPr>
                  <w:tcW w:w="1539" w:type="dxa"/>
                  <w:tcBorders>
                    <w:top w:val="single" w:sz="6" w:space="0" w:color="auto"/>
                    <w:left w:val="single" w:sz="6" w:space="0" w:color="auto"/>
                    <w:bottom w:val="single" w:sz="6" w:space="0" w:color="auto"/>
                    <w:right w:val="single" w:sz="6" w:space="0" w:color="auto"/>
                  </w:tcBorders>
                </w:tcPr>
                <w:p w14:paraId="52F8A57C" w14:textId="77777777" w:rsidR="006C3B10" w:rsidRPr="00650DB6" w:rsidRDefault="006C3B10" w:rsidP="004959B9">
                  <w:pPr>
                    <w:jc w:val="right"/>
                    <w:rPr>
                      <w:b/>
                      <w:color w:val="000000" w:themeColor="text1"/>
                    </w:rPr>
                  </w:pPr>
                  <w:r w:rsidRPr="00650DB6">
                    <w:rPr>
                      <w:b/>
                      <w:color w:val="000000" w:themeColor="text1"/>
                    </w:rPr>
                    <w:t>200</w:t>
                  </w:r>
                </w:p>
              </w:tc>
            </w:tr>
          </w:tbl>
          <w:p w14:paraId="52F8A57E" w14:textId="77777777" w:rsidR="006C3B10" w:rsidRPr="00F63AAB" w:rsidRDefault="006C3B10" w:rsidP="004959B9">
            <w:pPr>
              <w:rPr>
                <w:rFonts w:cs="Arial"/>
                <w:i/>
                <w:iCs/>
                <w:color w:val="FF0000"/>
              </w:rPr>
            </w:pPr>
          </w:p>
        </w:tc>
      </w:tr>
      <w:tr w:rsidR="006C3B10" w:rsidRPr="00993229" w14:paraId="52F8A582" w14:textId="77777777" w:rsidTr="004959B9">
        <w:tc>
          <w:tcPr>
            <w:tcW w:w="3227" w:type="dxa"/>
            <w:shd w:val="clear" w:color="auto" w:fill="auto"/>
            <w:tcMar>
              <w:top w:w="113" w:type="dxa"/>
              <w:bottom w:w="113" w:type="dxa"/>
            </w:tcMar>
          </w:tcPr>
          <w:p w14:paraId="52F8A580" w14:textId="77777777" w:rsidR="006C3B10" w:rsidRPr="00993229" w:rsidRDefault="006C3B10" w:rsidP="004959B9">
            <w:pPr>
              <w:rPr>
                <w:rFonts w:cs="Arial"/>
                <w:b/>
              </w:rPr>
            </w:pPr>
            <w:r w:rsidRPr="00993229">
              <w:rPr>
                <w:rFonts w:cs="Arial"/>
                <w:b/>
              </w:rPr>
              <w:t>PRE-REQUISITES:</w:t>
            </w:r>
          </w:p>
        </w:tc>
        <w:tc>
          <w:tcPr>
            <w:tcW w:w="5302" w:type="dxa"/>
            <w:shd w:val="clear" w:color="auto" w:fill="auto"/>
            <w:tcMar>
              <w:top w:w="113" w:type="dxa"/>
              <w:bottom w:w="113" w:type="dxa"/>
            </w:tcMar>
          </w:tcPr>
          <w:p w14:paraId="52F8A581" w14:textId="77777777" w:rsidR="006C3B10" w:rsidRPr="00993229" w:rsidRDefault="006C3B10" w:rsidP="004959B9">
            <w:pPr>
              <w:rPr>
                <w:rFonts w:cs="Arial"/>
              </w:rPr>
            </w:pPr>
            <w:r>
              <w:rPr>
                <w:rFonts w:cs="Arial"/>
              </w:rPr>
              <w:t>None</w:t>
            </w:r>
          </w:p>
        </w:tc>
      </w:tr>
      <w:tr w:rsidR="006C3B10" w:rsidRPr="00993229" w14:paraId="52F8A585" w14:textId="77777777" w:rsidTr="004959B9">
        <w:tc>
          <w:tcPr>
            <w:tcW w:w="3227" w:type="dxa"/>
            <w:shd w:val="clear" w:color="auto" w:fill="auto"/>
            <w:tcMar>
              <w:top w:w="113" w:type="dxa"/>
              <w:bottom w:w="113" w:type="dxa"/>
            </w:tcMar>
          </w:tcPr>
          <w:p w14:paraId="52F8A583" w14:textId="77777777" w:rsidR="006C3B10" w:rsidRPr="00993229" w:rsidRDefault="006C3B10" w:rsidP="004959B9">
            <w:pPr>
              <w:rPr>
                <w:rFonts w:cs="Arial"/>
                <w:b/>
              </w:rPr>
            </w:pPr>
            <w:r w:rsidRPr="00993229">
              <w:rPr>
                <w:rFonts w:cs="Arial"/>
                <w:b/>
              </w:rPr>
              <w:t>EXCLUDED COMBINATIONS:</w:t>
            </w:r>
          </w:p>
        </w:tc>
        <w:tc>
          <w:tcPr>
            <w:tcW w:w="5302" w:type="dxa"/>
            <w:shd w:val="clear" w:color="auto" w:fill="auto"/>
            <w:tcMar>
              <w:top w:w="113" w:type="dxa"/>
              <w:bottom w:w="113" w:type="dxa"/>
            </w:tcMar>
          </w:tcPr>
          <w:p w14:paraId="52F8A584" w14:textId="77777777" w:rsidR="006C3B10" w:rsidRPr="00993229" w:rsidRDefault="006C3B10" w:rsidP="004959B9">
            <w:pPr>
              <w:rPr>
                <w:rFonts w:cs="Arial"/>
              </w:rPr>
            </w:pPr>
          </w:p>
        </w:tc>
      </w:tr>
      <w:tr w:rsidR="006C3B10" w:rsidRPr="00993229" w14:paraId="52F8A588" w14:textId="77777777" w:rsidTr="004959B9">
        <w:tc>
          <w:tcPr>
            <w:tcW w:w="3227" w:type="dxa"/>
            <w:shd w:val="clear" w:color="auto" w:fill="auto"/>
            <w:tcMar>
              <w:top w:w="113" w:type="dxa"/>
              <w:bottom w:w="113" w:type="dxa"/>
            </w:tcMar>
          </w:tcPr>
          <w:p w14:paraId="52F8A586" w14:textId="77777777" w:rsidR="006C3B10" w:rsidRPr="00993229" w:rsidRDefault="006C3B10" w:rsidP="004959B9">
            <w:pPr>
              <w:rPr>
                <w:rFonts w:cs="Arial"/>
              </w:rPr>
            </w:pPr>
            <w:r w:rsidRPr="00993229">
              <w:rPr>
                <w:rFonts w:cs="Arial"/>
                <w:b/>
              </w:rPr>
              <w:t>MODULE LEADER:</w:t>
            </w:r>
          </w:p>
        </w:tc>
        <w:tc>
          <w:tcPr>
            <w:tcW w:w="5302" w:type="dxa"/>
            <w:shd w:val="clear" w:color="auto" w:fill="auto"/>
            <w:tcMar>
              <w:top w:w="113" w:type="dxa"/>
              <w:bottom w:w="113" w:type="dxa"/>
            </w:tcMar>
          </w:tcPr>
          <w:p w14:paraId="52F8A587" w14:textId="77777777" w:rsidR="006C3B10" w:rsidRPr="00993229" w:rsidRDefault="006C3B10" w:rsidP="004959B9">
            <w:pPr>
              <w:rPr>
                <w:rFonts w:cs="Arial"/>
              </w:rPr>
            </w:pPr>
            <w:r>
              <w:rPr>
                <w:rFonts w:cs="Arial"/>
              </w:rPr>
              <w:t>David Mwaura</w:t>
            </w:r>
          </w:p>
        </w:tc>
      </w:tr>
      <w:tr w:rsidR="006C3B10" w:rsidRPr="00993229" w14:paraId="52F8A58B" w14:textId="77777777" w:rsidTr="004959B9">
        <w:tc>
          <w:tcPr>
            <w:tcW w:w="3227" w:type="dxa"/>
            <w:shd w:val="clear" w:color="auto" w:fill="auto"/>
            <w:tcMar>
              <w:top w:w="113" w:type="dxa"/>
              <w:bottom w:w="113" w:type="dxa"/>
            </w:tcMar>
          </w:tcPr>
          <w:p w14:paraId="52F8A589" w14:textId="77777777" w:rsidR="006C3B10" w:rsidRPr="00993229" w:rsidRDefault="006C3B10" w:rsidP="004959B9">
            <w:pPr>
              <w:rPr>
                <w:rFonts w:cs="Arial"/>
                <w:b/>
              </w:rPr>
            </w:pPr>
            <w:r w:rsidRPr="00993229">
              <w:rPr>
                <w:rFonts w:cs="Arial"/>
                <w:b/>
              </w:rPr>
              <w:t>MODULE CONTRIBUTOR(S):</w:t>
            </w:r>
          </w:p>
        </w:tc>
        <w:tc>
          <w:tcPr>
            <w:tcW w:w="5302" w:type="dxa"/>
            <w:shd w:val="clear" w:color="auto" w:fill="auto"/>
            <w:tcMar>
              <w:top w:w="113" w:type="dxa"/>
              <w:bottom w:w="113" w:type="dxa"/>
            </w:tcMar>
          </w:tcPr>
          <w:p w14:paraId="52F8A58A" w14:textId="77777777" w:rsidR="006C3B10" w:rsidRPr="00993229" w:rsidRDefault="006C3B10" w:rsidP="004959B9">
            <w:pPr>
              <w:rPr>
                <w:rFonts w:cs="Arial"/>
              </w:rPr>
            </w:pPr>
          </w:p>
        </w:tc>
      </w:tr>
    </w:tbl>
    <w:p w14:paraId="52F8A58C" w14:textId="77777777" w:rsidR="006C3B10" w:rsidRDefault="006C3B10" w:rsidP="006C3B10">
      <w:pPr>
        <w:rPr>
          <w:rFonts w:cs="Arial"/>
          <w:b/>
        </w:rPr>
      </w:pPr>
    </w:p>
    <w:p w14:paraId="52F8A58D" w14:textId="77777777" w:rsidR="006C3B10" w:rsidRDefault="006C3B10" w:rsidP="006C3B10">
      <w:pPr>
        <w:rPr>
          <w:rFonts w:cs="Arial"/>
          <w:b/>
        </w:rPr>
      </w:pPr>
    </w:p>
    <w:p w14:paraId="52F8A58E" w14:textId="77777777" w:rsidR="006C3B10" w:rsidRDefault="006C3B10" w:rsidP="006C3B10">
      <w:pPr>
        <w:rPr>
          <w:rFonts w:cs="Arial"/>
        </w:rPr>
      </w:pPr>
      <w:r>
        <w:rPr>
          <w:rFonts w:cs="Arial"/>
          <w:b/>
        </w:rPr>
        <w:t>RATIONALE</w:t>
      </w:r>
    </w:p>
    <w:p w14:paraId="52F8A58F" w14:textId="77777777" w:rsidR="006C3B10" w:rsidRPr="00B00A72" w:rsidRDefault="006C3B10" w:rsidP="006C3B10">
      <w:pPr>
        <w:jc w:val="both"/>
        <w:rPr>
          <w:rFonts w:ascii="Times New Roman" w:hAnsi="Times New Roman"/>
        </w:rPr>
      </w:pPr>
      <w:r w:rsidRPr="00B00A72">
        <w:rPr>
          <w:rFonts w:ascii="Times New Roman" w:hAnsi="Times New Roman"/>
        </w:rPr>
        <w:t xml:space="preserve">This module has two main purposes. The first is to develop the generic and transferable study skills required to facilitate progression through Higher Education. The second is to encourage </w:t>
      </w:r>
      <w:r>
        <w:rPr>
          <w:rFonts w:ascii="Times New Roman" w:hAnsi="Times New Roman"/>
        </w:rPr>
        <w:t>students</w:t>
      </w:r>
      <w:r w:rsidRPr="00B00A72">
        <w:rPr>
          <w:rFonts w:ascii="Times New Roman" w:hAnsi="Times New Roman"/>
        </w:rPr>
        <w:t xml:space="preserve"> to think creatively and constructively about personal, academic and career goals. The module will </w:t>
      </w:r>
      <w:r>
        <w:rPr>
          <w:rFonts w:ascii="Times New Roman" w:hAnsi="Times New Roman"/>
        </w:rPr>
        <w:t xml:space="preserve">provide </w:t>
      </w:r>
      <w:proofErr w:type="spellStart"/>
      <w:r>
        <w:rPr>
          <w:rFonts w:ascii="Times New Roman" w:hAnsi="Times New Roman"/>
        </w:rPr>
        <w:t>opportunitiesfor</w:t>
      </w:r>
      <w:proofErr w:type="spellEnd"/>
      <w:r>
        <w:rPr>
          <w:rFonts w:ascii="Times New Roman" w:hAnsi="Times New Roman"/>
        </w:rPr>
        <w:t xml:space="preserve"> students to develop</w:t>
      </w:r>
      <w:r w:rsidRPr="00B00A72">
        <w:rPr>
          <w:rFonts w:ascii="Times New Roman" w:hAnsi="Times New Roman"/>
        </w:rPr>
        <w:t xml:space="preserve"> a strategy to actively achieve life and career goals.</w:t>
      </w:r>
    </w:p>
    <w:p w14:paraId="52F8A590" w14:textId="77777777" w:rsidR="006C3B10" w:rsidRDefault="006C3B10" w:rsidP="006C3B10">
      <w:pPr>
        <w:rPr>
          <w:rFonts w:cs="Arial"/>
        </w:rPr>
      </w:pPr>
    </w:p>
    <w:p w14:paraId="52F8A591" w14:textId="77777777" w:rsidR="006C3B10" w:rsidRDefault="006C3B10" w:rsidP="006C3B10">
      <w:pPr>
        <w:rPr>
          <w:rFonts w:cs="Arial"/>
        </w:rPr>
      </w:pPr>
    </w:p>
    <w:p w14:paraId="52F8A592" w14:textId="77777777" w:rsidR="006C3B10" w:rsidRDefault="006C3B10" w:rsidP="006C3B10">
      <w:pPr>
        <w:rPr>
          <w:rFonts w:cs="Arial"/>
        </w:rPr>
      </w:pPr>
      <w:r>
        <w:rPr>
          <w:rFonts w:cs="Arial"/>
          <w:b/>
        </w:rPr>
        <w:lastRenderedPageBreak/>
        <w:t>AIMS</w:t>
      </w:r>
    </w:p>
    <w:p w14:paraId="52F8A593" w14:textId="77777777" w:rsidR="006C3B10" w:rsidRPr="007D5691" w:rsidRDefault="006C3B10" w:rsidP="006C3B10">
      <w:pPr>
        <w:jc w:val="both"/>
        <w:rPr>
          <w:rFonts w:ascii="Times New Roman" w:hAnsi="Times New Roman"/>
        </w:rPr>
      </w:pPr>
      <w:r w:rsidRPr="007D5691">
        <w:rPr>
          <w:rFonts w:ascii="Times New Roman" w:hAnsi="Times New Roman"/>
        </w:rPr>
        <w:t>This module includes the development of those study and transferable skills required of students which also enhances employability in the work place. Students are encouraged to identify their personal strengths and areas fir development and set targets to promote both their academic and professional development and develop the resilience needed to achieve their long-term goals. This module encourages an independent, resourceful and reflective approach to learning and development which will be sustainable beyond the programme of study. It develops a critical awareness of their own and others` development needs on an ongoing basis. It also provides a framework for students to plan, manage and demonstrate their learning.</w:t>
      </w:r>
    </w:p>
    <w:p w14:paraId="52F8A594" w14:textId="77777777" w:rsidR="006C3B10" w:rsidRDefault="006C3B10" w:rsidP="006C3B10">
      <w:pPr>
        <w:rPr>
          <w:rFonts w:cs="Arial"/>
          <w:b/>
        </w:rPr>
      </w:pPr>
    </w:p>
    <w:p w14:paraId="52F8A595" w14:textId="77777777" w:rsidR="006C3B10" w:rsidRDefault="006C3B10" w:rsidP="006C3B10">
      <w:pPr>
        <w:rPr>
          <w:rFonts w:cs="Arial"/>
          <w:b/>
        </w:rPr>
      </w:pPr>
    </w:p>
    <w:p w14:paraId="52F8A596" w14:textId="77777777" w:rsidR="006C3B10" w:rsidRDefault="006C3B10" w:rsidP="006C3B10">
      <w:pPr>
        <w:rPr>
          <w:rFonts w:cs="Arial"/>
        </w:rPr>
      </w:pPr>
      <w:r>
        <w:rPr>
          <w:rFonts w:cs="Arial"/>
          <w:b/>
        </w:rPr>
        <w:t>LEARNING OUTCOMES</w:t>
      </w:r>
    </w:p>
    <w:p w14:paraId="52F8A597" w14:textId="77777777" w:rsidR="006C3B10" w:rsidRPr="0086591A" w:rsidRDefault="006C3B10" w:rsidP="006C3B10">
      <w:pPr>
        <w:pStyle w:val="Heading2"/>
        <w:jc w:val="both"/>
        <w:rPr>
          <w:rFonts w:ascii="Times New Roman" w:hAnsi="Times New Roman"/>
          <w:b w:val="0"/>
          <w:i/>
          <w:color w:val="000000" w:themeColor="text1"/>
          <w:szCs w:val="22"/>
        </w:rPr>
      </w:pPr>
      <w:r w:rsidRPr="0086591A">
        <w:rPr>
          <w:rFonts w:ascii="Times New Roman" w:hAnsi="Times New Roman"/>
          <w:color w:val="000000" w:themeColor="text1"/>
          <w:szCs w:val="22"/>
        </w:rPr>
        <w:t>Upon successful completion of the module the students will be able to:</w:t>
      </w:r>
    </w:p>
    <w:p w14:paraId="52F8A598" w14:textId="77777777" w:rsidR="006C3B10" w:rsidRPr="007D5691" w:rsidRDefault="006C3B10" w:rsidP="006C3B10">
      <w:pPr>
        <w:pStyle w:val="NoSpacing"/>
        <w:jc w:val="both"/>
        <w:rPr>
          <w:rFonts w:ascii="Times New Roman" w:hAnsi="Times New Roman" w:cs="Times New Roman"/>
          <w:sz w:val="22"/>
          <w:szCs w:val="22"/>
        </w:rPr>
      </w:pPr>
      <w:r>
        <w:rPr>
          <w:rFonts w:ascii="Times New Roman" w:hAnsi="Times New Roman" w:cs="Times New Roman"/>
          <w:sz w:val="22"/>
          <w:szCs w:val="22"/>
        </w:rPr>
        <w:t xml:space="preserve">LO1: </w:t>
      </w:r>
      <w:r w:rsidRPr="007D5691">
        <w:rPr>
          <w:rFonts w:ascii="Times New Roman" w:hAnsi="Times New Roman" w:cs="Times New Roman"/>
          <w:sz w:val="22"/>
          <w:szCs w:val="22"/>
        </w:rPr>
        <w:t>Demonstrate a critical understanding of the concepts of reflective learning and personal development</w:t>
      </w:r>
    </w:p>
    <w:p w14:paraId="52F8A599" w14:textId="77777777" w:rsidR="006C3B10" w:rsidRPr="007D5691" w:rsidRDefault="006C3B10" w:rsidP="006C3B10">
      <w:pPr>
        <w:pStyle w:val="NoSpacing"/>
        <w:jc w:val="both"/>
        <w:rPr>
          <w:rFonts w:ascii="Times New Roman" w:hAnsi="Times New Roman" w:cs="Times New Roman"/>
          <w:sz w:val="22"/>
          <w:szCs w:val="22"/>
        </w:rPr>
      </w:pPr>
      <w:r>
        <w:rPr>
          <w:rFonts w:ascii="Times New Roman" w:hAnsi="Times New Roman" w:cs="Times New Roman"/>
          <w:sz w:val="22"/>
          <w:szCs w:val="22"/>
        </w:rPr>
        <w:t xml:space="preserve">LO2: </w:t>
      </w:r>
      <w:r w:rsidRPr="007D5691">
        <w:rPr>
          <w:rFonts w:ascii="Times New Roman" w:hAnsi="Times New Roman" w:cs="Times New Roman"/>
          <w:sz w:val="22"/>
          <w:szCs w:val="22"/>
        </w:rPr>
        <w:t>Appraise the relevance of personal development to the role of a manager, for one's own and others' development</w:t>
      </w:r>
    </w:p>
    <w:p w14:paraId="52F8A59A" w14:textId="77777777" w:rsidR="006C3B10" w:rsidRPr="007D5691" w:rsidRDefault="006C3B10" w:rsidP="006C3B10">
      <w:pPr>
        <w:pStyle w:val="NoSpacing"/>
        <w:jc w:val="both"/>
        <w:rPr>
          <w:rFonts w:ascii="Times New Roman" w:hAnsi="Times New Roman" w:cs="Times New Roman"/>
          <w:sz w:val="22"/>
          <w:szCs w:val="22"/>
          <w:lang w:val="en-US"/>
        </w:rPr>
      </w:pPr>
      <w:r>
        <w:rPr>
          <w:rFonts w:ascii="Times New Roman" w:hAnsi="Times New Roman" w:cs="Times New Roman"/>
          <w:sz w:val="22"/>
          <w:szCs w:val="22"/>
        </w:rPr>
        <w:t xml:space="preserve">LO3: </w:t>
      </w:r>
      <w:r w:rsidRPr="007D5691">
        <w:rPr>
          <w:rFonts w:ascii="Times New Roman" w:hAnsi="Times New Roman" w:cs="Times New Roman"/>
          <w:sz w:val="22"/>
          <w:szCs w:val="22"/>
        </w:rPr>
        <w:t>Manage one's own development effectively and apply newly acquired skills</w:t>
      </w:r>
    </w:p>
    <w:p w14:paraId="52F8A59B" w14:textId="77777777" w:rsidR="006C3B10" w:rsidRPr="007D5691" w:rsidRDefault="006C3B10" w:rsidP="006C3B10">
      <w:pPr>
        <w:pStyle w:val="NoSpacing"/>
        <w:jc w:val="both"/>
        <w:rPr>
          <w:rFonts w:ascii="Times New Roman" w:hAnsi="Times New Roman" w:cs="Times New Roman"/>
          <w:sz w:val="22"/>
          <w:szCs w:val="22"/>
          <w:lang w:val="en-US"/>
        </w:rPr>
      </w:pPr>
      <w:r>
        <w:rPr>
          <w:rFonts w:ascii="Times New Roman" w:hAnsi="Times New Roman" w:cs="Times New Roman"/>
          <w:sz w:val="22"/>
          <w:szCs w:val="22"/>
        </w:rPr>
        <w:t xml:space="preserve">LO4: </w:t>
      </w:r>
      <w:r w:rsidRPr="007D5691">
        <w:rPr>
          <w:rFonts w:ascii="Times New Roman" w:hAnsi="Times New Roman" w:cs="Times New Roman"/>
          <w:sz w:val="22"/>
          <w:szCs w:val="22"/>
        </w:rPr>
        <w:t>Monitor one's own and others' performance through giving and receiving feedback</w:t>
      </w:r>
      <w:r w:rsidRPr="007D5691">
        <w:rPr>
          <w:rFonts w:ascii="Times New Roman" w:hAnsi="Times New Roman" w:cs="Times New Roman"/>
          <w:sz w:val="22"/>
          <w:szCs w:val="22"/>
          <w:shd w:val="clear" w:color="auto" w:fill="FFFFFF"/>
        </w:rPr>
        <w:t>.</w:t>
      </w:r>
    </w:p>
    <w:p w14:paraId="52F8A59C" w14:textId="77777777" w:rsidR="006C3B10" w:rsidRPr="007D5691" w:rsidRDefault="006C3B10" w:rsidP="006C3B10">
      <w:pPr>
        <w:pStyle w:val="NoSpacing"/>
        <w:jc w:val="both"/>
        <w:rPr>
          <w:rFonts w:ascii="Times New Roman" w:hAnsi="Times New Roman" w:cs="Times New Roman"/>
          <w:sz w:val="22"/>
          <w:szCs w:val="22"/>
          <w:lang w:val="en-US"/>
        </w:rPr>
      </w:pPr>
      <w:r>
        <w:rPr>
          <w:rFonts w:ascii="Times New Roman" w:hAnsi="Times New Roman" w:cs="Times New Roman"/>
          <w:sz w:val="22"/>
          <w:szCs w:val="22"/>
        </w:rPr>
        <w:t xml:space="preserve">LO5: </w:t>
      </w:r>
      <w:r w:rsidRPr="007D5691">
        <w:rPr>
          <w:rFonts w:ascii="Times New Roman" w:hAnsi="Times New Roman" w:cs="Times New Roman"/>
          <w:sz w:val="22"/>
          <w:szCs w:val="22"/>
        </w:rPr>
        <w:t>Assess development needs and identify resources and opportunities to address them</w:t>
      </w:r>
    </w:p>
    <w:p w14:paraId="52F8A59D" w14:textId="77777777" w:rsidR="006C3B10" w:rsidRPr="00B00A72" w:rsidRDefault="006C3B10" w:rsidP="006C3B10">
      <w:pPr>
        <w:pStyle w:val="NoSpacing"/>
        <w:jc w:val="both"/>
        <w:rPr>
          <w:rFonts w:ascii="Times New Roman" w:hAnsi="Times New Roman" w:cs="Times New Roman"/>
          <w:sz w:val="22"/>
          <w:szCs w:val="22"/>
          <w:lang w:val="en-US"/>
        </w:rPr>
      </w:pPr>
      <w:r>
        <w:rPr>
          <w:rFonts w:ascii="Times New Roman" w:hAnsi="Times New Roman" w:cs="Times New Roman"/>
          <w:sz w:val="22"/>
          <w:szCs w:val="22"/>
        </w:rPr>
        <w:t xml:space="preserve">LO6: </w:t>
      </w:r>
      <w:r w:rsidRPr="007D5691">
        <w:rPr>
          <w:rFonts w:ascii="Times New Roman" w:hAnsi="Times New Roman" w:cs="Times New Roman"/>
          <w:sz w:val="22"/>
          <w:szCs w:val="22"/>
        </w:rPr>
        <w:t>Develop your own approach to reflective learning and continuing professional development.</w:t>
      </w:r>
    </w:p>
    <w:p w14:paraId="52F8A59E" w14:textId="77777777" w:rsidR="006C3B10" w:rsidRPr="00981872" w:rsidRDefault="006C3B10" w:rsidP="006C3B10">
      <w:pPr>
        <w:rPr>
          <w:rFonts w:cs="Arial"/>
          <w:b/>
          <w:bCs/>
        </w:rPr>
      </w:pPr>
      <w:r w:rsidRPr="00981872">
        <w:rPr>
          <w:rFonts w:cs="Arial"/>
          <w:b/>
          <w:bCs/>
        </w:rPr>
        <w:t>INDICATIVE CONTENT</w:t>
      </w:r>
    </w:p>
    <w:p w14:paraId="52F8A59F" w14:textId="77777777" w:rsidR="006C3B10" w:rsidRDefault="006C3B10" w:rsidP="006C3B10">
      <w:pPr>
        <w:rPr>
          <w:rFonts w:cs="Arial"/>
          <w:i/>
          <w:iCs/>
          <w:color w:val="FF0000"/>
        </w:rPr>
      </w:pPr>
    </w:p>
    <w:p w14:paraId="52F8A5A0" w14:textId="77777777" w:rsidR="006C3B10" w:rsidRPr="0086591A" w:rsidRDefault="006C3B10" w:rsidP="006C3B10">
      <w:pPr>
        <w:jc w:val="both"/>
        <w:rPr>
          <w:rFonts w:ascii="Times New Roman" w:eastAsia="Arial Unicode MS" w:hAnsi="Times New Roman"/>
          <w:sz w:val="24"/>
          <w:szCs w:val="24"/>
        </w:rPr>
      </w:pPr>
      <w:r w:rsidRPr="0086591A">
        <w:rPr>
          <w:rFonts w:ascii="Times New Roman" w:eastAsia="Arial Unicode MS" w:hAnsi="Times New Roman"/>
          <w:sz w:val="24"/>
          <w:szCs w:val="24"/>
        </w:rPr>
        <w:t>The indicative content of the module includes:-</w:t>
      </w:r>
    </w:p>
    <w:p w14:paraId="52F8A5A1" w14:textId="77777777" w:rsidR="006C3B10" w:rsidRPr="008968BA" w:rsidRDefault="006C3B10" w:rsidP="006C3B10">
      <w:pPr>
        <w:pStyle w:val="ListParagraph"/>
        <w:numPr>
          <w:ilvl w:val="0"/>
          <w:numId w:val="1"/>
        </w:numPr>
        <w:jc w:val="both"/>
        <w:rPr>
          <w:shd w:val="clear" w:color="auto" w:fill="FFFFFF"/>
        </w:rPr>
      </w:pPr>
      <w:r w:rsidRPr="008968BA">
        <w:t>Theory and skills in the areas of: individual learning and development; effective managerial practice; personal, interpersonal and group skills</w:t>
      </w:r>
      <w:r w:rsidRPr="008968BA">
        <w:rPr>
          <w:shd w:val="clear" w:color="auto" w:fill="FFFFFF"/>
        </w:rPr>
        <w:t xml:space="preserve">. </w:t>
      </w:r>
    </w:p>
    <w:p w14:paraId="52F8A5A2" w14:textId="77777777" w:rsidR="006C3B10" w:rsidRPr="00DE002A" w:rsidRDefault="006C3B10" w:rsidP="006C3B10">
      <w:pPr>
        <w:pStyle w:val="ListParagraph"/>
        <w:numPr>
          <w:ilvl w:val="0"/>
          <w:numId w:val="1"/>
        </w:numPr>
        <w:jc w:val="both"/>
        <w:rPr>
          <w:shd w:val="clear" w:color="auto" w:fill="FFFFFF"/>
        </w:rPr>
      </w:pPr>
      <w:r w:rsidRPr="008968BA">
        <w:t xml:space="preserve">Developing self-awareness </w:t>
      </w:r>
    </w:p>
    <w:p w14:paraId="52F8A5A3" w14:textId="77777777" w:rsidR="006C3B10" w:rsidRPr="00DE002A" w:rsidRDefault="006C3B10" w:rsidP="006C3B10">
      <w:pPr>
        <w:pStyle w:val="ListParagraph"/>
        <w:numPr>
          <w:ilvl w:val="0"/>
          <w:numId w:val="1"/>
        </w:numPr>
        <w:jc w:val="both"/>
        <w:rPr>
          <w:shd w:val="clear" w:color="auto" w:fill="FFFFFF"/>
        </w:rPr>
      </w:pPr>
      <w:r w:rsidRPr="008968BA">
        <w:t xml:space="preserve">Personal effectiveness </w:t>
      </w:r>
    </w:p>
    <w:p w14:paraId="52F8A5A4" w14:textId="77777777" w:rsidR="006C3B10" w:rsidRPr="008968BA" w:rsidRDefault="006C3B10" w:rsidP="006C3B10">
      <w:pPr>
        <w:pStyle w:val="ListParagraph"/>
        <w:numPr>
          <w:ilvl w:val="0"/>
          <w:numId w:val="1"/>
        </w:numPr>
        <w:jc w:val="both"/>
        <w:rPr>
          <w:shd w:val="clear" w:color="auto" w:fill="FFFFFF"/>
        </w:rPr>
      </w:pPr>
      <w:r w:rsidRPr="008968BA">
        <w:t>Reflective learning</w:t>
      </w:r>
    </w:p>
    <w:p w14:paraId="52F8A5A5" w14:textId="77777777" w:rsidR="006C3B10" w:rsidRPr="008968BA" w:rsidRDefault="006C3B10" w:rsidP="006C3B10">
      <w:pPr>
        <w:pStyle w:val="ListParagraph"/>
        <w:numPr>
          <w:ilvl w:val="0"/>
          <w:numId w:val="1"/>
        </w:numPr>
        <w:spacing w:after="150"/>
        <w:jc w:val="both"/>
        <w:rPr>
          <w:color w:val="222222"/>
          <w:lang w:val="en-US"/>
        </w:rPr>
      </w:pPr>
      <w:r w:rsidRPr="008968BA">
        <w:rPr>
          <w:color w:val="222222"/>
          <w:lang w:val="en-US"/>
        </w:rPr>
        <w:t>Personal skills assessment;</w:t>
      </w:r>
    </w:p>
    <w:p w14:paraId="52F8A5A6" w14:textId="77777777" w:rsidR="006C3B10" w:rsidRDefault="006C3B10" w:rsidP="006C3B10">
      <w:pPr>
        <w:pStyle w:val="ListParagraph"/>
        <w:numPr>
          <w:ilvl w:val="0"/>
          <w:numId w:val="1"/>
        </w:numPr>
        <w:spacing w:after="150"/>
        <w:jc w:val="both"/>
        <w:rPr>
          <w:color w:val="222222"/>
          <w:lang w:val="en-US"/>
        </w:rPr>
      </w:pPr>
      <w:r>
        <w:rPr>
          <w:color w:val="222222"/>
          <w:lang w:val="en-US"/>
        </w:rPr>
        <w:t>Personal development planning</w:t>
      </w:r>
    </w:p>
    <w:p w14:paraId="52F8A5A7" w14:textId="77777777" w:rsidR="006C3B10" w:rsidRDefault="006C3B10" w:rsidP="00D96429">
      <w:pPr>
        <w:pStyle w:val="ListParagraph"/>
        <w:numPr>
          <w:ilvl w:val="1"/>
          <w:numId w:val="1"/>
        </w:numPr>
        <w:spacing w:after="150"/>
        <w:jc w:val="both"/>
        <w:rPr>
          <w:color w:val="222222"/>
          <w:lang w:val="en-US"/>
        </w:rPr>
      </w:pPr>
      <w:r>
        <w:rPr>
          <w:color w:val="222222"/>
          <w:lang w:val="en-US"/>
        </w:rPr>
        <w:t>Presentation skills</w:t>
      </w:r>
    </w:p>
    <w:p w14:paraId="52F8A5A8" w14:textId="77777777" w:rsidR="006C3B10" w:rsidRDefault="006C3B10" w:rsidP="00D96429">
      <w:pPr>
        <w:pStyle w:val="ListParagraph"/>
        <w:numPr>
          <w:ilvl w:val="1"/>
          <w:numId w:val="1"/>
        </w:numPr>
        <w:spacing w:after="150"/>
        <w:jc w:val="both"/>
        <w:rPr>
          <w:color w:val="222222"/>
          <w:lang w:val="en-US"/>
        </w:rPr>
      </w:pPr>
      <w:r>
        <w:rPr>
          <w:color w:val="222222"/>
          <w:lang w:val="en-US"/>
        </w:rPr>
        <w:t>Time management</w:t>
      </w:r>
    </w:p>
    <w:p w14:paraId="52F8A5A9" w14:textId="77777777" w:rsidR="006C3B10" w:rsidRDefault="006C3B10" w:rsidP="00D96429">
      <w:pPr>
        <w:pStyle w:val="ListParagraph"/>
        <w:numPr>
          <w:ilvl w:val="1"/>
          <w:numId w:val="1"/>
        </w:numPr>
        <w:spacing w:after="150"/>
        <w:jc w:val="both"/>
        <w:rPr>
          <w:color w:val="222222"/>
          <w:lang w:val="en-US"/>
        </w:rPr>
      </w:pPr>
      <w:r>
        <w:rPr>
          <w:color w:val="222222"/>
          <w:lang w:val="en-US"/>
        </w:rPr>
        <w:t>Stress management</w:t>
      </w:r>
    </w:p>
    <w:p w14:paraId="52F8A5AA" w14:textId="77777777" w:rsidR="006C3B10" w:rsidRPr="008968BA" w:rsidRDefault="006C3B10" w:rsidP="00D96429">
      <w:pPr>
        <w:pStyle w:val="ListParagraph"/>
        <w:numPr>
          <w:ilvl w:val="1"/>
          <w:numId w:val="1"/>
        </w:numPr>
        <w:spacing w:after="150"/>
        <w:jc w:val="both"/>
        <w:rPr>
          <w:color w:val="222222"/>
          <w:lang w:val="en-US"/>
        </w:rPr>
      </w:pPr>
      <w:r>
        <w:rPr>
          <w:color w:val="222222"/>
          <w:lang w:val="en-US"/>
        </w:rPr>
        <w:t>Goal setting</w:t>
      </w:r>
    </w:p>
    <w:p w14:paraId="52F8A5AB" w14:textId="77777777" w:rsidR="006C3B10" w:rsidRDefault="006C3B10" w:rsidP="006C3B10">
      <w:pPr>
        <w:rPr>
          <w:rFonts w:cs="Arial"/>
          <w:b/>
        </w:rPr>
      </w:pPr>
    </w:p>
    <w:p w14:paraId="52F8A5AC" w14:textId="77777777" w:rsidR="006C3B10" w:rsidRDefault="006C3B10" w:rsidP="006C3B10">
      <w:pPr>
        <w:rPr>
          <w:rFonts w:cs="Arial"/>
        </w:rPr>
      </w:pPr>
      <w:r>
        <w:rPr>
          <w:rFonts w:cs="Arial"/>
          <w:b/>
        </w:rPr>
        <w:t>LEARNING AND TEACHING METHODS</w:t>
      </w:r>
    </w:p>
    <w:p w14:paraId="52F8A5AD" w14:textId="77777777" w:rsidR="006C3B10" w:rsidRPr="00650DB6" w:rsidRDefault="006C3B10" w:rsidP="006C3B10">
      <w:pPr>
        <w:pStyle w:val="Heading2"/>
        <w:ind w:left="78"/>
        <w:jc w:val="both"/>
        <w:rPr>
          <w:rFonts w:ascii="Times New Roman" w:hAnsi="Times New Roman"/>
          <w:b w:val="0"/>
          <w:bCs w:val="0"/>
          <w:color w:val="000000" w:themeColor="text1"/>
          <w:szCs w:val="22"/>
        </w:rPr>
      </w:pPr>
      <w:r w:rsidRPr="00650DB6">
        <w:rPr>
          <w:rFonts w:ascii="Times New Roman" w:hAnsi="Times New Roman"/>
          <w:color w:val="000000" w:themeColor="text1"/>
          <w:szCs w:val="22"/>
        </w:rPr>
        <w:t>A variety of teaching approaches is used, including lectures, seminars, case analysis, teamwork and extensive use of electronic resources for guided research.</w:t>
      </w:r>
    </w:p>
    <w:p w14:paraId="52F8A5AE" w14:textId="77777777" w:rsidR="006C3B10" w:rsidRDefault="006C3B10" w:rsidP="006C3B10">
      <w:pPr>
        <w:rPr>
          <w:rFonts w:cs="Arial"/>
        </w:rPr>
      </w:pPr>
    </w:p>
    <w:p w14:paraId="52F8A5AF" w14:textId="77777777" w:rsidR="006C3B10" w:rsidRDefault="006C3B10" w:rsidP="006C3B10">
      <w:pPr>
        <w:rPr>
          <w:rFonts w:cs="Arial"/>
          <w:b/>
          <w:bCs/>
        </w:rPr>
      </w:pPr>
      <w:r>
        <w:rPr>
          <w:rFonts w:cs="Arial"/>
          <w:b/>
          <w:bCs/>
        </w:rPr>
        <w:t>EMPLOYABILITY SKILLS</w:t>
      </w:r>
    </w:p>
    <w:p w14:paraId="52F8A5B0" w14:textId="77777777" w:rsidR="006C3B10" w:rsidRPr="0086591A" w:rsidRDefault="006C3B10" w:rsidP="006C3B10">
      <w:pPr>
        <w:jc w:val="both"/>
        <w:rPr>
          <w:rFonts w:ascii="Times New Roman" w:hAnsi="Times New Roman"/>
        </w:rPr>
      </w:pPr>
      <w:r w:rsidRPr="0086591A">
        <w:rPr>
          <w:rFonts w:ascii="Times New Roman" w:hAnsi="Times New Roman"/>
        </w:rPr>
        <w:lastRenderedPageBreak/>
        <w:t>On successful completion of this module, a student will have had opportunities to demonstrate achievement of the following Employability Skills:</w:t>
      </w:r>
    </w:p>
    <w:p w14:paraId="52F8A5B1"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C1: </w:t>
      </w:r>
      <w:r w:rsidRPr="00DE002A">
        <w:rPr>
          <w:rFonts w:ascii="Times New Roman" w:hAnsi="Times New Roman"/>
        </w:rPr>
        <w:tab/>
        <w:t>Reading, selecting, analysing and synthesising information from a range of sources</w:t>
      </w:r>
    </w:p>
    <w:p w14:paraId="52F8A5B2"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C2: </w:t>
      </w:r>
      <w:r w:rsidRPr="00DE002A">
        <w:rPr>
          <w:rFonts w:ascii="Times New Roman" w:hAnsi="Times New Roman"/>
        </w:rPr>
        <w:tab/>
        <w:t>Producing different types of document</w:t>
      </w:r>
    </w:p>
    <w:p w14:paraId="52F8A5B3"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C3: </w:t>
      </w:r>
      <w:r w:rsidRPr="00DE002A">
        <w:rPr>
          <w:rFonts w:ascii="Times New Roman" w:hAnsi="Times New Roman"/>
        </w:rPr>
        <w:tab/>
        <w:t>Participating in discussions</w:t>
      </w:r>
    </w:p>
    <w:p w14:paraId="52F8A5B4"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C4: </w:t>
      </w:r>
      <w:r w:rsidRPr="00DE002A">
        <w:rPr>
          <w:rFonts w:ascii="Times New Roman" w:hAnsi="Times New Roman"/>
        </w:rPr>
        <w:tab/>
        <w:t>Making presentations</w:t>
      </w:r>
    </w:p>
    <w:p w14:paraId="52F8A5B5"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LP1: </w:t>
      </w:r>
      <w:r w:rsidRPr="00DE002A">
        <w:rPr>
          <w:rFonts w:ascii="Times New Roman" w:hAnsi="Times New Roman"/>
        </w:rPr>
        <w:tab/>
        <w:t>Develop a strategy for using a range of skills to improve own learning and performance</w:t>
      </w:r>
    </w:p>
    <w:p w14:paraId="52F8A5B6"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IT1: </w:t>
      </w:r>
      <w:r w:rsidRPr="00DE002A">
        <w:rPr>
          <w:rFonts w:ascii="Times New Roman" w:hAnsi="Times New Roman"/>
        </w:rPr>
        <w:tab/>
        <w:t>Preparing information</w:t>
      </w:r>
    </w:p>
    <w:p w14:paraId="52F8A5B7"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IT2: </w:t>
      </w:r>
      <w:r w:rsidRPr="00DE002A">
        <w:rPr>
          <w:rFonts w:ascii="Times New Roman" w:hAnsi="Times New Roman"/>
        </w:rPr>
        <w:tab/>
        <w:t>Processing and presenting information</w:t>
      </w:r>
    </w:p>
    <w:p w14:paraId="52F8A5B8"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LP2: </w:t>
      </w:r>
      <w:r w:rsidRPr="00DE002A">
        <w:rPr>
          <w:rFonts w:ascii="Times New Roman" w:hAnsi="Times New Roman"/>
        </w:rPr>
        <w:tab/>
        <w:t>Review and Critically Reflect on Progress</w:t>
      </w:r>
    </w:p>
    <w:p w14:paraId="52F8A5B9"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LP3: </w:t>
      </w:r>
      <w:r w:rsidRPr="00DE002A">
        <w:rPr>
          <w:rFonts w:ascii="Times New Roman" w:hAnsi="Times New Roman"/>
        </w:rPr>
        <w:tab/>
        <w:t>Evaluate overall effectiveness of strategy and present achievements</w:t>
      </w:r>
    </w:p>
    <w:p w14:paraId="52F8A5BA"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PS1: </w:t>
      </w:r>
      <w:r w:rsidRPr="00DE002A">
        <w:rPr>
          <w:rFonts w:ascii="Times New Roman" w:hAnsi="Times New Roman"/>
        </w:rPr>
        <w:tab/>
        <w:t>Develop a strategy for using skills in problem solving, for a short-term routine problem and a longer term extended problem.</w:t>
      </w:r>
    </w:p>
    <w:p w14:paraId="52F8A5BB"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S1: </w:t>
      </w:r>
      <w:r w:rsidRPr="00DE002A">
        <w:rPr>
          <w:rFonts w:ascii="Times New Roman" w:hAnsi="Times New Roman"/>
        </w:rPr>
        <w:tab/>
        <w:t>Plan personal work schedules</w:t>
      </w:r>
    </w:p>
    <w:p w14:paraId="52F8A5BC"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S2: </w:t>
      </w:r>
      <w:r w:rsidRPr="00DE002A">
        <w:rPr>
          <w:rFonts w:ascii="Times New Roman" w:hAnsi="Times New Roman"/>
        </w:rPr>
        <w:tab/>
        <w:t>Monitor and manage progress on prolonged tasks</w:t>
      </w:r>
    </w:p>
    <w:p w14:paraId="52F8A5BD"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 xml:space="preserve">S3: </w:t>
      </w:r>
      <w:r w:rsidRPr="00DE002A">
        <w:rPr>
          <w:rFonts w:ascii="Times New Roman" w:hAnsi="Times New Roman"/>
        </w:rPr>
        <w:tab/>
        <w:t>Review achievement of objectives and the effectiveness of your own self-management skills</w:t>
      </w:r>
    </w:p>
    <w:p w14:paraId="52F8A5BE" w14:textId="77777777" w:rsidR="006C3B10" w:rsidRPr="00DE002A" w:rsidRDefault="006C3B10" w:rsidP="006C3B10">
      <w:pPr>
        <w:tabs>
          <w:tab w:val="left" w:pos="1418"/>
        </w:tabs>
        <w:ind w:left="1418" w:hanging="851"/>
        <w:jc w:val="both"/>
        <w:rPr>
          <w:rFonts w:ascii="Times New Roman" w:hAnsi="Times New Roman"/>
        </w:rPr>
      </w:pPr>
      <w:r w:rsidRPr="00DE002A">
        <w:rPr>
          <w:rFonts w:ascii="Times New Roman" w:hAnsi="Times New Roman"/>
        </w:rPr>
        <w:t>WWO1:</w:t>
      </w:r>
      <w:r w:rsidRPr="00DE002A">
        <w:rPr>
          <w:rFonts w:ascii="Times New Roman" w:hAnsi="Times New Roman"/>
        </w:rPr>
        <w:tab/>
      </w:r>
      <w:r w:rsidRPr="00DE002A">
        <w:rPr>
          <w:rFonts w:ascii="Times New Roman" w:hAnsi="Times New Roman"/>
        </w:rPr>
        <w:tab/>
        <w:t>Planning activities with others</w:t>
      </w:r>
    </w:p>
    <w:p w14:paraId="52F8A5BF" w14:textId="77777777" w:rsidR="006C3B10" w:rsidRPr="00DE002A" w:rsidRDefault="006C3B10" w:rsidP="006C3B10">
      <w:pPr>
        <w:ind w:left="1418" w:hanging="851"/>
        <w:jc w:val="both"/>
        <w:rPr>
          <w:rFonts w:ascii="Times New Roman" w:hAnsi="Times New Roman"/>
        </w:rPr>
      </w:pPr>
      <w:r w:rsidRPr="00DE002A">
        <w:rPr>
          <w:rFonts w:ascii="Times New Roman" w:hAnsi="Times New Roman"/>
        </w:rPr>
        <w:t>WWO2:</w:t>
      </w:r>
      <w:r w:rsidRPr="00DE002A">
        <w:rPr>
          <w:rFonts w:ascii="Times New Roman" w:hAnsi="Times New Roman"/>
        </w:rPr>
        <w:tab/>
      </w:r>
      <w:r w:rsidRPr="00DE002A">
        <w:rPr>
          <w:rFonts w:ascii="Times New Roman" w:hAnsi="Times New Roman"/>
        </w:rPr>
        <w:tab/>
        <w:t>Working towards identified targets</w:t>
      </w:r>
    </w:p>
    <w:p w14:paraId="52F8A5C0" w14:textId="77777777" w:rsidR="006C3B10" w:rsidRPr="0086591A" w:rsidRDefault="006C3B10" w:rsidP="006C3B10">
      <w:pPr>
        <w:jc w:val="both"/>
        <w:rPr>
          <w:rFonts w:ascii="Times New Roman" w:hAnsi="Times New Roman"/>
        </w:rPr>
      </w:pPr>
    </w:p>
    <w:p w14:paraId="52F8A5C1" w14:textId="77777777" w:rsidR="006C3B10" w:rsidRDefault="006C3B10" w:rsidP="006C3B10">
      <w:pPr>
        <w:rPr>
          <w:rFonts w:cs="Arial"/>
          <w:b/>
        </w:rPr>
      </w:pPr>
      <w:r w:rsidRPr="00536939">
        <w:rPr>
          <w:rFonts w:cs="Arial"/>
          <w:b/>
          <w:highlight w:val="yellow"/>
        </w:rPr>
        <w:t>ASSESSMENT</w:t>
      </w:r>
    </w:p>
    <w:p w14:paraId="52F8A5C2" w14:textId="77777777" w:rsidR="006C3B10" w:rsidRDefault="006C3B10" w:rsidP="006C3B10">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976"/>
        <w:gridCol w:w="1406"/>
        <w:gridCol w:w="1229"/>
        <w:gridCol w:w="1049"/>
      </w:tblGrid>
      <w:tr w:rsidR="006C3B10" w:rsidRPr="009C6B8C" w14:paraId="52F8A5C8" w14:textId="77777777" w:rsidTr="004959B9">
        <w:tc>
          <w:tcPr>
            <w:tcW w:w="1327" w:type="dxa"/>
            <w:shd w:val="clear" w:color="auto" w:fill="auto"/>
            <w:vAlign w:val="center"/>
          </w:tcPr>
          <w:p w14:paraId="52F8A5C3" w14:textId="77777777" w:rsidR="006C3B10" w:rsidRPr="009C6B8C" w:rsidRDefault="006C3B10" w:rsidP="004959B9">
            <w:pPr>
              <w:jc w:val="center"/>
              <w:rPr>
                <w:rFonts w:cs="Arial"/>
                <w:b/>
                <w:bCs/>
              </w:rPr>
            </w:pPr>
            <w:r w:rsidRPr="009C6B8C">
              <w:rPr>
                <w:rFonts w:cs="Arial"/>
                <w:b/>
                <w:bCs/>
              </w:rPr>
              <w:t>Component number</w:t>
            </w:r>
          </w:p>
        </w:tc>
        <w:tc>
          <w:tcPr>
            <w:tcW w:w="1976" w:type="dxa"/>
            <w:shd w:val="clear" w:color="auto" w:fill="auto"/>
            <w:vAlign w:val="center"/>
          </w:tcPr>
          <w:p w14:paraId="52F8A5C4" w14:textId="77777777" w:rsidR="006C3B10" w:rsidRPr="009C6B8C" w:rsidRDefault="006C3B10" w:rsidP="004959B9">
            <w:pPr>
              <w:jc w:val="center"/>
              <w:rPr>
                <w:rFonts w:cs="Arial"/>
                <w:b/>
                <w:bCs/>
              </w:rPr>
            </w:pPr>
            <w:r w:rsidRPr="009C6B8C">
              <w:rPr>
                <w:rFonts w:cs="Arial"/>
                <w:b/>
                <w:bCs/>
              </w:rPr>
              <w:t>Form of assessment</w:t>
            </w:r>
          </w:p>
        </w:tc>
        <w:tc>
          <w:tcPr>
            <w:tcW w:w="1406" w:type="dxa"/>
            <w:shd w:val="clear" w:color="auto" w:fill="auto"/>
            <w:vAlign w:val="center"/>
          </w:tcPr>
          <w:p w14:paraId="52F8A5C5" w14:textId="77777777" w:rsidR="006C3B10" w:rsidRPr="009C6B8C" w:rsidRDefault="006C3B10" w:rsidP="004959B9">
            <w:pPr>
              <w:jc w:val="center"/>
              <w:rPr>
                <w:rFonts w:cs="Arial"/>
                <w:b/>
                <w:bCs/>
              </w:rPr>
            </w:pPr>
            <w:r w:rsidRPr="009C6B8C">
              <w:rPr>
                <w:rFonts w:cs="Arial"/>
                <w:b/>
                <w:bCs/>
              </w:rPr>
              <w:t>Assessment size</w:t>
            </w:r>
          </w:p>
        </w:tc>
        <w:tc>
          <w:tcPr>
            <w:tcW w:w="1229" w:type="dxa"/>
            <w:shd w:val="clear" w:color="auto" w:fill="auto"/>
            <w:vAlign w:val="center"/>
          </w:tcPr>
          <w:p w14:paraId="52F8A5C6" w14:textId="77777777" w:rsidR="006C3B10" w:rsidRPr="009C6B8C" w:rsidRDefault="006C3B10" w:rsidP="004959B9">
            <w:pPr>
              <w:jc w:val="center"/>
              <w:rPr>
                <w:rFonts w:cs="Arial"/>
                <w:b/>
                <w:bCs/>
              </w:rPr>
            </w:pPr>
            <w:r w:rsidRPr="009C6B8C">
              <w:rPr>
                <w:rFonts w:cs="Arial"/>
                <w:b/>
                <w:bCs/>
              </w:rPr>
              <w:t>Weighting (%)</w:t>
            </w:r>
          </w:p>
        </w:tc>
        <w:tc>
          <w:tcPr>
            <w:tcW w:w="1049" w:type="dxa"/>
            <w:vAlign w:val="center"/>
          </w:tcPr>
          <w:p w14:paraId="52F8A5C7" w14:textId="77777777" w:rsidR="006C3B10" w:rsidRPr="009C6B8C" w:rsidRDefault="006C3B10" w:rsidP="004959B9">
            <w:pPr>
              <w:jc w:val="center"/>
              <w:rPr>
                <w:rFonts w:cs="Arial"/>
                <w:b/>
                <w:bCs/>
              </w:rPr>
            </w:pPr>
            <w:r w:rsidRPr="009C6B8C">
              <w:rPr>
                <w:rFonts w:cs="Arial"/>
                <w:b/>
                <w:bCs/>
              </w:rPr>
              <w:t>Core or non-core</w:t>
            </w:r>
          </w:p>
        </w:tc>
      </w:tr>
      <w:tr w:rsidR="006C3B10" w:rsidRPr="009C6B8C" w14:paraId="52F8A5CE" w14:textId="77777777" w:rsidTr="004959B9">
        <w:tc>
          <w:tcPr>
            <w:tcW w:w="1327" w:type="dxa"/>
            <w:shd w:val="clear" w:color="auto" w:fill="auto"/>
            <w:vAlign w:val="center"/>
          </w:tcPr>
          <w:p w14:paraId="52F8A5C9" w14:textId="77777777" w:rsidR="006C3B10" w:rsidRPr="009C6B8C" w:rsidRDefault="006C3B10" w:rsidP="004959B9">
            <w:pPr>
              <w:jc w:val="center"/>
              <w:rPr>
                <w:rFonts w:cs="Arial"/>
              </w:rPr>
            </w:pPr>
            <w:r w:rsidRPr="009C6B8C">
              <w:rPr>
                <w:rFonts w:cs="Arial"/>
              </w:rPr>
              <w:t>1</w:t>
            </w:r>
          </w:p>
        </w:tc>
        <w:tc>
          <w:tcPr>
            <w:tcW w:w="1976" w:type="dxa"/>
            <w:shd w:val="clear" w:color="auto" w:fill="auto"/>
            <w:vAlign w:val="center"/>
          </w:tcPr>
          <w:p w14:paraId="52F8A5CA" w14:textId="77777777" w:rsidR="006C3B10" w:rsidRPr="009C6B8C" w:rsidRDefault="006C3B10" w:rsidP="004959B9">
            <w:pPr>
              <w:jc w:val="center"/>
              <w:rPr>
                <w:rFonts w:cs="Arial"/>
              </w:rPr>
            </w:pPr>
            <w:r w:rsidRPr="009C6B8C">
              <w:rPr>
                <w:rFonts w:cs="Arial"/>
              </w:rPr>
              <w:t xml:space="preserve">Individual </w:t>
            </w:r>
            <w:r>
              <w:rPr>
                <w:rFonts w:cs="Arial"/>
              </w:rPr>
              <w:t>Presentation paper</w:t>
            </w:r>
          </w:p>
        </w:tc>
        <w:tc>
          <w:tcPr>
            <w:tcW w:w="1406" w:type="dxa"/>
            <w:shd w:val="clear" w:color="auto" w:fill="auto"/>
            <w:vAlign w:val="center"/>
          </w:tcPr>
          <w:p w14:paraId="52F8A5CB" w14:textId="77777777" w:rsidR="006C3B10" w:rsidRPr="009C6B8C" w:rsidRDefault="006C3B10" w:rsidP="004959B9">
            <w:pPr>
              <w:jc w:val="center"/>
              <w:rPr>
                <w:rFonts w:cs="Arial"/>
              </w:rPr>
            </w:pPr>
            <w:r>
              <w:rPr>
                <w:rFonts w:cs="Arial"/>
              </w:rPr>
              <w:t xml:space="preserve">1000 </w:t>
            </w:r>
            <w:r w:rsidRPr="009C6B8C">
              <w:rPr>
                <w:rFonts w:cs="Arial"/>
              </w:rPr>
              <w:t>words</w:t>
            </w:r>
          </w:p>
        </w:tc>
        <w:tc>
          <w:tcPr>
            <w:tcW w:w="1229" w:type="dxa"/>
            <w:shd w:val="clear" w:color="auto" w:fill="auto"/>
            <w:vAlign w:val="center"/>
          </w:tcPr>
          <w:p w14:paraId="52F8A5CC" w14:textId="77777777" w:rsidR="006C3B10" w:rsidRPr="009C6B8C" w:rsidRDefault="006C3B10" w:rsidP="004959B9">
            <w:pPr>
              <w:jc w:val="center"/>
              <w:rPr>
                <w:rFonts w:cs="Arial"/>
              </w:rPr>
            </w:pPr>
            <w:r w:rsidRPr="009C6B8C">
              <w:rPr>
                <w:rFonts w:cs="Arial"/>
              </w:rPr>
              <w:t>50</w:t>
            </w:r>
          </w:p>
        </w:tc>
        <w:tc>
          <w:tcPr>
            <w:tcW w:w="1049" w:type="dxa"/>
          </w:tcPr>
          <w:p w14:paraId="52F8A5CD" w14:textId="77777777" w:rsidR="006C3B10" w:rsidRPr="009C6B8C" w:rsidRDefault="006C3B10" w:rsidP="004959B9">
            <w:pPr>
              <w:jc w:val="center"/>
              <w:rPr>
                <w:rFonts w:cs="Arial"/>
              </w:rPr>
            </w:pPr>
            <w:r w:rsidRPr="009C6B8C">
              <w:rPr>
                <w:rFonts w:cs="Arial"/>
              </w:rPr>
              <w:t>Core</w:t>
            </w:r>
          </w:p>
        </w:tc>
      </w:tr>
      <w:tr w:rsidR="006C3B10" w:rsidRPr="00115116" w14:paraId="52F8A5D4" w14:textId="77777777" w:rsidTr="004959B9">
        <w:tc>
          <w:tcPr>
            <w:tcW w:w="1327" w:type="dxa"/>
            <w:shd w:val="clear" w:color="auto" w:fill="auto"/>
            <w:vAlign w:val="center"/>
          </w:tcPr>
          <w:p w14:paraId="52F8A5CF" w14:textId="77777777" w:rsidR="006C3B10" w:rsidRPr="009C6B8C" w:rsidRDefault="006C3B10" w:rsidP="004959B9">
            <w:pPr>
              <w:jc w:val="center"/>
              <w:rPr>
                <w:rFonts w:cs="Arial"/>
              </w:rPr>
            </w:pPr>
            <w:r w:rsidRPr="009C6B8C">
              <w:rPr>
                <w:rFonts w:cs="Arial"/>
              </w:rPr>
              <w:t>2</w:t>
            </w:r>
          </w:p>
        </w:tc>
        <w:tc>
          <w:tcPr>
            <w:tcW w:w="1976" w:type="dxa"/>
            <w:shd w:val="clear" w:color="auto" w:fill="auto"/>
            <w:vAlign w:val="center"/>
          </w:tcPr>
          <w:p w14:paraId="52F8A5D0" w14:textId="77777777" w:rsidR="006C3B10" w:rsidRPr="009C6B8C" w:rsidRDefault="006C3B10" w:rsidP="004959B9">
            <w:pPr>
              <w:jc w:val="center"/>
              <w:rPr>
                <w:rFonts w:cs="Arial"/>
              </w:rPr>
            </w:pPr>
            <w:r w:rsidRPr="009C6B8C">
              <w:rPr>
                <w:rFonts w:cs="Arial"/>
              </w:rPr>
              <w:t>Individual Reflective Journal</w:t>
            </w:r>
          </w:p>
        </w:tc>
        <w:tc>
          <w:tcPr>
            <w:tcW w:w="1406" w:type="dxa"/>
            <w:shd w:val="clear" w:color="auto" w:fill="auto"/>
            <w:vAlign w:val="center"/>
          </w:tcPr>
          <w:p w14:paraId="52F8A5D1" w14:textId="77777777" w:rsidR="006C3B10" w:rsidRPr="009C6B8C" w:rsidRDefault="006C3B10" w:rsidP="004959B9">
            <w:pPr>
              <w:jc w:val="center"/>
              <w:rPr>
                <w:rFonts w:cs="Arial"/>
              </w:rPr>
            </w:pPr>
            <w:r>
              <w:rPr>
                <w:rFonts w:cs="Arial"/>
              </w:rPr>
              <w:t xml:space="preserve">1500 </w:t>
            </w:r>
            <w:r w:rsidRPr="009C6B8C">
              <w:rPr>
                <w:rFonts w:cs="Arial"/>
              </w:rPr>
              <w:t>words</w:t>
            </w:r>
          </w:p>
        </w:tc>
        <w:tc>
          <w:tcPr>
            <w:tcW w:w="1229" w:type="dxa"/>
            <w:shd w:val="clear" w:color="auto" w:fill="auto"/>
            <w:vAlign w:val="center"/>
          </w:tcPr>
          <w:p w14:paraId="52F8A5D2" w14:textId="77777777" w:rsidR="006C3B10" w:rsidRPr="009C6B8C" w:rsidRDefault="006C3B10" w:rsidP="004959B9">
            <w:pPr>
              <w:jc w:val="center"/>
              <w:rPr>
                <w:rFonts w:cs="Arial"/>
              </w:rPr>
            </w:pPr>
            <w:r w:rsidRPr="009C6B8C">
              <w:rPr>
                <w:rFonts w:cs="Arial"/>
              </w:rPr>
              <w:t>50</w:t>
            </w:r>
          </w:p>
        </w:tc>
        <w:tc>
          <w:tcPr>
            <w:tcW w:w="1049" w:type="dxa"/>
          </w:tcPr>
          <w:p w14:paraId="52F8A5D3" w14:textId="77777777" w:rsidR="006C3B10" w:rsidRPr="00115116" w:rsidRDefault="006C3B10" w:rsidP="004959B9">
            <w:pPr>
              <w:jc w:val="center"/>
              <w:rPr>
                <w:rFonts w:cs="Arial"/>
              </w:rPr>
            </w:pPr>
            <w:r w:rsidRPr="009C6B8C">
              <w:rPr>
                <w:rFonts w:cs="Arial"/>
              </w:rPr>
              <w:t>Core</w:t>
            </w:r>
          </w:p>
        </w:tc>
      </w:tr>
    </w:tbl>
    <w:p w14:paraId="52F8A5D5" w14:textId="77777777" w:rsidR="006C3B10" w:rsidRDefault="006C3B10" w:rsidP="006C3B10">
      <w:pPr>
        <w:rPr>
          <w:rFonts w:cs="Arial"/>
        </w:rPr>
      </w:pPr>
    </w:p>
    <w:p w14:paraId="52F8A5D6" w14:textId="77777777" w:rsidR="006C3B10" w:rsidRDefault="006C3B10" w:rsidP="006C3B10">
      <w:pPr>
        <w:rPr>
          <w:rFonts w:cs="Arial"/>
        </w:rPr>
      </w:pPr>
    </w:p>
    <w:p w14:paraId="52F8A5D7" w14:textId="77777777" w:rsidR="006C3B10" w:rsidRDefault="006C3B10" w:rsidP="006C3B10">
      <w:pPr>
        <w:rPr>
          <w:rFonts w:cs="Arial"/>
        </w:rPr>
      </w:pPr>
    </w:p>
    <w:p w14:paraId="52F8A5D8" w14:textId="77777777" w:rsidR="006C3B10" w:rsidRDefault="006C3B10" w:rsidP="006C3B10">
      <w:pPr>
        <w:rPr>
          <w:rFonts w:cs="Arial"/>
        </w:rPr>
      </w:pPr>
    </w:p>
    <w:p w14:paraId="52F8A5D9" w14:textId="77777777" w:rsidR="006C3B10" w:rsidRPr="005859D7" w:rsidRDefault="006C3B10" w:rsidP="006C3B10">
      <w:pPr>
        <w:rPr>
          <w:rFonts w:cs="Arial"/>
        </w:rPr>
      </w:pPr>
      <w:r>
        <w:rPr>
          <w:rFonts w:cs="Arial"/>
          <w:b/>
          <w:bCs/>
        </w:rPr>
        <w:t>INDICATIVE READING</w:t>
      </w:r>
    </w:p>
    <w:p w14:paraId="52F8A5DA" w14:textId="77777777" w:rsidR="006C3B10" w:rsidRDefault="006C3B10" w:rsidP="006C3B10">
      <w:pPr>
        <w:rPr>
          <w:rFonts w:cs="Arial"/>
          <w:i/>
          <w:iCs/>
          <w:color w:val="FF0000"/>
        </w:rPr>
      </w:pPr>
    </w:p>
    <w:p w14:paraId="52F8A5DB" w14:textId="77777777" w:rsidR="006C3B10" w:rsidRPr="00C90BAF" w:rsidRDefault="006C3B10" w:rsidP="006C3B10">
      <w:pPr>
        <w:pStyle w:val="ListParagraph"/>
        <w:numPr>
          <w:ilvl w:val="0"/>
          <w:numId w:val="2"/>
        </w:numPr>
        <w:jc w:val="both"/>
        <w:rPr>
          <w:szCs w:val="22"/>
        </w:rPr>
      </w:pPr>
      <w:proofErr w:type="spellStart"/>
      <w:r w:rsidRPr="00C90BAF">
        <w:rPr>
          <w:szCs w:val="22"/>
        </w:rPr>
        <w:t>Bassot</w:t>
      </w:r>
      <w:proofErr w:type="spellEnd"/>
      <w:r w:rsidRPr="00C90BAF">
        <w:rPr>
          <w:szCs w:val="22"/>
        </w:rPr>
        <w:t xml:space="preserve">, B. (2013). </w:t>
      </w:r>
      <w:r w:rsidRPr="00C90BAF">
        <w:rPr>
          <w:i/>
          <w:szCs w:val="22"/>
        </w:rPr>
        <w:t>The Reflective Journal</w:t>
      </w:r>
      <w:r w:rsidRPr="00C90BAF">
        <w:rPr>
          <w:szCs w:val="22"/>
        </w:rPr>
        <w:t xml:space="preserve">. Palgrave Macmillan </w:t>
      </w:r>
    </w:p>
    <w:p w14:paraId="52F8A5DC" w14:textId="77777777" w:rsidR="006C3B10" w:rsidRPr="00C90BAF" w:rsidRDefault="006C3B10" w:rsidP="006C3B10">
      <w:pPr>
        <w:pStyle w:val="ListParagraph"/>
        <w:numPr>
          <w:ilvl w:val="0"/>
          <w:numId w:val="2"/>
        </w:numPr>
        <w:jc w:val="both"/>
        <w:rPr>
          <w:szCs w:val="22"/>
          <w:lang w:val="en-US"/>
        </w:rPr>
      </w:pPr>
      <w:r w:rsidRPr="00C90BAF">
        <w:rPr>
          <w:szCs w:val="22"/>
        </w:rPr>
        <w:t xml:space="preserve">Bolton, G. (2014). </w:t>
      </w:r>
      <w:r w:rsidRPr="00C90BAF">
        <w:rPr>
          <w:i/>
          <w:szCs w:val="22"/>
        </w:rPr>
        <w:t>Reflective Practice: writing and professional development</w:t>
      </w:r>
      <w:r w:rsidRPr="00C90BAF">
        <w:rPr>
          <w:szCs w:val="22"/>
        </w:rPr>
        <w:t>. (3rd ed). London: SAGE.</w:t>
      </w:r>
    </w:p>
    <w:p w14:paraId="52F8A5DD" w14:textId="77777777" w:rsidR="006C3B10" w:rsidRPr="00C90BAF" w:rsidRDefault="006C3B10" w:rsidP="006C3B10">
      <w:pPr>
        <w:pStyle w:val="ListParagraph"/>
        <w:numPr>
          <w:ilvl w:val="0"/>
          <w:numId w:val="2"/>
        </w:numPr>
        <w:jc w:val="both"/>
        <w:rPr>
          <w:szCs w:val="22"/>
        </w:rPr>
      </w:pPr>
      <w:r w:rsidRPr="00C90BAF">
        <w:rPr>
          <w:szCs w:val="22"/>
        </w:rPr>
        <w:t xml:space="preserve">Brockbank, A. and McGill, I. (2006) </w:t>
      </w:r>
      <w:r w:rsidRPr="00C90BAF">
        <w:rPr>
          <w:i/>
          <w:szCs w:val="22"/>
        </w:rPr>
        <w:t>Facilitating Reflective Learning Through Mentoring and Coaching</w:t>
      </w:r>
      <w:r w:rsidRPr="00C90BAF">
        <w:rPr>
          <w:szCs w:val="22"/>
        </w:rPr>
        <w:t xml:space="preserve">. Kogan Page, International </w:t>
      </w:r>
    </w:p>
    <w:p w14:paraId="52F8A5DE" w14:textId="77777777" w:rsidR="006C3B10" w:rsidRPr="00C90BAF" w:rsidRDefault="006C3B10" w:rsidP="006C3B10">
      <w:pPr>
        <w:pStyle w:val="ListParagraph"/>
        <w:numPr>
          <w:ilvl w:val="0"/>
          <w:numId w:val="2"/>
        </w:numPr>
        <w:jc w:val="both"/>
        <w:rPr>
          <w:szCs w:val="22"/>
        </w:rPr>
      </w:pPr>
      <w:r w:rsidRPr="00C90BAF">
        <w:rPr>
          <w:szCs w:val="22"/>
        </w:rPr>
        <w:t xml:space="preserve">Cottrell, S. (2010) </w:t>
      </w:r>
      <w:r w:rsidRPr="00C90BAF">
        <w:rPr>
          <w:i/>
          <w:szCs w:val="22"/>
        </w:rPr>
        <w:t>Skills for Success: The Personal Development Planning Handbook</w:t>
      </w:r>
      <w:r w:rsidRPr="00C90BAF">
        <w:rPr>
          <w:szCs w:val="22"/>
        </w:rPr>
        <w:t xml:space="preserve"> Palgrave Macmillan </w:t>
      </w:r>
    </w:p>
    <w:p w14:paraId="52F8A5DF" w14:textId="77777777" w:rsidR="006C3B10" w:rsidRPr="00C90BAF" w:rsidRDefault="006C3B10" w:rsidP="006C3B10">
      <w:pPr>
        <w:pStyle w:val="ListParagraph"/>
        <w:numPr>
          <w:ilvl w:val="0"/>
          <w:numId w:val="2"/>
        </w:numPr>
        <w:jc w:val="both"/>
        <w:rPr>
          <w:szCs w:val="22"/>
        </w:rPr>
      </w:pPr>
      <w:proofErr w:type="spellStart"/>
      <w:r w:rsidRPr="00C90BAF">
        <w:rPr>
          <w:szCs w:val="22"/>
        </w:rPr>
        <w:t>Fraher</w:t>
      </w:r>
      <w:proofErr w:type="spellEnd"/>
      <w:r w:rsidRPr="00C90BAF">
        <w:rPr>
          <w:szCs w:val="22"/>
        </w:rPr>
        <w:t xml:space="preserve"> A L (2011) </w:t>
      </w:r>
      <w:r w:rsidRPr="00C90BAF">
        <w:rPr>
          <w:i/>
          <w:szCs w:val="22"/>
        </w:rPr>
        <w:t>Thinking through crisis: Improving teamwork and leadership in high-risk fields</w:t>
      </w:r>
      <w:r w:rsidRPr="00C90BAF">
        <w:rPr>
          <w:szCs w:val="22"/>
        </w:rPr>
        <w:t xml:space="preserve"> Cambridge: Cambridge University Press </w:t>
      </w:r>
    </w:p>
    <w:p w14:paraId="52F8A5E0" w14:textId="77777777" w:rsidR="006C3B10" w:rsidRPr="00C90BAF" w:rsidRDefault="006C3B10" w:rsidP="006C3B10">
      <w:pPr>
        <w:pStyle w:val="ListParagraph"/>
        <w:numPr>
          <w:ilvl w:val="0"/>
          <w:numId w:val="2"/>
        </w:numPr>
        <w:jc w:val="both"/>
        <w:rPr>
          <w:szCs w:val="22"/>
        </w:rPr>
      </w:pPr>
      <w:r w:rsidRPr="00C90BAF">
        <w:rPr>
          <w:szCs w:val="22"/>
        </w:rPr>
        <w:t xml:space="preserve">Friedman, A. (2011). </w:t>
      </w:r>
      <w:r w:rsidRPr="00C90BAF">
        <w:rPr>
          <w:i/>
          <w:szCs w:val="22"/>
        </w:rPr>
        <w:t>Continuing Professional Development: lifelong learning of millions</w:t>
      </w:r>
      <w:r w:rsidRPr="00C90BAF">
        <w:rPr>
          <w:szCs w:val="22"/>
        </w:rPr>
        <w:t xml:space="preserve">. London: Routledge. </w:t>
      </w:r>
    </w:p>
    <w:p w14:paraId="52F8A5E1" w14:textId="77777777" w:rsidR="006C3B10" w:rsidRPr="00C90BAF" w:rsidRDefault="006C3B10" w:rsidP="006C3B10">
      <w:pPr>
        <w:pStyle w:val="ListParagraph"/>
        <w:numPr>
          <w:ilvl w:val="0"/>
          <w:numId w:val="2"/>
        </w:numPr>
        <w:jc w:val="both"/>
        <w:rPr>
          <w:szCs w:val="22"/>
          <w:lang w:val="en-US"/>
        </w:rPr>
      </w:pPr>
      <w:proofErr w:type="spellStart"/>
      <w:r w:rsidRPr="00C90BAF">
        <w:rPr>
          <w:szCs w:val="22"/>
        </w:rPr>
        <w:t>Helyer</w:t>
      </w:r>
      <w:proofErr w:type="spellEnd"/>
      <w:r w:rsidRPr="00C90BAF">
        <w:rPr>
          <w:szCs w:val="22"/>
        </w:rPr>
        <w:t xml:space="preserve">, R. (ed) (2010) </w:t>
      </w:r>
      <w:r w:rsidRPr="00C90BAF">
        <w:rPr>
          <w:i/>
          <w:szCs w:val="22"/>
        </w:rPr>
        <w:t>The Work-Based Learning Student Handbook</w:t>
      </w:r>
      <w:r w:rsidRPr="00C90BAF">
        <w:rPr>
          <w:szCs w:val="22"/>
        </w:rPr>
        <w:t>, Palgrave Macmillan</w:t>
      </w:r>
    </w:p>
    <w:p w14:paraId="52F8A5E2" w14:textId="77777777" w:rsidR="006C3B10" w:rsidRPr="00C90BAF" w:rsidRDefault="006C3B10" w:rsidP="006C3B10"/>
    <w:p w14:paraId="52F8A5E3" w14:textId="77777777" w:rsidR="006C3B10" w:rsidRDefault="006C3B10" w:rsidP="006C3B10">
      <w:r>
        <w:br w:type="page"/>
      </w:r>
    </w:p>
    <w:sectPr w:rsidR="006C3B10" w:rsidSect="00B46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045DD"/>
    <w:multiLevelType w:val="hybridMultilevel"/>
    <w:tmpl w:val="025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B00F9"/>
    <w:multiLevelType w:val="hybridMultilevel"/>
    <w:tmpl w:val="89200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xNzQ2NzExsjC0MDVX0lEKTi0uzszPAykwrAUAzI8ksiwAAAA="/>
  </w:docVars>
  <w:rsids>
    <w:rsidRoot w:val="006C3B10"/>
    <w:rsid w:val="00003A82"/>
    <w:rsid w:val="000041F8"/>
    <w:rsid w:val="00020B4B"/>
    <w:rsid w:val="0002420A"/>
    <w:rsid w:val="000317F3"/>
    <w:rsid w:val="000341BD"/>
    <w:rsid w:val="00041F39"/>
    <w:rsid w:val="00056F8B"/>
    <w:rsid w:val="0006789E"/>
    <w:rsid w:val="000847CE"/>
    <w:rsid w:val="0008619B"/>
    <w:rsid w:val="00095799"/>
    <w:rsid w:val="00096F5F"/>
    <w:rsid w:val="000B08DF"/>
    <w:rsid w:val="000B7DB6"/>
    <w:rsid w:val="000C44D0"/>
    <w:rsid w:val="000D74AA"/>
    <w:rsid w:val="000F4892"/>
    <w:rsid w:val="000F7776"/>
    <w:rsid w:val="0010390A"/>
    <w:rsid w:val="00113019"/>
    <w:rsid w:val="001308EA"/>
    <w:rsid w:val="00135049"/>
    <w:rsid w:val="00136A28"/>
    <w:rsid w:val="00152FE8"/>
    <w:rsid w:val="001537D7"/>
    <w:rsid w:val="00153CB7"/>
    <w:rsid w:val="00156CF9"/>
    <w:rsid w:val="00157B6A"/>
    <w:rsid w:val="001623F5"/>
    <w:rsid w:val="001666C1"/>
    <w:rsid w:val="001832C2"/>
    <w:rsid w:val="001A2E6E"/>
    <w:rsid w:val="001B56AD"/>
    <w:rsid w:val="001E5E6A"/>
    <w:rsid w:val="001E6C22"/>
    <w:rsid w:val="001F2E4A"/>
    <w:rsid w:val="002210A4"/>
    <w:rsid w:val="002248A0"/>
    <w:rsid w:val="00254B9A"/>
    <w:rsid w:val="00267F3D"/>
    <w:rsid w:val="00270AD4"/>
    <w:rsid w:val="00290E0D"/>
    <w:rsid w:val="00294716"/>
    <w:rsid w:val="002947B0"/>
    <w:rsid w:val="002A042A"/>
    <w:rsid w:val="002A0F72"/>
    <w:rsid w:val="002A2AC2"/>
    <w:rsid w:val="002D0923"/>
    <w:rsid w:val="002D47A5"/>
    <w:rsid w:val="002D4C90"/>
    <w:rsid w:val="002E0A92"/>
    <w:rsid w:val="002F6D2A"/>
    <w:rsid w:val="003037A2"/>
    <w:rsid w:val="00307D2C"/>
    <w:rsid w:val="003139C9"/>
    <w:rsid w:val="00313E08"/>
    <w:rsid w:val="00326FD7"/>
    <w:rsid w:val="00334692"/>
    <w:rsid w:val="003372CC"/>
    <w:rsid w:val="00341170"/>
    <w:rsid w:val="00347B3B"/>
    <w:rsid w:val="00350664"/>
    <w:rsid w:val="00354DD0"/>
    <w:rsid w:val="003748AF"/>
    <w:rsid w:val="00394EE5"/>
    <w:rsid w:val="003B30EB"/>
    <w:rsid w:val="003B43F9"/>
    <w:rsid w:val="003B6A47"/>
    <w:rsid w:val="003D54B3"/>
    <w:rsid w:val="003E50D1"/>
    <w:rsid w:val="003F0ABC"/>
    <w:rsid w:val="003F7321"/>
    <w:rsid w:val="0044288F"/>
    <w:rsid w:val="00451FCF"/>
    <w:rsid w:val="004554F6"/>
    <w:rsid w:val="004556D6"/>
    <w:rsid w:val="00457038"/>
    <w:rsid w:val="004667C6"/>
    <w:rsid w:val="0047309E"/>
    <w:rsid w:val="004730E5"/>
    <w:rsid w:val="004840E0"/>
    <w:rsid w:val="00491B3E"/>
    <w:rsid w:val="00494ABB"/>
    <w:rsid w:val="004A0719"/>
    <w:rsid w:val="004A1415"/>
    <w:rsid w:val="004A7669"/>
    <w:rsid w:val="004C3F2C"/>
    <w:rsid w:val="004C51E4"/>
    <w:rsid w:val="004F2CE5"/>
    <w:rsid w:val="00510D63"/>
    <w:rsid w:val="00511F19"/>
    <w:rsid w:val="005165B6"/>
    <w:rsid w:val="00520482"/>
    <w:rsid w:val="00522045"/>
    <w:rsid w:val="00522F43"/>
    <w:rsid w:val="00526DDB"/>
    <w:rsid w:val="00536894"/>
    <w:rsid w:val="00536F25"/>
    <w:rsid w:val="005371D7"/>
    <w:rsid w:val="00552C16"/>
    <w:rsid w:val="005576B9"/>
    <w:rsid w:val="005846E3"/>
    <w:rsid w:val="00592554"/>
    <w:rsid w:val="005927D1"/>
    <w:rsid w:val="005A0D13"/>
    <w:rsid w:val="005A307E"/>
    <w:rsid w:val="005B14ED"/>
    <w:rsid w:val="0060273C"/>
    <w:rsid w:val="00606697"/>
    <w:rsid w:val="00614783"/>
    <w:rsid w:val="006420ED"/>
    <w:rsid w:val="00645AC2"/>
    <w:rsid w:val="00667989"/>
    <w:rsid w:val="00681EB9"/>
    <w:rsid w:val="00686938"/>
    <w:rsid w:val="006921B1"/>
    <w:rsid w:val="006A7F07"/>
    <w:rsid w:val="006B53E7"/>
    <w:rsid w:val="006B7EE0"/>
    <w:rsid w:val="006C0074"/>
    <w:rsid w:val="006C3B10"/>
    <w:rsid w:val="006C3F6A"/>
    <w:rsid w:val="006C5C8C"/>
    <w:rsid w:val="006D5F38"/>
    <w:rsid w:val="006E1B79"/>
    <w:rsid w:val="00724104"/>
    <w:rsid w:val="007258D3"/>
    <w:rsid w:val="00740876"/>
    <w:rsid w:val="00744F81"/>
    <w:rsid w:val="00746DA6"/>
    <w:rsid w:val="00747ADC"/>
    <w:rsid w:val="00757A76"/>
    <w:rsid w:val="00764F6A"/>
    <w:rsid w:val="0076753A"/>
    <w:rsid w:val="00775FB8"/>
    <w:rsid w:val="00787201"/>
    <w:rsid w:val="007C10EC"/>
    <w:rsid w:val="007C1D7E"/>
    <w:rsid w:val="007C4D64"/>
    <w:rsid w:val="007D3723"/>
    <w:rsid w:val="007E2463"/>
    <w:rsid w:val="007E4723"/>
    <w:rsid w:val="007F62F6"/>
    <w:rsid w:val="008009FF"/>
    <w:rsid w:val="00806BC7"/>
    <w:rsid w:val="00821975"/>
    <w:rsid w:val="00822E2D"/>
    <w:rsid w:val="0082475B"/>
    <w:rsid w:val="0083161A"/>
    <w:rsid w:val="00836B48"/>
    <w:rsid w:val="00843CDE"/>
    <w:rsid w:val="008450FE"/>
    <w:rsid w:val="00847C66"/>
    <w:rsid w:val="00851953"/>
    <w:rsid w:val="00881474"/>
    <w:rsid w:val="00881CC7"/>
    <w:rsid w:val="008B5166"/>
    <w:rsid w:val="008B748F"/>
    <w:rsid w:val="008C7059"/>
    <w:rsid w:val="008D11B1"/>
    <w:rsid w:val="008E0649"/>
    <w:rsid w:val="008E66F1"/>
    <w:rsid w:val="00922F4C"/>
    <w:rsid w:val="0092773B"/>
    <w:rsid w:val="0093078F"/>
    <w:rsid w:val="009339DE"/>
    <w:rsid w:val="0094316C"/>
    <w:rsid w:val="00950768"/>
    <w:rsid w:val="00953E32"/>
    <w:rsid w:val="00964F89"/>
    <w:rsid w:val="009810E5"/>
    <w:rsid w:val="0098735F"/>
    <w:rsid w:val="009C5E7C"/>
    <w:rsid w:val="009E0C63"/>
    <w:rsid w:val="009E5AE4"/>
    <w:rsid w:val="009E64B9"/>
    <w:rsid w:val="009E728C"/>
    <w:rsid w:val="009F2CF5"/>
    <w:rsid w:val="00A00412"/>
    <w:rsid w:val="00A00FC6"/>
    <w:rsid w:val="00A0278A"/>
    <w:rsid w:val="00A11939"/>
    <w:rsid w:val="00A15950"/>
    <w:rsid w:val="00A237A4"/>
    <w:rsid w:val="00A35329"/>
    <w:rsid w:val="00A5395A"/>
    <w:rsid w:val="00A5469E"/>
    <w:rsid w:val="00A7203E"/>
    <w:rsid w:val="00AB5DB0"/>
    <w:rsid w:val="00AC655F"/>
    <w:rsid w:val="00B029F1"/>
    <w:rsid w:val="00B102CE"/>
    <w:rsid w:val="00B14DEC"/>
    <w:rsid w:val="00B14E5F"/>
    <w:rsid w:val="00B460C8"/>
    <w:rsid w:val="00B515C5"/>
    <w:rsid w:val="00B62C25"/>
    <w:rsid w:val="00B7772A"/>
    <w:rsid w:val="00BA2A28"/>
    <w:rsid w:val="00BB318A"/>
    <w:rsid w:val="00BB345E"/>
    <w:rsid w:val="00BB7357"/>
    <w:rsid w:val="00BB7EB0"/>
    <w:rsid w:val="00BD238B"/>
    <w:rsid w:val="00BE3D6F"/>
    <w:rsid w:val="00BE5AA3"/>
    <w:rsid w:val="00BE7920"/>
    <w:rsid w:val="00C10758"/>
    <w:rsid w:val="00C212A3"/>
    <w:rsid w:val="00C260CB"/>
    <w:rsid w:val="00C35444"/>
    <w:rsid w:val="00C5148A"/>
    <w:rsid w:val="00C52EEC"/>
    <w:rsid w:val="00C61BFC"/>
    <w:rsid w:val="00C7641C"/>
    <w:rsid w:val="00C80E62"/>
    <w:rsid w:val="00C92C9C"/>
    <w:rsid w:val="00CA568C"/>
    <w:rsid w:val="00CA614C"/>
    <w:rsid w:val="00CB3910"/>
    <w:rsid w:val="00CB4C75"/>
    <w:rsid w:val="00CC7C73"/>
    <w:rsid w:val="00CD1E8D"/>
    <w:rsid w:val="00CD46F9"/>
    <w:rsid w:val="00D03F24"/>
    <w:rsid w:val="00D04F19"/>
    <w:rsid w:val="00D14D7D"/>
    <w:rsid w:val="00D3271C"/>
    <w:rsid w:val="00D57F09"/>
    <w:rsid w:val="00D6770A"/>
    <w:rsid w:val="00D73F49"/>
    <w:rsid w:val="00D77080"/>
    <w:rsid w:val="00D77A52"/>
    <w:rsid w:val="00D85A72"/>
    <w:rsid w:val="00D85B57"/>
    <w:rsid w:val="00D91D61"/>
    <w:rsid w:val="00D96429"/>
    <w:rsid w:val="00D97B2F"/>
    <w:rsid w:val="00DA2C7C"/>
    <w:rsid w:val="00DA7D5B"/>
    <w:rsid w:val="00DB4682"/>
    <w:rsid w:val="00DC0DDB"/>
    <w:rsid w:val="00DD08B7"/>
    <w:rsid w:val="00DE244E"/>
    <w:rsid w:val="00E03039"/>
    <w:rsid w:val="00E10093"/>
    <w:rsid w:val="00E258EA"/>
    <w:rsid w:val="00E26553"/>
    <w:rsid w:val="00E47EE7"/>
    <w:rsid w:val="00E817FE"/>
    <w:rsid w:val="00E96C40"/>
    <w:rsid w:val="00EA135C"/>
    <w:rsid w:val="00EB5FB9"/>
    <w:rsid w:val="00EB60F6"/>
    <w:rsid w:val="00EC1F1F"/>
    <w:rsid w:val="00ED3DC3"/>
    <w:rsid w:val="00ED5001"/>
    <w:rsid w:val="00EE221B"/>
    <w:rsid w:val="00EF5054"/>
    <w:rsid w:val="00EF5508"/>
    <w:rsid w:val="00EF69ED"/>
    <w:rsid w:val="00EF6A25"/>
    <w:rsid w:val="00F20966"/>
    <w:rsid w:val="00F41A62"/>
    <w:rsid w:val="00F435DE"/>
    <w:rsid w:val="00F54EDE"/>
    <w:rsid w:val="00F626A0"/>
    <w:rsid w:val="00F63B8A"/>
    <w:rsid w:val="00F70129"/>
    <w:rsid w:val="00F73774"/>
    <w:rsid w:val="00F740BE"/>
    <w:rsid w:val="00F77521"/>
    <w:rsid w:val="00F86116"/>
    <w:rsid w:val="00F8627E"/>
    <w:rsid w:val="00F95333"/>
    <w:rsid w:val="00FA3203"/>
    <w:rsid w:val="00FF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A55E"/>
  <w15:docId w15:val="{DCB814CF-1EA1-4F9D-BC9A-96E73DDF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B10"/>
  </w:style>
  <w:style w:type="paragraph" w:styleId="Heading1">
    <w:name w:val="heading 1"/>
    <w:basedOn w:val="Normal"/>
    <w:next w:val="Normal"/>
    <w:link w:val="Heading1Char"/>
    <w:uiPriority w:val="9"/>
    <w:qFormat/>
    <w:rsid w:val="006C3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C3B10"/>
    <w:pPr>
      <w:keepNext/>
      <w:spacing w:after="0" w:line="240" w:lineRule="auto"/>
      <w:outlineLvl w:val="1"/>
    </w:pPr>
    <w:rPr>
      <w:rFonts w:ascii="Arial" w:eastAsia="SimSun" w:hAnsi="Arial" w:cs="Arial"/>
      <w:b/>
      <w:bCs/>
      <w:iCs/>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B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C3B10"/>
    <w:rPr>
      <w:rFonts w:ascii="Arial" w:eastAsia="SimSun" w:hAnsi="Arial" w:cs="Arial"/>
      <w:b/>
      <w:bCs/>
      <w:iCs/>
      <w:szCs w:val="28"/>
      <w:lang w:eastAsia="zh-CN"/>
    </w:rPr>
  </w:style>
  <w:style w:type="paragraph" w:styleId="ListParagraph">
    <w:name w:val="List Paragraph"/>
    <w:basedOn w:val="Normal"/>
    <w:link w:val="ListParagraphChar"/>
    <w:uiPriority w:val="99"/>
    <w:qFormat/>
    <w:rsid w:val="006C3B10"/>
    <w:pPr>
      <w:spacing w:after="0" w:line="240" w:lineRule="auto"/>
      <w:ind w:left="720"/>
      <w:contextualSpacing/>
    </w:pPr>
    <w:rPr>
      <w:rFonts w:ascii="Arial" w:eastAsia="SimSun" w:hAnsi="Arial" w:cs="Times New Roman"/>
      <w:szCs w:val="24"/>
      <w:lang w:eastAsia="zh-CN"/>
    </w:rPr>
  </w:style>
  <w:style w:type="character" w:customStyle="1" w:styleId="ListParagraphChar">
    <w:name w:val="List Paragraph Char"/>
    <w:link w:val="ListParagraph"/>
    <w:uiPriority w:val="99"/>
    <w:locked/>
    <w:rsid w:val="006C3B10"/>
    <w:rPr>
      <w:rFonts w:ascii="Arial" w:eastAsia="SimSun" w:hAnsi="Arial" w:cs="Times New Roman"/>
      <w:szCs w:val="24"/>
      <w:lang w:eastAsia="zh-CN"/>
    </w:rPr>
  </w:style>
  <w:style w:type="paragraph" w:customStyle="1" w:styleId="QuickFormat1">
    <w:name w:val="QuickFormat1"/>
    <w:rsid w:val="006C3B10"/>
    <w:pPr>
      <w:spacing w:after="0" w:line="240" w:lineRule="auto"/>
    </w:pPr>
    <w:rPr>
      <w:rFonts w:ascii="Times New Roman" w:eastAsia="Times New Roman" w:hAnsi="Times New Roman" w:cs="Times New Roman"/>
      <w:sz w:val="24"/>
      <w:szCs w:val="20"/>
      <w:lang w:eastAsia="en-GB"/>
    </w:rPr>
  </w:style>
  <w:style w:type="paragraph" w:styleId="NoSpacing">
    <w:name w:val="No Spacing"/>
    <w:uiPriority w:val="1"/>
    <w:qFormat/>
    <w:rsid w:val="006C3B1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david.mwaura</dc:creator>
  <cp:lastModifiedBy>Gurjot Singh</cp:lastModifiedBy>
  <cp:revision>3</cp:revision>
  <dcterms:created xsi:type="dcterms:W3CDTF">2020-02-24T14:40:00Z</dcterms:created>
  <dcterms:modified xsi:type="dcterms:W3CDTF">2020-10-06T15:34:00Z</dcterms:modified>
</cp:coreProperties>
</file>