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pPr>
    </w:p>
    <w:p>
      <w:pPr>
        <w:jc w:val="center"/>
      </w:pPr>
      <w:r>
        <w:rPr>
          <w:rFonts w:ascii="Arial" w:cs="Arial" w:eastAsia="Arial" w:hAnsi="Arial"/>
          <w:b/>
          <w:bCs/>
          <w:color w:val="1F3864"/>
          <w:sz w:val="56"/>
          <w:szCs w:val="56"/>
        </w:rPr>
        <w:t xml:space="preserve">Projet smartEngine</w:t>
      </w:r>
    </w:p>
    <w:p>
      <w:pPr>
        <w:spacing w:after="200"/>
        <w:jc w:val="center"/>
      </w:pPr>
      <w:r>
        <w:rPr>
          <w:rFonts w:ascii="Arial" w:cs="Arial" w:eastAsia="Arial" w:hAnsi="Arial"/>
          <w:color w:val="666666"/>
          <w:sz w:val="28"/>
          <w:szCs w:val="28"/>
        </w:rPr>
        <w:t xml:space="preserve">Prediction de churn pour un SaaS B2B</w:t>
      </w:r>
    </w:p>
    <w:p>
      <w:pPr>
        <w:spacing w:after="200"/>
        <w:jc w:val="center"/>
      </w:pPr>
      <w:r>
        <w:rPr>
          <w:rFonts w:ascii="Arial" w:cs="Arial" w:eastAsia="Arial" w:hAnsi="Arial"/>
          <w:color w:val="888888"/>
          <w:sz w:val="24"/>
          <w:szCs w:val="24"/>
        </w:rPr>
        <w:t xml:space="preserve">Groupe 11 | MSc2 Manager Data Marketing</w:t>
      </w:r>
    </w:p>
    <w:p>
      <w:pPr>
        <w:jc w:val="center"/>
      </w:pPr>
      <w:r>
        <w:rPr>
          <w:rFonts w:ascii="Arial" w:cs="Arial" w:eastAsia="Arial" w:hAnsi="Arial"/>
          <w:b/>
          <w:bCs/>
          <w:color w:val="2E5EA8"/>
          <w:sz w:val="26"/>
          <w:szCs w:val="26"/>
        </w:rPr>
        <w:t xml:space="preserve">DOSSIER DE CONCEPTION</w:t>
      </w:r>
    </w:p>
    <w:p>
      <w:pPr>
        <w:spacing w:after="600"/>
        <w:jc w:val="center"/>
      </w:pPr>
      <w:r>
        <w:rPr>
          <w:rFonts w:ascii="Arial" w:cs="Arial" w:eastAsia="Arial" w:hAnsi="Arial"/>
          <w:color w:val="888888"/>
          <w:sz w:val="22"/>
          <w:szCs w:val="22"/>
        </w:rPr>
        <w:t xml:space="preserve">Sprint 1 - Decouverte et mise en place | Mars 2026</w:t>
      </w:r>
    </w:p>
    <w:p>
      <w:r>
        <w:br w:type="page"/>
      </w:r>
    </w:p>
    <w:p>
      <w:pPr>
        <w:pStyle w:val="Heading1"/>
      </w:pPr>
      <w:r>
        <w:rPr>
          <w:b/>
          <w:bCs/>
        </w:rPr>
        <w:t xml:space="preserve">1. Cadrage du projet</w:t>
      </w:r>
    </w:p>
    <w:p>
      <w:pPr>
        <w:pStyle w:val="Heading2"/>
      </w:pPr>
      <w:r>
        <w:rPr>
          <w:b/>
          <w:bCs/>
        </w:rPr>
        <w:t xml:space="preserve">1.1 Contexte metier</w:t>
      </w:r>
    </w:p>
    <w:p>
      <w:pPr>
        <w:spacing w:after="120"/>
      </w:pPr>
      <w:r>
        <w:t xml:space="preserve">RavenStack est une entreprise SaaS B2B (Software as a Service) qui commercialise une plateforme de gestion de projets a destination des equipes tech. Son modele economique repose sur des abonnements mensuels recurrents (MRR) proposes en trois niveaux : Starter, Growth et Enterprise.</w:t>
      </w:r>
    </w:p>
    <w:p>
      <w:pPr>
        <w:spacing w:after="120"/>
      </w:pPr>
      <w:r>
        <w:t xml:space="preserve">Comme de nombreux acteurs SaaS, RavenStack est confronte a un probleme de churn : une partie de ses clients resilie son abonnement chaque mois. Le churn designe le taux d'attrition client, soit la proportion de clients perdus sur une periode donnee. Chaque resiliation entraine une perte de MRR difficile a anticiper sans systeme de prediction.</w:t>
      </w:r>
    </w:p>
    <w:p>
      <w:pPr>
        <w:spacing w:after="120"/>
      </w:pPr>
      <w:r>
        <w:t xml:space="preserve">Les equipes Customer Success de RavenStack ne disposent aujourd'hui d'aucun outil predictif. Elles agissent en reaction, apres la resiliation, plutot qu'en prevention.</w:t>
      </w:r>
    </w:p>
    <w:p>
      <w:pPr>
        <w:pStyle w:val="Heading2"/>
      </w:pPr>
      <w:r>
        <w:rPr>
          <w:b/>
          <w:bCs/>
        </w:rPr>
        <w:t xml:space="preserve">1.2 Objectifs du projet</w:t>
      </w:r>
    </w:p>
    <w:p>
      <w:pPr>
        <w:spacing w:after="120"/>
      </w:pPr>
      <w:r>
        <w:t xml:space="preserve">La mission confiee a l'equipe smartEngine couvre l'ensemble de la chaine de valeur data :</w:t>
      </w:r>
    </w:p>
    <w:p>
      <w:pPr>
        <w:pStyle w:val="ListParagraph"/>
        <w:numPr>
          <w:ilvl w:val="0"/>
          <w:numId w:val="2"/>
        </w:numPr>
        <w:spacing w:after="80"/>
      </w:pPr>
      <w:r>
        <w:t xml:space="preserve">Analyser et nettoyer les donnees clients disponibles</w:t>
      </w:r>
    </w:p>
    <w:p>
      <w:pPr>
        <w:pStyle w:val="ListParagraph"/>
        <w:numPr>
          <w:ilvl w:val="0"/>
          <w:numId w:val="2"/>
        </w:numPr>
        <w:spacing w:after="80"/>
      </w:pPr>
      <w:r>
        <w:t xml:space="preserve">Identifier les signaux comportementaux precurseurs du churn</w:t>
      </w:r>
    </w:p>
    <w:p>
      <w:pPr>
        <w:pStyle w:val="ListParagraph"/>
        <w:numPr>
          <w:ilvl w:val="0"/>
          <w:numId w:val="2"/>
        </w:numPr>
        <w:spacing w:after="80"/>
      </w:pPr>
      <w:r>
        <w:t xml:space="preserve">Construire un modele de scoring predictif</w:t>
      </w:r>
    </w:p>
    <w:p>
      <w:pPr>
        <w:pStyle w:val="ListParagraph"/>
        <w:numPr>
          <w:ilvl w:val="0"/>
          <w:numId w:val="2"/>
        </w:numPr>
        <w:spacing w:after="80"/>
      </w:pPr>
      <w:r>
        <w:t xml:space="preserve">Deployer ce scoring dans un dashboard interactif (Streamlit)</w:t>
      </w:r>
    </w:p>
    <w:p>
      <w:pPr>
        <w:pStyle w:val="ListParagraph"/>
        <w:numPr>
          <w:ilvl w:val="0"/>
          <w:numId w:val="2"/>
        </w:numPr>
        <w:spacing w:after="80"/>
      </w:pPr>
      <w:r>
        <w:t xml:space="preserve">Automatiser des alertes pour les comptes a risque eleve (n8n)</w:t>
      </w:r>
    </w:p>
    <w:p>
      <w:pPr>
        <w:spacing w:after="120"/>
      </w:pPr>
      <w:r>
        <w:t xml:space="preserve"/>
      </w:r>
    </w:p>
    <w:p>
      <w:pPr>
        <w:pStyle w:val="Heading2"/>
      </w:pPr>
      <w:r>
        <w:rPr>
          <w:b/>
          <w:bCs/>
        </w:rPr>
        <w:t xml:space="preserve">1.3 Choix des outils et justification</w:t>
      </w:r>
    </w:p>
    <w:p>
      <w:pPr>
        <w:spacing w:after="120"/>
      </w:pPr>
      <w:r>
        <w:t xml:space="preserve">La stack technique a ete imposee dans le cadre du projet. Nous justifions ici les choix effectues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500"/>
        <w:gridCol w:w="3526"/>
      </w:tblGrid>
      <w:tr>
        <w:tc>
          <w:tcPr>
            <w:tcW w:type="dxa" w:w="2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b/>
                <w:bCs/>
                <w:color w:val="FFFFFF"/>
                <w:sz w:val="20"/>
                <w:szCs w:val="20"/>
              </w:rPr>
              <w:t xml:space="preserve">Outil</w:t>
            </w:r>
          </w:p>
        </w:tc>
        <w:tc>
          <w:tcPr>
            <w:tcW w:type="dxa" w:w="35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b/>
                <w:bCs/>
                <w:color w:val="FFFFFF"/>
                <w:sz w:val="20"/>
                <w:szCs w:val="20"/>
              </w:rPr>
              <w:t xml:space="preserve">Role dans le projet</w:t>
            </w:r>
          </w:p>
        </w:tc>
        <w:tc>
          <w:tcPr>
            <w:tcW w:type="dxa" w:w="3526"/>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b/>
                <w:bCs/>
                <w:color w:val="FFFFFF"/>
                <w:sz w:val="20"/>
                <w:szCs w:val="20"/>
              </w:rPr>
              <w:t xml:space="preserve">Justification</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0"/>
                <w:szCs w:val="20"/>
              </w:rPr>
              <w:t xml:space="preserve">Gemini CLI</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0"/>
                <w:szCs w:val="20"/>
              </w:rPr>
              <w:t xml:space="preserve">Orchestration des agents IA</w:t>
            </w:r>
          </w:p>
        </w:tc>
        <w:tc>
          <w:tcPr>
            <w:tcW w:type="dxa" w:w="3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0"/>
                <w:szCs w:val="20"/>
              </w:rPr>
              <w:t xml:space="preserve">Permet de generer du code Python sans competence avancee en programmation</w:t>
            </w:r>
          </w:p>
        </w:tc>
      </w:tr>
      <w:tr>
        <w:tc>
          <w:tcPr>
            <w:tcW w:type="dxa" w:w="2000"/>
            <w:tcBorders>
              <w:top w:val="single" w:color="CCCCCC" w:sz="1"/>
              <w:left w:val="single" w:color="CCCCCC" w:sz="1"/>
              <w:bottom w:val="single" w:color="CCCCCC" w:sz="1"/>
              <w:right w:val="single" w:color="CCCCCC" w:sz="1"/>
            </w:tcBorders>
            <w:shd w:fill="EEF2F7" w:val="clear"/>
            <w:tcMar>
              <w:top w:type="dxa" w:w="80"/>
              <w:left w:type="dxa" w:w="120"/>
              <w:bottom w:type="dxa" w:w="80"/>
              <w:right w:type="dxa" w:w="120"/>
            </w:tcMar>
          </w:tcPr>
          <w:p>
            <w:r>
              <w:rPr>
                <w:sz w:val="20"/>
                <w:szCs w:val="20"/>
              </w:rPr>
              <w:t xml:space="preserve">Python / pandas</w:t>
            </w:r>
          </w:p>
        </w:tc>
        <w:tc>
          <w:tcPr>
            <w:tcW w:type="dxa" w:w="3500"/>
            <w:tcBorders>
              <w:top w:val="single" w:color="CCCCCC" w:sz="1"/>
              <w:left w:val="single" w:color="CCCCCC" w:sz="1"/>
              <w:bottom w:val="single" w:color="CCCCCC" w:sz="1"/>
              <w:right w:val="single" w:color="CCCCCC" w:sz="1"/>
            </w:tcBorders>
            <w:shd w:fill="EEF2F7" w:val="clear"/>
            <w:tcMar>
              <w:top w:type="dxa" w:w="80"/>
              <w:left w:type="dxa" w:w="120"/>
              <w:bottom w:type="dxa" w:w="80"/>
              <w:right w:type="dxa" w:w="120"/>
            </w:tcMar>
          </w:tcPr>
          <w:p>
            <w:r>
              <w:rPr>
                <w:sz w:val="20"/>
                <w:szCs w:val="20"/>
              </w:rPr>
              <w:t xml:space="preserve">Manipulation et nettoyage des donnees</w:t>
            </w:r>
          </w:p>
        </w:tc>
        <w:tc>
          <w:tcPr>
            <w:tcW w:type="dxa" w:w="3526"/>
            <w:tcBorders>
              <w:top w:val="single" w:color="CCCCCC" w:sz="1"/>
              <w:left w:val="single" w:color="CCCCCC" w:sz="1"/>
              <w:bottom w:val="single" w:color="CCCCCC" w:sz="1"/>
              <w:right w:val="single" w:color="CCCCCC" w:sz="1"/>
            </w:tcBorders>
            <w:shd w:fill="EEF2F7" w:val="clear"/>
            <w:tcMar>
              <w:top w:type="dxa" w:w="80"/>
              <w:left w:type="dxa" w:w="120"/>
              <w:bottom w:type="dxa" w:w="80"/>
              <w:right w:type="dxa" w:w="120"/>
            </w:tcMar>
          </w:tcPr>
          <w:p>
            <w:r>
              <w:rPr>
                <w:sz w:val="20"/>
                <w:szCs w:val="20"/>
              </w:rPr>
              <w:t xml:space="preserve">Standard de l'industrie data, compatible avec scikit-learn</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0"/>
                <w:szCs w:val="20"/>
              </w:rPr>
              <w:t xml:space="preserve">scikit-learn</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0"/>
                <w:szCs w:val="20"/>
              </w:rPr>
              <w:t xml:space="preserve">Modelisation predictive (scoring churn)</w:t>
            </w:r>
          </w:p>
        </w:tc>
        <w:tc>
          <w:tcPr>
            <w:tcW w:type="dxa" w:w="3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0"/>
                <w:szCs w:val="20"/>
              </w:rPr>
              <w:t xml:space="preserve">Bibliotheque ML de reference, large choix d'algorithmes</w:t>
            </w:r>
          </w:p>
        </w:tc>
      </w:tr>
      <w:tr>
        <w:tc>
          <w:tcPr>
            <w:tcW w:type="dxa" w:w="2000"/>
            <w:tcBorders>
              <w:top w:val="single" w:color="CCCCCC" w:sz="1"/>
              <w:left w:val="single" w:color="CCCCCC" w:sz="1"/>
              <w:bottom w:val="single" w:color="CCCCCC" w:sz="1"/>
              <w:right w:val="single" w:color="CCCCCC" w:sz="1"/>
            </w:tcBorders>
            <w:shd w:fill="EEF2F7" w:val="clear"/>
            <w:tcMar>
              <w:top w:type="dxa" w:w="80"/>
              <w:left w:type="dxa" w:w="120"/>
              <w:bottom w:type="dxa" w:w="80"/>
              <w:right w:type="dxa" w:w="120"/>
            </w:tcMar>
          </w:tcPr>
          <w:p>
            <w:r>
              <w:rPr>
                <w:sz w:val="20"/>
                <w:szCs w:val="20"/>
              </w:rPr>
              <w:t xml:space="preserve">Streamlit</w:t>
            </w:r>
          </w:p>
        </w:tc>
        <w:tc>
          <w:tcPr>
            <w:tcW w:type="dxa" w:w="3500"/>
            <w:tcBorders>
              <w:top w:val="single" w:color="CCCCCC" w:sz="1"/>
              <w:left w:val="single" w:color="CCCCCC" w:sz="1"/>
              <w:bottom w:val="single" w:color="CCCCCC" w:sz="1"/>
              <w:right w:val="single" w:color="CCCCCC" w:sz="1"/>
            </w:tcBorders>
            <w:shd w:fill="EEF2F7" w:val="clear"/>
            <w:tcMar>
              <w:top w:type="dxa" w:w="80"/>
              <w:left w:type="dxa" w:w="120"/>
              <w:bottom w:type="dxa" w:w="80"/>
              <w:right w:type="dxa" w:w="120"/>
            </w:tcMar>
          </w:tcPr>
          <w:p>
            <w:r>
              <w:rPr>
                <w:sz w:val="20"/>
                <w:szCs w:val="20"/>
              </w:rPr>
              <w:t xml:space="preserve">Dashboard interactif Customer Success</w:t>
            </w:r>
          </w:p>
        </w:tc>
        <w:tc>
          <w:tcPr>
            <w:tcW w:type="dxa" w:w="3526"/>
            <w:tcBorders>
              <w:top w:val="single" w:color="CCCCCC" w:sz="1"/>
              <w:left w:val="single" w:color="CCCCCC" w:sz="1"/>
              <w:bottom w:val="single" w:color="CCCCCC" w:sz="1"/>
              <w:right w:val="single" w:color="CCCCCC" w:sz="1"/>
            </w:tcBorders>
            <w:shd w:fill="EEF2F7" w:val="clear"/>
            <w:tcMar>
              <w:top w:type="dxa" w:w="80"/>
              <w:left w:type="dxa" w:w="120"/>
              <w:bottom w:type="dxa" w:w="80"/>
              <w:right w:type="dxa" w:w="120"/>
            </w:tcMar>
          </w:tcPr>
          <w:p>
            <w:r>
              <w:rPr>
                <w:sz w:val="20"/>
                <w:szCs w:val="20"/>
              </w:rPr>
              <w:t xml:space="preserve">Creation d'interface web en Python pur, sans frontend</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0"/>
                <w:szCs w:val="20"/>
              </w:rPr>
              <w:t xml:space="preserve">n8n</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0"/>
                <w:szCs w:val="20"/>
              </w:rPr>
              <w:t xml:space="preserve">Automatisation des alertes</w:t>
            </w:r>
          </w:p>
        </w:tc>
        <w:tc>
          <w:tcPr>
            <w:tcW w:type="dxa" w:w="3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0"/>
                <w:szCs w:val="20"/>
              </w:rPr>
              <w:t xml:space="preserve">Open source, auto-hebergeable, maitrise des donnees</w:t>
            </w:r>
          </w:p>
        </w:tc>
      </w:tr>
      <w:tr>
        <w:tc>
          <w:tcPr>
            <w:tcW w:type="dxa" w:w="2000"/>
            <w:tcBorders>
              <w:top w:val="single" w:color="CCCCCC" w:sz="1"/>
              <w:left w:val="single" w:color="CCCCCC" w:sz="1"/>
              <w:bottom w:val="single" w:color="CCCCCC" w:sz="1"/>
              <w:right w:val="single" w:color="CCCCCC" w:sz="1"/>
            </w:tcBorders>
            <w:shd w:fill="EEF2F7" w:val="clear"/>
            <w:tcMar>
              <w:top w:type="dxa" w:w="80"/>
              <w:left w:type="dxa" w:w="120"/>
              <w:bottom w:type="dxa" w:w="80"/>
              <w:right w:type="dxa" w:w="120"/>
            </w:tcMar>
          </w:tcPr>
          <w:p>
            <w:r>
              <w:rPr>
                <w:sz w:val="20"/>
                <w:szCs w:val="20"/>
              </w:rPr>
              <w:t xml:space="preserve">GitHub</w:t>
            </w:r>
          </w:p>
        </w:tc>
        <w:tc>
          <w:tcPr>
            <w:tcW w:type="dxa" w:w="3500"/>
            <w:tcBorders>
              <w:top w:val="single" w:color="CCCCCC" w:sz="1"/>
              <w:left w:val="single" w:color="CCCCCC" w:sz="1"/>
              <w:bottom w:val="single" w:color="CCCCCC" w:sz="1"/>
              <w:right w:val="single" w:color="CCCCCC" w:sz="1"/>
            </w:tcBorders>
            <w:shd w:fill="EEF2F7" w:val="clear"/>
            <w:tcMar>
              <w:top w:type="dxa" w:w="80"/>
              <w:left w:type="dxa" w:w="120"/>
              <w:bottom w:type="dxa" w:w="80"/>
              <w:right w:type="dxa" w:w="120"/>
            </w:tcMar>
          </w:tcPr>
          <w:p>
            <w:r>
              <w:rPr>
                <w:sz w:val="20"/>
                <w:szCs w:val="20"/>
              </w:rPr>
              <w:t xml:space="preserve">Gestion du code et collaboration</w:t>
            </w:r>
          </w:p>
        </w:tc>
        <w:tc>
          <w:tcPr>
            <w:tcW w:type="dxa" w:w="3526"/>
            <w:tcBorders>
              <w:top w:val="single" w:color="CCCCCC" w:sz="1"/>
              <w:left w:val="single" w:color="CCCCCC" w:sz="1"/>
              <w:bottom w:val="single" w:color="CCCCCC" w:sz="1"/>
              <w:right w:val="single" w:color="CCCCCC" w:sz="1"/>
            </w:tcBorders>
            <w:shd w:fill="EEF2F7" w:val="clear"/>
            <w:tcMar>
              <w:top w:type="dxa" w:w="80"/>
              <w:left w:type="dxa" w:w="120"/>
              <w:bottom w:type="dxa" w:w="80"/>
              <w:right w:type="dxa" w:w="120"/>
            </w:tcMar>
          </w:tcPr>
          <w:p>
            <w:r>
              <w:rPr>
                <w:sz w:val="20"/>
                <w:szCs w:val="20"/>
              </w:rPr>
              <w:t xml:space="preserve">Reference industrie pour le travail en equipe sur du code</w:t>
            </w:r>
          </w:p>
        </w:tc>
      </w:tr>
    </w:tbl>
    <w:p>
      <w:pPr>
        <w:spacing w:after="120"/>
      </w:pPr>
      <w:r>
        <w:t xml:space="preserve"/>
      </w:r>
    </w:p>
    <w:p>
      <w:pPr>
        <w:pStyle w:val="Heading2"/>
      </w:pPr>
      <w:r>
        <w:rPr>
          <w:b/>
          <w:bCs/>
        </w:rPr>
        <w:t xml:space="preserve">1.4 Contraintes RGPD et cadre legal</w:t>
      </w:r>
    </w:p>
    <w:p>
      <w:pPr>
        <w:spacing w:after="120"/>
      </w:pPr>
      <w:r>
        <w:t xml:space="preserve">Le scoring predictif applique a des donnees clients souleve des questions reglementaires importantes. Notre projet s'inscrit dans le cadre des legislations suivantes :</w:t>
      </w:r>
    </w:p>
    <w:p>
      <w:pPr>
        <w:spacing w:after="120"/>
      </w:pPr>
      <w:r>
        <w:rPr>
          <w:b/>
          <w:bCs/>
        </w:rPr>
        <w:t xml:space="preserve">RGPD (Reglement General sur la Protection des Donnees)</w:t>
      </w:r>
    </w:p>
    <w:p>
      <w:pPr>
        <w:spacing w:after="120"/>
      </w:pPr>
      <w:r>
        <w:t xml:space="preserve">Le RGPD est un reglement europeen entre en vigueur en mai 2018. Ses grands principes applicables au projet sont :</w:t>
      </w:r>
    </w:p>
    <w:p>
      <w:pPr>
        <w:pStyle w:val="ListParagraph"/>
        <w:numPr>
          <w:ilvl w:val="0"/>
          <w:numId w:val="2"/>
        </w:numPr>
        <w:spacing w:after="80"/>
      </w:pPr>
      <w:r>
        <w:t xml:space="preserve">Licéite : le traitement des donnees doit reposer sur une base legale (interet legitime de RavenStack a retenir ses clients)</w:t>
      </w:r>
    </w:p>
    <w:p>
      <w:pPr>
        <w:pStyle w:val="ListParagraph"/>
        <w:numPr>
          <w:ilvl w:val="0"/>
          <w:numId w:val="2"/>
        </w:numPr>
        <w:spacing w:after="80"/>
      </w:pPr>
      <w:r>
        <w:t xml:space="preserve">Minimisation : seules les donnees strictement necessaires a la prediction du churn sont utilisees</w:t>
      </w:r>
    </w:p>
    <w:p>
      <w:pPr>
        <w:pStyle w:val="ListParagraph"/>
        <w:numPr>
          <w:ilvl w:val="0"/>
          <w:numId w:val="2"/>
        </w:numPr>
        <w:spacing w:after="80"/>
      </w:pPr>
      <w:r>
        <w:t xml:space="preserve">Limitation de conservation : les donnees ne sont pas conservees au-dela de leur utilite pour le projet</w:t>
      </w:r>
    </w:p>
    <w:p>
      <w:pPr>
        <w:spacing w:after="120"/>
      </w:pPr>
      <w:r>
        <w:t xml:space="preserve"/>
      </w:r>
    </w:p>
    <w:p>
      <w:pPr>
        <w:spacing w:after="120"/>
      </w:pPr>
      <w:r>
        <w:rPr>
          <w:b/>
          <w:bCs/>
        </w:rPr>
        <w:t xml:space="preserve">Article 22 du RGPD — Decisions automatisees et profilage</w:t>
      </w:r>
    </w:p>
    <w:p>
      <w:pPr>
        <w:spacing w:after="120"/>
      </w:pPr>
      <w:r>
        <w:t xml:space="preserve">L'article 22 du RGPD encadre les decisions basees uniquement sur un traitement automatise, y compris le profilage. Dans notre projet, le score de churn est utilise comme aide a la decision humaine : il alerte les equipes Customer Success, qui decident ensuite de l'action a mener. Le score ne prend pas de decision definitive a la place d'un humain, ce qui limite le risque de non-conformite.</w:t>
      </w:r>
    </w:p>
    <w:p>
      <w:pPr>
        <w:spacing w:after="120"/>
      </w:pPr>
      <w:r>
        <w:t xml:space="preserve"/>
      </w:r>
    </w:p>
    <w:p>
      <w:pPr>
        <w:spacing w:after="120"/>
      </w:pPr>
      <w:r>
        <w:rPr>
          <w:b/>
          <w:bCs/>
        </w:rPr>
        <w:t xml:space="preserve">Loi Informatique et Libertes</w:t>
      </w:r>
    </w:p>
    <w:p>
      <w:pPr>
        <w:spacing w:after="120"/>
      </w:pPr>
      <w:r>
        <w:t xml:space="preserve">La loi Informatique et Libertes (1978, modifiee en 2018) est la transposition francaise du RGPD. Elle confie a la CNIL (Commission Nationale de l'Informatique et des Libertes) le role d'autorite de controle en France. Elle complete le RGPD en precisant les droits des personnes concernees et les obligations des responsables de traitement sur le territoire francais.</w:t>
      </w:r>
    </w:p>
    <w:p>
      <w:pPr>
        <w:spacing w:after="120"/>
      </w:pPr>
      <w:r>
        <w:t xml:space="preserve"/>
      </w:r>
    </w:p>
    <w:p>
      <w:pPr>
        <w:pStyle w:val="Heading2"/>
      </w:pPr>
      <w:r>
        <w:rPr>
          <w:b/>
          <w:bCs/>
        </w:rPr>
        <w:t xml:space="preserve">1.5 Organisation de l'equipe (Scrum)</w:t>
      </w:r>
    </w:p>
    <w:p>
      <w:pPr>
        <w:spacing w:after="120"/>
      </w:pPr>
      <w:r>
        <w:t xml:space="preserve">Le projet est conduit selon la methode Scrum, cadre de travail iteratif decoupe en sprints. L'equipe est composee de 4 membres dont les roles tournent a chaque sprint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3000"/>
        <w:gridCol w:w="3526"/>
      </w:tblGrid>
      <w:tr>
        <w:tc>
          <w:tcPr>
            <w:tcW w:type="dxa" w:w="25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b/>
                <w:bCs/>
                <w:color w:val="FFFFFF"/>
                <w:sz w:val="20"/>
                <w:szCs w:val="20"/>
              </w:rPr>
              <w:t xml:space="preserve">Role</w:t>
            </w:r>
          </w:p>
        </w:tc>
        <w:tc>
          <w:tcPr>
            <w:tcW w:type="dxa" w:w="3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b/>
                <w:bCs/>
                <w:color w:val="FFFFFF"/>
                <w:sz w:val="20"/>
                <w:szCs w:val="20"/>
              </w:rPr>
              <w:t xml:space="preserve">Responsabilites</w:t>
            </w:r>
          </w:p>
        </w:tc>
        <w:tc>
          <w:tcPr>
            <w:tcW w:type="dxa" w:w="3526"/>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b/>
                <w:bCs/>
                <w:color w:val="FFFFFF"/>
                <w:sz w:val="20"/>
                <w:szCs w:val="20"/>
              </w:rPr>
              <w:t xml:space="preserve">Sprint 1</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0"/>
                <w:szCs w:val="20"/>
              </w:rPr>
              <w:t xml:space="preserve">Product Owner</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0"/>
                <w:szCs w:val="20"/>
              </w:rPr>
              <w:t xml:space="preserve">Voix du client, gestion du backlog, arbitrage des priorites</w:t>
            </w:r>
          </w:p>
        </w:tc>
        <w:tc>
          <w:tcPr>
            <w:tcW w:type="dxa" w:w="3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0"/>
                <w:szCs w:val="20"/>
              </w:rPr>
              <w:t xml:space="preserve">A definir</w:t>
            </w:r>
          </w:p>
        </w:tc>
      </w:tr>
      <w:tr>
        <w:tc>
          <w:tcPr>
            <w:tcW w:type="dxa" w:w="2500"/>
            <w:tcBorders>
              <w:top w:val="single" w:color="CCCCCC" w:sz="1"/>
              <w:left w:val="single" w:color="CCCCCC" w:sz="1"/>
              <w:bottom w:val="single" w:color="CCCCCC" w:sz="1"/>
              <w:right w:val="single" w:color="CCCCCC" w:sz="1"/>
            </w:tcBorders>
            <w:shd w:fill="EEF2F7" w:val="clear"/>
            <w:tcMar>
              <w:top w:type="dxa" w:w="80"/>
              <w:left w:type="dxa" w:w="120"/>
              <w:bottom w:type="dxa" w:w="80"/>
              <w:right w:type="dxa" w:w="120"/>
            </w:tcMar>
          </w:tcPr>
          <w:p>
            <w:r>
              <w:rPr>
                <w:sz w:val="20"/>
                <w:szCs w:val="20"/>
              </w:rPr>
              <w:t xml:space="preserve">Scrum Master</w:t>
            </w:r>
          </w:p>
        </w:tc>
        <w:tc>
          <w:tcPr>
            <w:tcW w:type="dxa" w:w="3000"/>
            <w:tcBorders>
              <w:top w:val="single" w:color="CCCCCC" w:sz="1"/>
              <w:left w:val="single" w:color="CCCCCC" w:sz="1"/>
              <w:bottom w:val="single" w:color="CCCCCC" w:sz="1"/>
              <w:right w:val="single" w:color="CCCCCC" w:sz="1"/>
            </w:tcBorders>
            <w:shd w:fill="EEF2F7" w:val="clear"/>
            <w:tcMar>
              <w:top w:type="dxa" w:w="80"/>
              <w:left w:type="dxa" w:w="120"/>
              <w:bottom w:type="dxa" w:w="80"/>
              <w:right w:type="dxa" w:w="120"/>
            </w:tcMar>
          </w:tcPr>
          <w:p>
            <w:r>
              <w:rPr>
                <w:sz w:val="20"/>
                <w:szCs w:val="20"/>
              </w:rPr>
              <w:t xml:space="preserve">Animation des standups, suivi des livrables, respect des rituels</w:t>
            </w:r>
          </w:p>
        </w:tc>
        <w:tc>
          <w:tcPr>
            <w:tcW w:type="dxa" w:w="3526"/>
            <w:tcBorders>
              <w:top w:val="single" w:color="CCCCCC" w:sz="1"/>
              <w:left w:val="single" w:color="CCCCCC" w:sz="1"/>
              <w:bottom w:val="single" w:color="CCCCCC" w:sz="1"/>
              <w:right w:val="single" w:color="CCCCCC" w:sz="1"/>
            </w:tcBorders>
            <w:shd w:fill="EEF2F7" w:val="clear"/>
            <w:tcMar>
              <w:top w:type="dxa" w:w="80"/>
              <w:left w:type="dxa" w:w="120"/>
              <w:bottom w:type="dxa" w:w="80"/>
              <w:right w:type="dxa" w:w="120"/>
            </w:tcMar>
          </w:tcPr>
          <w:p>
            <w:r>
              <w:rPr>
                <w:sz w:val="20"/>
                <w:szCs w:val="20"/>
              </w:rPr>
              <w:t xml:space="preserve">A definir</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0"/>
                <w:szCs w:val="20"/>
              </w:rPr>
              <w:t xml:space="preserve">Developpeur IA (x2)</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0"/>
                <w:szCs w:val="20"/>
              </w:rPr>
              <w:t xml:space="preserve">Redaction, test et iteration des agents Gemini CLI</w:t>
            </w:r>
          </w:p>
        </w:tc>
        <w:tc>
          <w:tcPr>
            <w:tcW w:type="dxa" w:w="3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0"/>
                <w:szCs w:val="20"/>
              </w:rPr>
              <w:t xml:space="preserve">A definir</w:t>
            </w:r>
          </w:p>
        </w:tc>
      </w:tr>
    </w:tbl>
    <w:p>
      <w:pPr>
        <w:spacing w:after="120"/>
      </w:pPr>
      <w:r>
        <w:t xml:space="preserve"/>
      </w:r>
    </w:p>
    <w:p>
      <w:pPr>
        <w:pStyle w:val="Heading2"/>
      </w:pPr>
      <w:r>
        <w:rPr>
          <w:b/>
          <w:bCs/>
        </w:rPr>
        <w:t xml:space="preserve">1.6 Planning des sprints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500"/>
        <w:gridCol w:w="1500"/>
        <w:gridCol w:w="3526"/>
      </w:tblGrid>
      <w:tr>
        <w:tc>
          <w:tcPr>
            <w:tcW w:type="dxa" w:w="15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b/>
                <w:bCs/>
                <w:color w:val="FFFFFF"/>
                <w:sz w:val="20"/>
                <w:szCs w:val="20"/>
              </w:rPr>
              <w:t xml:space="preserve">Sprint</w:t>
            </w:r>
          </w:p>
        </w:tc>
        <w:tc>
          <w:tcPr>
            <w:tcW w:type="dxa" w:w="25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b/>
                <w:bCs/>
                <w:color w:val="FFFFFF"/>
                <w:sz w:val="20"/>
                <w:szCs w:val="20"/>
              </w:rPr>
              <w:t xml:space="preserve">Dates</w:t>
            </w:r>
          </w:p>
        </w:tc>
        <w:tc>
          <w:tcPr>
            <w:tcW w:type="dxa" w:w="15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b/>
                <w:bCs/>
                <w:color w:val="FFFFFF"/>
                <w:sz w:val="20"/>
                <w:szCs w:val="20"/>
              </w:rPr>
              <w:t xml:space="preserve">Volume</w:t>
            </w:r>
          </w:p>
        </w:tc>
        <w:tc>
          <w:tcPr>
            <w:tcW w:type="dxa" w:w="3526"/>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b/>
                <w:bCs/>
                <w:color w:val="FFFFFF"/>
                <w:sz w:val="20"/>
                <w:szCs w:val="20"/>
              </w:rPr>
              <w:t xml:space="preserve">Theme</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0"/>
                <w:szCs w:val="20"/>
              </w:rPr>
              <w:t xml:space="preserve">Sprint 1</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0"/>
                <w:szCs w:val="20"/>
              </w:rPr>
              <w:t xml:space="preserve">9-11 mars 2026</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0"/>
                <w:szCs w:val="20"/>
              </w:rPr>
              <w:t xml:space="preserve">10h</w:t>
            </w:r>
          </w:p>
        </w:tc>
        <w:tc>
          <w:tcPr>
            <w:tcW w:type="dxa" w:w="3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0"/>
                <w:szCs w:val="20"/>
              </w:rPr>
              <w:t xml:space="preserve">Decouverte et mise en place</w:t>
            </w:r>
          </w:p>
        </w:tc>
      </w:tr>
      <w:tr>
        <w:tc>
          <w:tcPr>
            <w:tcW w:type="dxa" w:w="1500"/>
            <w:tcBorders>
              <w:top w:val="single" w:color="CCCCCC" w:sz="1"/>
              <w:left w:val="single" w:color="CCCCCC" w:sz="1"/>
              <w:bottom w:val="single" w:color="CCCCCC" w:sz="1"/>
              <w:right w:val="single" w:color="CCCCCC" w:sz="1"/>
            </w:tcBorders>
            <w:shd w:fill="EEF2F7" w:val="clear"/>
            <w:tcMar>
              <w:top w:type="dxa" w:w="80"/>
              <w:left w:type="dxa" w:w="120"/>
              <w:bottom w:type="dxa" w:w="80"/>
              <w:right w:type="dxa" w:w="120"/>
            </w:tcMar>
          </w:tcPr>
          <w:p>
            <w:r>
              <w:rPr>
                <w:sz w:val="20"/>
                <w:szCs w:val="20"/>
              </w:rPr>
              <w:t xml:space="preserve">Sprint 2</w:t>
            </w:r>
          </w:p>
        </w:tc>
        <w:tc>
          <w:tcPr>
            <w:tcW w:type="dxa" w:w="2500"/>
            <w:tcBorders>
              <w:top w:val="single" w:color="CCCCCC" w:sz="1"/>
              <w:left w:val="single" w:color="CCCCCC" w:sz="1"/>
              <w:bottom w:val="single" w:color="CCCCCC" w:sz="1"/>
              <w:right w:val="single" w:color="CCCCCC" w:sz="1"/>
            </w:tcBorders>
            <w:shd w:fill="EEF2F7" w:val="clear"/>
            <w:tcMar>
              <w:top w:type="dxa" w:w="80"/>
              <w:left w:type="dxa" w:w="120"/>
              <w:bottom w:type="dxa" w:w="80"/>
              <w:right w:type="dxa" w:w="120"/>
            </w:tcMar>
          </w:tcPr>
          <w:p>
            <w:r>
              <w:rPr>
                <w:sz w:val="20"/>
                <w:szCs w:val="20"/>
              </w:rPr>
              <w:t xml:space="preserve">30 mars 2026</w:t>
            </w:r>
          </w:p>
        </w:tc>
        <w:tc>
          <w:tcPr>
            <w:tcW w:type="dxa" w:w="1500"/>
            <w:tcBorders>
              <w:top w:val="single" w:color="CCCCCC" w:sz="1"/>
              <w:left w:val="single" w:color="CCCCCC" w:sz="1"/>
              <w:bottom w:val="single" w:color="CCCCCC" w:sz="1"/>
              <w:right w:val="single" w:color="CCCCCC" w:sz="1"/>
            </w:tcBorders>
            <w:shd w:fill="EEF2F7" w:val="clear"/>
            <w:tcMar>
              <w:top w:type="dxa" w:w="80"/>
              <w:left w:type="dxa" w:w="120"/>
              <w:bottom w:type="dxa" w:w="80"/>
              <w:right w:type="dxa" w:w="120"/>
            </w:tcMar>
          </w:tcPr>
          <w:p>
            <w:r>
              <w:rPr>
                <w:sz w:val="20"/>
                <w:szCs w:val="20"/>
              </w:rPr>
              <w:t xml:space="preserve">6h</w:t>
            </w:r>
          </w:p>
        </w:tc>
        <w:tc>
          <w:tcPr>
            <w:tcW w:type="dxa" w:w="3526"/>
            <w:tcBorders>
              <w:top w:val="single" w:color="CCCCCC" w:sz="1"/>
              <w:left w:val="single" w:color="CCCCCC" w:sz="1"/>
              <w:bottom w:val="single" w:color="CCCCCC" w:sz="1"/>
              <w:right w:val="single" w:color="CCCCCC" w:sz="1"/>
            </w:tcBorders>
            <w:shd w:fill="EEF2F7" w:val="clear"/>
            <w:tcMar>
              <w:top w:type="dxa" w:w="80"/>
              <w:left w:type="dxa" w:w="120"/>
              <w:bottom w:type="dxa" w:w="80"/>
              <w:right w:type="dxa" w:w="120"/>
            </w:tcMar>
          </w:tcPr>
          <w:p>
            <w:r>
              <w:rPr>
                <w:sz w:val="20"/>
                <w:szCs w:val="20"/>
              </w:rPr>
              <w:t xml:space="preserve">Traitement des donnees</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0"/>
                <w:szCs w:val="20"/>
              </w:rPr>
              <w:t xml:space="preserve">Sprint 3</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0"/>
                <w:szCs w:val="20"/>
              </w:rPr>
              <w:t xml:space="preserve">27 avril 2026</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0"/>
                <w:szCs w:val="20"/>
              </w:rPr>
              <w:t xml:space="preserve">8h</w:t>
            </w:r>
          </w:p>
        </w:tc>
        <w:tc>
          <w:tcPr>
            <w:tcW w:type="dxa" w:w="3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0"/>
                <w:szCs w:val="20"/>
              </w:rPr>
              <w:t xml:space="preserve">Modelisation</w:t>
            </w:r>
          </w:p>
        </w:tc>
      </w:tr>
      <w:tr>
        <w:tc>
          <w:tcPr>
            <w:tcW w:type="dxa" w:w="1500"/>
            <w:tcBorders>
              <w:top w:val="single" w:color="CCCCCC" w:sz="1"/>
              <w:left w:val="single" w:color="CCCCCC" w:sz="1"/>
              <w:bottom w:val="single" w:color="CCCCCC" w:sz="1"/>
              <w:right w:val="single" w:color="CCCCCC" w:sz="1"/>
            </w:tcBorders>
            <w:shd w:fill="EEF2F7" w:val="clear"/>
            <w:tcMar>
              <w:top w:type="dxa" w:w="80"/>
              <w:left w:type="dxa" w:w="120"/>
              <w:bottom w:type="dxa" w:w="80"/>
              <w:right w:type="dxa" w:w="120"/>
            </w:tcMar>
          </w:tcPr>
          <w:p>
            <w:r>
              <w:rPr>
                <w:sz w:val="20"/>
                <w:szCs w:val="20"/>
              </w:rPr>
              <w:t xml:space="preserve">Sprint 4</w:t>
            </w:r>
          </w:p>
        </w:tc>
        <w:tc>
          <w:tcPr>
            <w:tcW w:type="dxa" w:w="2500"/>
            <w:tcBorders>
              <w:top w:val="single" w:color="CCCCCC" w:sz="1"/>
              <w:left w:val="single" w:color="CCCCCC" w:sz="1"/>
              <w:bottom w:val="single" w:color="CCCCCC" w:sz="1"/>
              <w:right w:val="single" w:color="CCCCCC" w:sz="1"/>
            </w:tcBorders>
            <w:shd w:fill="EEF2F7" w:val="clear"/>
            <w:tcMar>
              <w:top w:type="dxa" w:w="80"/>
              <w:left w:type="dxa" w:w="120"/>
              <w:bottom w:type="dxa" w:w="80"/>
              <w:right w:type="dxa" w:w="120"/>
            </w:tcMar>
          </w:tcPr>
          <w:p>
            <w:r>
              <w:rPr>
                <w:sz w:val="20"/>
                <w:szCs w:val="20"/>
              </w:rPr>
              <w:t xml:space="preserve">26-29 mai 2026</w:t>
            </w:r>
          </w:p>
        </w:tc>
        <w:tc>
          <w:tcPr>
            <w:tcW w:type="dxa" w:w="1500"/>
            <w:tcBorders>
              <w:top w:val="single" w:color="CCCCCC" w:sz="1"/>
              <w:left w:val="single" w:color="CCCCCC" w:sz="1"/>
              <w:bottom w:val="single" w:color="CCCCCC" w:sz="1"/>
              <w:right w:val="single" w:color="CCCCCC" w:sz="1"/>
            </w:tcBorders>
            <w:shd w:fill="EEF2F7" w:val="clear"/>
            <w:tcMar>
              <w:top w:type="dxa" w:w="80"/>
              <w:left w:type="dxa" w:w="120"/>
              <w:bottom w:type="dxa" w:w="80"/>
              <w:right w:type="dxa" w:w="120"/>
            </w:tcMar>
          </w:tcPr>
          <w:p>
            <w:r>
              <w:rPr>
                <w:sz w:val="20"/>
                <w:szCs w:val="20"/>
              </w:rPr>
              <w:t xml:space="preserve">10h</w:t>
            </w:r>
          </w:p>
        </w:tc>
        <w:tc>
          <w:tcPr>
            <w:tcW w:type="dxa" w:w="3526"/>
            <w:tcBorders>
              <w:top w:val="single" w:color="CCCCCC" w:sz="1"/>
              <w:left w:val="single" w:color="CCCCCC" w:sz="1"/>
              <w:bottom w:val="single" w:color="CCCCCC" w:sz="1"/>
              <w:right w:val="single" w:color="CCCCCC" w:sz="1"/>
            </w:tcBorders>
            <w:shd w:fill="EEF2F7" w:val="clear"/>
            <w:tcMar>
              <w:top w:type="dxa" w:w="80"/>
              <w:left w:type="dxa" w:w="120"/>
              <w:bottom w:type="dxa" w:w="80"/>
              <w:right w:type="dxa" w:w="120"/>
            </w:tcMar>
          </w:tcPr>
          <w:p>
            <w:r>
              <w:rPr>
                <w:sz w:val="20"/>
                <w:szCs w:val="20"/>
              </w:rPr>
              <w:t xml:space="preserve">Deploiement et soutenance</w:t>
            </w:r>
          </w:p>
        </w:tc>
      </w:tr>
    </w:tbl>
    <w:p>
      <w:pPr>
        <w:spacing w:after="120"/>
      </w:pPr>
      <w:r>
        <w:t xml:space="preserve"/>
      </w:r>
    </w:p>
    <w:p>
      <w:pPr>
        <w:spacing w:after="120"/>
      </w:pPr>
      <w:r>
        <w:rPr>
          <w:i/>
          <w:iCs/>
          <w:color w:val="888888"/>
        </w:rPr>
        <w:t xml:space="preserve">Les sections 2 (Traitement des donnees), 3 (Modelisation) et 4 (Deploiement et recommandations) seront completees au fil des sprints suivants.</w:t>
      </w:r>
    </w:p>
    <w:p>
      <w:r>
        <w:br w:type="page"/>
      </w:r>
    </w:p>
    <w:p>
      <w:pPr>
        <w:pStyle w:val="Heading1"/>
      </w:pPr>
      <w:r>
        <w:rPr>
          <w:b/>
          <w:bCs/>
        </w:rPr>
        <w:t xml:space="preserve">2. Traitement des donnees – Sprint 2</w:t>
      </w:r>
    </w:p>
    <w:p>
      <w:pPr>
        <w:spacing w:after="180"/>
      </w:pPr>
      <w:r>
        <w:t xml:space="preserve">La section 2 du dossier de conception documente le travail de transformation des données brutes réalisé au Sprint 2 : nettoyage, construction de la table analytique et feature engineering. La table analytique finale (data/processed/analytics.csv) contient 500 lignes (une par compte client) et 28 colonnes.</w:t>
      </w:r>
    </w:p>
    <w:p>
      <w:pPr>
        <w:pStyle w:val="Heading2"/>
      </w:pPr>
      <w:r>
        <w:rPr>
          <w:b/>
          <w:bCs/>
        </w:rPr>
        <w:t xml:space="preserve">2.4 Features créées et justification métier</w:t>
      </w:r>
    </w:p>
    <w:p>
      <w:pPr>
        <w:spacing w:after="160"/>
      </w:pPr>
      <w:r>
        <w:t xml:space="preserve">Les 28 colonnes de la table analytique se répartissent en trois catégories : variables d’identification et de profil client, variables agrégées issues de la jointure des 5 CSV, et variables dérivées créées lors du feature engineering.</w:t>
      </w:r>
    </w:p>
    <w:p>
      <w:pPr>
        <w:pStyle w:val="Heading2"/>
      </w:pPr>
      <w:r>
        <w:rPr>
          <w:b/>
          <w:bCs/>
        </w:rPr>
        <w:t xml:space="preserve">2.4.1 Variables d’identification et de profil client</w:t>
      </w:r>
    </w:p>
    <w:p>
      <w:pPr>
        <w:spacing w:after="120"/>
      </w:pPr>
      <w:r>
        <w:t xml:space="preserve">Ces variables proviennent directement de accounts.csv et ne nécessitent pas de transformation. Elles servent à identifier le compte et à segmenter les prédictions.</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2000"/>
        <w:gridCol w:w="2500"/>
        <w:gridCol w:w="4526"/>
      </w:tblGrid>
      <w:tr>
        <w:tc>
          <w:tcPr>
            <w:tcW w:type="dxa" w:w="2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b/>
                <w:bCs/>
                <w:color w:val="FFFFFF"/>
                <w:sz w:val="20"/>
                <w:szCs w:val="20"/>
              </w:rPr>
              <w:t xml:space="preserve">Variable</w:t>
            </w:r>
          </w:p>
        </w:tc>
        <w:tc>
          <w:tcPr>
            <w:tcW w:type="dxa" w:w="25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b/>
                <w:bCs/>
                <w:color w:val="FFFFFF"/>
                <w:sz w:val="20"/>
                <w:szCs w:val="20"/>
              </w:rPr>
              <w:t xml:space="preserve">Source</w:t>
            </w:r>
          </w:p>
        </w:tc>
        <w:tc>
          <w:tcPr>
            <w:tcW w:type="dxa" w:w="4526"/>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b/>
                <w:bCs/>
                <w:color w:val="FFFFFF"/>
                <w:sz w:val="20"/>
                <w:szCs w:val="20"/>
              </w:rPr>
              <w:t xml:space="preserve">Rôle</w:t>
            </w:r>
          </w:p>
        </w:tc>
      </w:tr>
      <w:tr>
        <w:tc>
          <w:tcPr>
            <w:tcW w:type="dxa" w:w="2000"/>
            <w:tcBorders>
              <w:top w:val="single" w:color="CCCCCC" w:sz="1"/>
              <w:left w:val="single" w:color="CCCCCC" w:sz="1"/>
              <w:bottom w:val="single" w:color="CCCCCC" w:sz="1"/>
              <w:right w:val="single" w:color="CCCCCC" w:sz="1"/>
            </w:tcBorders>
            <w:shd w:fill="EEF2F7" w:val="clear"/>
            <w:tcMar>
              <w:top w:type="dxa" w:w="80"/>
              <w:left w:type="dxa" w:w="120"/>
              <w:bottom w:type="dxa" w:w="80"/>
              <w:right w:type="dxa" w:w="120"/>
            </w:tcMar>
          </w:tcPr>
          <w:p>
            <w:r>
              <w:rPr>
                <w:sz w:val="20"/>
                <w:szCs w:val="20"/>
              </w:rPr>
              <w:t xml:space="preserve">account_id</w:t>
            </w:r>
          </w:p>
        </w:tc>
        <w:tc>
          <w:tcPr>
            <w:tcW w:type="dxa" w:w="2500"/>
            <w:tcBorders>
              <w:top w:val="single" w:color="CCCCCC" w:sz="1"/>
              <w:left w:val="single" w:color="CCCCCC" w:sz="1"/>
              <w:bottom w:val="single" w:color="CCCCCC" w:sz="1"/>
              <w:right w:val="single" w:color="CCCCCC" w:sz="1"/>
            </w:tcBorders>
            <w:shd w:fill="EEF2F7" w:val="clear"/>
            <w:tcMar>
              <w:top w:type="dxa" w:w="80"/>
              <w:left w:type="dxa" w:w="120"/>
              <w:bottom w:type="dxa" w:w="80"/>
              <w:right w:type="dxa" w:w="120"/>
            </w:tcMar>
          </w:tcPr>
          <w:p>
            <w:r>
              <w:rPr>
                <w:sz w:val="20"/>
                <w:szCs w:val="20"/>
              </w:rPr>
              <w:t xml:space="preserve">accounts.csv</w:t>
            </w:r>
          </w:p>
        </w:tc>
        <w:tc>
          <w:tcPr>
            <w:tcW w:type="dxa" w:w="4526"/>
            <w:tcBorders>
              <w:top w:val="single" w:color="CCCCCC" w:sz="1"/>
              <w:left w:val="single" w:color="CCCCCC" w:sz="1"/>
              <w:bottom w:val="single" w:color="CCCCCC" w:sz="1"/>
              <w:right w:val="single" w:color="CCCCCC" w:sz="1"/>
            </w:tcBorders>
            <w:shd w:fill="EEF2F7" w:val="clear"/>
            <w:tcMar>
              <w:top w:type="dxa" w:w="80"/>
              <w:left w:type="dxa" w:w="120"/>
              <w:bottom w:type="dxa" w:w="80"/>
              <w:right w:type="dxa" w:w="120"/>
            </w:tcMar>
          </w:tcPr>
          <w:p>
            <w:r>
              <w:rPr>
                <w:sz w:val="20"/>
                <w:szCs w:val="20"/>
              </w:rPr>
              <w:t xml:space="preserve">Clé primaire — identifiant unique du compte</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0"/>
                <w:szCs w:val="20"/>
              </w:rPr>
              <w:t xml:space="preserve">account_name</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0"/>
                <w:szCs w:val="20"/>
              </w:rPr>
              <w:t xml:space="preserve">accounts.csv</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0"/>
                <w:szCs w:val="20"/>
              </w:rPr>
              <w:t xml:space="preserve">Identification nominale (exclue du modèle)</w:t>
            </w:r>
          </w:p>
        </w:tc>
      </w:tr>
      <w:tr>
        <w:tc>
          <w:tcPr>
            <w:tcW w:type="dxa" w:w="2000"/>
            <w:tcBorders>
              <w:top w:val="single" w:color="CCCCCC" w:sz="1"/>
              <w:left w:val="single" w:color="CCCCCC" w:sz="1"/>
              <w:bottom w:val="single" w:color="CCCCCC" w:sz="1"/>
              <w:right w:val="single" w:color="CCCCCC" w:sz="1"/>
            </w:tcBorders>
            <w:shd w:fill="EEF2F7" w:val="clear"/>
            <w:tcMar>
              <w:top w:type="dxa" w:w="80"/>
              <w:left w:type="dxa" w:w="120"/>
              <w:bottom w:type="dxa" w:w="80"/>
              <w:right w:type="dxa" w:w="120"/>
            </w:tcMar>
          </w:tcPr>
          <w:p>
            <w:r>
              <w:rPr>
                <w:sz w:val="20"/>
                <w:szCs w:val="20"/>
              </w:rPr>
              <w:t xml:space="preserve">industry</w:t>
            </w:r>
          </w:p>
        </w:tc>
        <w:tc>
          <w:tcPr>
            <w:tcW w:type="dxa" w:w="2500"/>
            <w:tcBorders>
              <w:top w:val="single" w:color="CCCCCC" w:sz="1"/>
              <w:left w:val="single" w:color="CCCCCC" w:sz="1"/>
              <w:bottom w:val="single" w:color="CCCCCC" w:sz="1"/>
              <w:right w:val="single" w:color="CCCCCC" w:sz="1"/>
            </w:tcBorders>
            <w:shd w:fill="EEF2F7" w:val="clear"/>
            <w:tcMar>
              <w:top w:type="dxa" w:w="80"/>
              <w:left w:type="dxa" w:w="120"/>
              <w:bottom w:type="dxa" w:w="80"/>
              <w:right w:type="dxa" w:w="120"/>
            </w:tcMar>
          </w:tcPr>
          <w:p>
            <w:r>
              <w:rPr>
                <w:sz w:val="20"/>
                <w:szCs w:val="20"/>
              </w:rPr>
              <w:t xml:space="preserve">accounts.csv</w:t>
            </w:r>
          </w:p>
        </w:tc>
        <w:tc>
          <w:tcPr>
            <w:tcW w:type="dxa" w:w="4526"/>
            <w:tcBorders>
              <w:top w:val="single" w:color="CCCCCC" w:sz="1"/>
              <w:left w:val="single" w:color="CCCCCC" w:sz="1"/>
              <w:bottom w:val="single" w:color="CCCCCC" w:sz="1"/>
              <w:right w:val="single" w:color="CCCCCC" w:sz="1"/>
            </w:tcBorders>
            <w:shd w:fill="EEF2F7" w:val="clear"/>
            <w:tcMar>
              <w:top w:type="dxa" w:w="80"/>
              <w:left w:type="dxa" w:w="120"/>
              <w:bottom w:type="dxa" w:w="80"/>
              <w:right w:type="dxa" w:w="120"/>
            </w:tcMar>
          </w:tcPr>
          <w:p>
            <w:r>
              <w:rPr>
                <w:sz w:val="20"/>
                <w:szCs w:val="20"/>
              </w:rPr>
              <w:t xml:space="preserve">Secteur d’activité — le churn peut varier fortement selon l’industrie</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0"/>
                <w:szCs w:val="20"/>
              </w:rPr>
              <w:t xml:space="preserve">country</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0"/>
                <w:szCs w:val="20"/>
              </w:rPr>
              <w:t xml:space="preserve">accounts.csv</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0"/>
                <w:szCs w:val="20"/>
              </w:rPr>
              <w:t xml:space="preserve">Pays — permet d’identifier des effets géographiques ou réglementaires</w:t>
            </w:r>
          </w:p>
        </w:tc>
      </w:tr>
      <w:tr>
        <w:tc>
          <w:tcPr>
            <w:tcW w:type="dxa" w:w="2000"/>
            <w:tcBorders>
              <w:top w:val="single" w:color="CCCCCC" w:sz="1"/>
              <w:left w:val="single" w:color="CCCCCC" w:sz="1"/>
              <w:bottom w:val="single" w:color="CCCCCC" w:sz="1"/>
              <w:right w:val="single" w:color="CCCCCC" w:sz="1"/>
            </w:tcBorders>
            <w:shd w:fill="EEF2F7" w:val="clear"/>
            <w:tcMar>
              <w:top w:type="dxa" w:w="80"/>
              <w:left w:type="dxa" w:w="120"/>
              <w:bottom w:type="dxa" w:w="80"/>
              <w:right w:type="dxa" w:w="120"/>
            </w:tcMar>
          </w:tcPr>
          <w:p>
            <w:r>
              <w:rPr>
                <w:sz w:val="20"/>
                <w:szCs w:val="20"/>
              </w:rPr>
              <w:t xml:space="preserve">signup_date</w:t>
            </w:r>
          </w:p>
        </w:tc>
        <w:tc>
          <w:tcPr>
            <w:tcW w:type="dxa" w:w="2500"/>
            <w:tcBorders>
              <w:top w:val="single" w:color="CCCCCC" w:sz="1"/>
              <w:left w:val="single" w:color="CCCCCC" w:sz="1"/>
              <w:bottom w:val="single" w:color="CCCCCC" w:sz="1"/>
              <w:right w:val="single" w:color="CCCCCC" w:sz="1"/>
            </w:tcBorders>
            <w:shd w:fill="EEF2F7" w:val="clear"/>
            <w:tcMar>
              <w:top w:type="dxa" w:w="80"/>
              <w:left w:type="dxa" w:w="120"/>
              <w:bottom w:type="dxa" w:w="80"/>
              <w:right w:type="dxa" w:w="120"/>
            </w:tcMar>
          </w:tcPr>
          <w:p>
            <w:r>
              <w:rPr>
                <w:sz w:val="20"/>
                <w:szCs w:val="20"/>
              </w:rPr>
              <w:t xml:space="preserve">accounts.csv</w:t>
            </w:r>
          </w:p>
        </w:tc>
        <w:tc>
          <w:tcPr>
            <w:tcW w:type="dxa" w:w="4526"/>
            <w:tcBorders>
              <w:top w:val="single" w:color="CCCCCC" w:sz="1"/>
              <w:left w:val="single" w:color="CCCCCC" w:sz="1"/>
              <w:bottom w:val="single" w:color="CCCCCC" w:sz="1"/>
              <w:right w:val="single" w:color="CCCCCC" w:sz="1"/>
            </w:tcBorders>
            <w:shd w:fill="EEF2F7" w:val="clear"/>
            <w:tcMar>
              <w:top w:type="dxa" w:w="80"/>
              <w:left w:type="dxa" w:w="120"/>
              <w:bottom w:type="dxa" w:w="80"/>
              <w:right w:type="dxa" w:w="120"/>
            </w:tcMar>
          </w:tcPr>
          <w:p>
            <w:r>
              <w:rPr>
                <w:sz w:val="20"/>
                <w:szCs w:val="20"/>
              </w:rPr>
              <w:t xml:space="preserve">Date d’inscription — utilisée pour calculer l’ancienneté</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0"/>
                <w:szCs w:val="20"/>
              </w:rPr>
              <w:t xml:space="preserve">referral_source</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0"/>
                <w:szCs w:val="20"/>
              </w:rPr>
              <w:t xml:space="preserve">accounts.csv</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0"/>
                <w:szCs w:val="20"/>
              </w:rPr>
              <w:t xml:space="preserve">Canal d’acquisition — les clients acquis via certains canaux ont un taux de rétention différent</w:t>
            </w:r>
          </w:p>
        </w:tc>
      </w:tr>
      <w:tr>
        <w:tc>
          <w:tcPr>
            <w:tcW w:type="dxa" w:w="2000"/>
            <w:tcBorders>
              <w:top w:val="single" w:color="CCCCCC" w:sz="1"/>
              <w:left w:val="single" w:color="CCCCCC" w:sz="1"/>
              <w:bottom w:val="single" w:color="CCCCCC" w:sz="1"/>
              <w:right w:val="single" w:color="CCCCCC" w:sz="1"/>
            </w:tcBorders>
            <w:shd w:fill="EEF2F7" w:val="clear"/>
            <w:tcMar>
              <w:top w:type="dxa" w:w="80"/>
              <w:left w:type="dxa" w:w="120"/>
              <w:bottom w:type="dxa" w:w="80"/>
              <w:right w:type="dxa" w:w="120"/>
            </w:tcMar>
          </w:tcPr>
          <w:p>
            <w:r>
              <w:rPr>
                <w:sz w:val="20"/>
                <w:szCs w:val="20"/>
              </w:rPr>
              <w:t xml:space="preserve">plan_tier</w:t>
            </w:r>
          </w:p>
        </w:tc>
        <w:tc>
          <w:tcPr>
            <w:tcW w:type="dxa" w:w="2500"/>
            <w:tcBorders>
              <w:top w:val="single" w:color="CCCCCC" w:sz="1"/>
              <w:left w:val="single" w:color="CCCCCC" w:sz="1"/>
              <w:bottom w:val="single" w:color="CCCCCC" w:sz="1"/>
              <w:right w:val="single" w:color="CCCCCC" w:sz="1"/>
            </w:tcBorders>
            <w:shd w:fill="EEF2F7" w:val="clear"/>
            <w:tcMar>
              <w:top w:type="dxa" w:w="80"/>
              <w:left w:type="dxa" w:w="120"/>
              <w:bottom w:type="dxa" w:w="80"/>
              <w:right w:type="dxa" w:w="120"/>
            </w:tcMar>
          </w:tcPr>
          <w:p>
            <w:r>
              <w:rPr>
                <w:sz w:val="20"/>
                <w:szCs w:val="20"/>
              </w:rPr>
              <w:t xml:space="preserve">accounts.csv</w:t>
            </w:r>
          </w:p>
        </w:tc>
        <w:tc>
          <w:tcPr>
            <w:tcW w:type="dxa" w:w="4526"/>
            <w:tcBorders>
              <w:top w:val="single" w:color="CCCCCC" w:sz="1"/>
              <w:left w:val="single" w:color="CCCCCC" w:sz="1"/>
              <w:bottom w:val="single" w:color="CCCCCC" w:sz="1"/>
              <w:right w:val="single" w:color="CCCCCC" w:sz="1"/>
            </w:tcBorders>
            <w:shd w:fill="EEF2F7" w:val="clear"/>
            <w:tcMar>
              <w:top w:type="dxa" w:w="80"/>
              <w:left w:type="dxa" w:w="120"/>
              <w:bottom w:type="dxa" w:w="80"/>
              <w:right w:type="dxa" w:w="120"/>
            </w:tcMar>
          </w:tcPr>
          <w:p>
            <w:r>
              <w:rPr>
                <w:sz w:val="20"/>
                <w:szCs w:val="20"/>
              </w:rPr>
              <w:t xml:space="preserve">Niveau de plan actuel — variable catégorielle clé pour la segmentation</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0"/>
                <w:szCs w:val="20"/>
              </w:rPr>
              <w:t xml:space="preserve">seats</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0"/>
                <w:szCs w:val="20"/>
              </w:rPr>
              <w:t xml:space="preserve">accounts.csv</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0"/>
                <w:szCs w:val="20"/>
              </w:rPr>
              <w:t xml:space="preserve">Nombre de sièges actifs — proxy de la taille et de l’engagement de l’entreprise cliente</w:t>
            </w:r>
          </w:p>
        </w:tc>
      </w:tr>
      <w:tr>
        <w:tc>
          <w:tcPr>
            <w:tcW w:type="dxa" w:w="2000"/>
            <w:tcBorders>
              <w:top w:val="single" w:color="CCCCCC" w:sz="1"/>
              <w:left w:val="single" w:color="CCCCCC" w:sz="1"/>
              <w:bottom w:val="single" w:color="CCCCCC" w:sz="1"/>
              <w:right w:val="single" w:color="CCCCCC" w:sz="1"/>
            </w:tcBorders>
            <w:shd w:fill="EEF2F7" w:val="clear"/>
            <w:tcMar>
              <w:top w:type="dxa" w:w="80"/>
              <w:left w:type="dxa" w:w="120"/>
              <w:bottom w:type="dxa" w:w="80"/>
              <w:right w:type="dxa" w:w="120"/>
            </w:tcMar>
          </w:tcPr>
          <w:p>
            <w:r>
              <w:rPr>
                <w:sz w:val="20"/>
                <w:szCs w:val="20"/>
              </w:rPr>
              <w:t xml:space="preserve">is_trial</w:t>
            </w:r>
          </w:p>
        </w:tc>
        <w:tc>
          <w:tcPr>
            <w:tcW w:type="dxa" w:w="2500"/>
            <w:tcBorders>
              <w:top w:val="single" w:color="CCCCCC" w:sz="1"/>
              <w:left w:val="single" w:color="CCCCCC" w:sz="1"/>
              <w:bottom w:val="single" w:color="CCCCCC" w:sz="1"/>
              <w:right w:val="single" w:color="CCCCCC" w:sz="1"/>
            </w:tcBorders>
            <w:shd w:fill="EEF2F7" w:val="clear"/>
            <w:tcMar>
              <w:top w:type="dxa" w:w="80"/>
              <w:left w:type="dxa" w:w="120"/>
              <w:bottom w:type="dxa" w:w="80"/>
              <w:right w:type="dxa" w:w="120"/>
            </w:tcMar>
          </w:tcPr>
          <w:p>
            <w:r>
              <w:rPr>
                <w:sz w:val="20"/>
                <w:szCs w:val="20"/>
              </w:rPr>
              <w:t xml:space="preserve">accounts.csv</w:t>
            </w:r>
          </w:p>
        </w:tc>
        <w:tc>
          <w:tcPr>
            <w:tcW w:type="dxa" w:w="4526"/>
            <w:tcBorders>
              <w:top w:val="single" w:color="CCCCCC" w:sz="1"/>
              <w:left w:val="single" w:color="CCCCCC" w:sz="1"/>
              <w:bottom w:val="single" w:color="CCCCCC" w:sz="1"/>
              <w:right w:val="single" w:color="CCCCCC" w:sz="1"/>
            </w:tcBorders>
            <w:shd w:fill="EEF2F7" w:val="clear"/>
            <w:tcMar>
              <w:top w:type="dxa" w:w="80"/>
              <w:left w:type="dxa" w:w="120"/>
              <w:bottom w:type="dxa" w:w="80"/>
              <w:right w:type="dxa" w:w="120"/>
            </w:tcMar>
          </w:tcPr>
          <w:p>
            <w:r>
              <w:rPr>
                <w:sz w:val="20"/>
                <w:szCs w:val="20"/>
              </w:rPr>
              <w:t xml:space="preserve">Indicateur période d’essai — les comptes en trial ont un risque de churn distinct</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0"/>
                <w:szCs w:val="20"/>
              </w:rPr>
              <w:t xml:space="preserve">churn_flag</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0"/>
                <w:szCs w:val="20"/>
              </w:rPr>
              <w:t xml:space="preserve">churn_events.csv</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0"/>
                <w:szCs w:val="20"/>
              </w:rPr>
              <w:t xml:space="preserve">Indicateur brut de churn (redondant avec target_churn, conservé pour traçabilité)</w:t>
            </w:r>
          </w:p>
        </w:tc>
      </w:tr>
    </w:tbl>
    <w:p>
      <w:pPr>
        <w:spacing w:after="120"/>
      </w:pPr>
      <w:r>
        <w:t xml:space="preserve"/>
      </w:r>
    </w:p>
    <w:p>
      <w:pPr>
        <w:pStyle w:val="Heading2"/>
      </w:pPr>
      <w:r>
        <w:rPr>
          <w:b/>
          <w:bCs/>
        </w:rPr>
        <w:t xml:space="preserve">2.4.2 Variables agrégées — Abonnement</w:t>
      </w:r>
    </w:p>
    <w:p>
      <w:pPr>
        <w:spacing w:after="120"/>
      </w:pPr>
      <w:r>
        <w:t xml:space="preserve">Issues de subscriptions.csv, ces variables ramènent les informations contractuelles à la granularité compte.</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2000"/>
        <w:gridCol w:w="2500"/>
        <w:gridCol w:w="4526"/>
      </w:tblGrid>
      <w:tr>
        <w:tc>
          <w:tcPr>
            <w:tcW w:type="dxa" w:w="2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b/>
                <w:bCs/>
                <w:color w:val="FFFFFF"/>
                <w:sz w:val="20"/>
                <w:szCs w:val="20"/>
              </w:rPr>
              <w:t xml:space="preserve">Variable</w:t>
            </w:r>
          </w:p>
        </w:tc>
        <w:tc>
          <w:tcPr>
            <w:tcW w:type="dxa" w:w="25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b/>
                <w:bCs/>
                <w:color w:val="FFFFFF"/>
                <w:sz w:val="20"/>
                <w:szCs w:val="20"/>
              </w:rPr>
              <w:t xml:space="preserve">Calcul</w:t>
            </w:r>
          </w:p>
        </w:tc>
        <w:tc>
          <w:tcPr>
            <w:tcW w:type="dxa" w:w="4526"/>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b/>
                <w:bCs/>
                <w:color w:val="FFFFFF"/>
                <w:sz w:val="20"/>
                <w:szCs w:val="20"/>
              </w:rPr>
              <w:t xml:space="preserve">Justification métier</w:t>
            </w:r>
          </w:p>
        </w:tc>
      </w:tr>
      <w:tr>
        <w:tc>
          <w:tcPr>
            <w:tcW w:type="dxa" w:w="2000"/>
            <w:tcBorders>
              <w:top w:val="single" w:color="CCCCCC" w:sz="1"/>
              <w:left w:val="single" w:color="CCCCCC" w:sz="1"/>
              <w:bottom w:val="single" w:color="CCCCCC" w:sz="1"/>
              <w:right w:val="single" w:color="CCCCCC" w:sz="1"/>
            </w:tcBorders>
            <w:shd w:fill="EEF2F7" w:val="clear"/>
            <w:tcMar>
              <w:top w:type="dxa" w:w="80"/>
              <w:left w:type="dxa" w:w="120"/>
              <w:bottom w:type="dxa" w:w="80"/>
              <w:right w:type="dxa" w:w="120"/>
            </w:tcMar>
          </w:tcPr>
          <w:p>
            <w:r>
              <w:rPr>
                <w:sz w:val="20"/>
                <w:szCs w:val="20"/>
              </w:rPr>
              <w:t xml:space="preserve">total_subscriptions</w:t>
            </w:r>
          </w:p>
        </w:tc>
        <w:tc>
          <w:tcPr>
            <w:tcW w:type="dxa" w:w="2500"/>
            <w:tcBorders>
              <w:top w:val="single" w:color="CCCCCC" w:sz="1"/>
              <w:left w:val="single" w:color="CCCCCC" w:sz="1"/>
              <w:bottom w:val="single" w:color="CCCCCC" w:sz="1"/>
              <w:right w:val="single" w:color="CCCCCC" w:sz="1"/>
            </w:tcBorders>
            <w:shd w:fill="EEF2F7" w:val="clear"/>
            <w:tcMar>
              <w:top w:type="dxa" w:w="80"/>
              <w:left w:type="dxa" w:w="120"/>
              <w:bottom w:type="dxa" w:w="80"/>
              <w:right w:type="dxa" w:w="120"/>
            </w:tcMar>
          </w:tcPr>
          <w:p>
            <w:r>
              <w:rPr>
                <w:sz w:val="20"/>
                <w:szCs w:val="20"/>
              </w:rPr>
              <w:t xml:space="preserve">Nombre de lignes d’abonnement par compte</w:t>
            </w:r>
          </w:p>
        </w:tc>
        <w:tc>
          <w:tcPr>
            <w:tcW w:type="dxa" w:w="4526"/>
            <w:tcBorders>
              <w:top w:val="single" w:color="CCCCCC" w:sz="1"/>
              <w:left w:val="single" w:color="CCCCCC" w:sz="1"/>
              <w:bottom w:val="single" w:color="CCCCCC" w:sz="1"/>
              <w:right w:val="single" w:color="CCCCCC" w:sz="1"/>
            </w:tcBorders>
            <w:shd w:fill="EEF2F7" w:val="clear"/>
            <w:tcMar>
              <w:top w:type="dxa" w:w="80"/>
              <w:left w:type="dxa" w:w="120"/>
              <w:bottom w:type="dxa" w:w="80"/>
              <w:right w:type="dxa" w:w="120"/>
            </w:tcMar>
          </w:tcPr>
          <w:p>
            <w:r>
              <w:rPr>
                <w:sz w:val="20"/>
                <w:szCs w:val="20"/>
              </w:rPr>
              <w:t xml:space="preserve">Un compte avec de nombreuses souscriptions successives peut signaler une instabilité contractuelle</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0"/>
                <w:szCs w:val="20"/>
              </w:rPr>
              <w:t xml:space="preserve">total_mrr</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0"/>
                <w:szCs w:val="20"/>
              </w:rPr>
              <w:t xml:space="preserve">Somme du MRR sur l’ensemble des abonnements</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0"/>
                <w:szCs w:val="20"/>
              </w:rPr>
              <w:t xml:space="preserve">Le revenu mensuel récurrent est le principal indicateur de valeur client ; une baisse du MRR précède souvent le churn</w:t>
            </w:r>
          </w:p>
        </w:tc>
      </w:tr>
      <w:tr>
        <w:tc>
          <w:tcPr>
            <w:tcW w:type="dxa" w:w="2000"/>
            <w:tcBorders>
              <w:top w:val="single" w:color="CCCCCC" w:sz="1"/>
              <w:left w:val="single" w:color="CCCCCC" w:sz="1"/>
              <w:bottom w:val="single" w:color="CCCCCC" w:sz="1"/>
              <w:right w:val="single" w:color="CCCCCC" w:sz="1"/>
            </w:tcBorders>
            <w:shd w:fill="EEF2F7" w:val="clear"/>
            <w:tcMar>
              <w:top w:type="dxa" w:w="80"/>
              <w:left w:type="dxa" w:w="120"/>
              <w:bottom w:type="dxa" w:w="80"/>
              <w:right w:type="dxa" w:w="120"/>
            </w:tcMar>
          </w:tcPr>
          <w:p>
            <w:r>
              <w:rPr>
                <w:sz w:val="20"/>
                <w:szCs w:val="20"/>
              </w:rPr>
              <w:t xml:space="preserve">total_arr</w:t>
            </w:r>
          </w:p>
        </w:tc>
        <w:tc>
          <w:tcPr>
            <w:tcW w:type="dxa" w:w="2500"/>
            <w:tcBorders>
              <w:top w:val="single" w:color="CCCCCC" w:sz="1"/>
              <w:left w:val="single" w:color="CCCCCC" w:sz="1"/>
              <w:bottom w:val="single" w:color="CCCCCC" w:sz="1"/>
              <w:right w:val="single" w:color="CCCCCC" w:sz="1"/>
            </w:tcBorders>
            <w:shd w:fill="EEF2F7" w:val="clear"/>
            <w:tcMar>
              <w:top w:type="dxa" w:w="80"/>
              <w:left w:type="dxa" w:w="120"/>
              <w:bottom w:type="dxa" w:w="80"/>
              <w:right w:type="dxa" w:w="120"/>
            </w:tcMar>
          </w:tcPr>
          <w:p>
            <w:r>
              <w:rPr>
                <w:sz w:val="20"/>
                <w:szCs w:val="20"/>
              </w:rPr>
              <w:t xml:space="preserve">Somme de l’ARR</w:t>
            </w:r>
          </w:p>
        </w:tc>
        <w:tc>
          <w:tcPr>
            <w:tcW w:type="dxa" w:w="4526"/>
            <w:tcBorders>
              <w:top w:val="single" w:color="CCCCCC" w:sz="1"/>
              <w:left w:val="single" w:color="CCCCCC" w:sz="1"/>
              <w:bottom w:val="single" w:color="CCCCCC" w:sz="1"/>
              <w:right w:val="single" w:color="CCCCCC" w:sz="1"/>
            </w:tcBorders>
            <w:shd w:fill="EEF2F7" w:val="clear"/>
            <w:tcMar>
              <w:top w:type="dxa" w:w="80"/>
              <w:left w:type="dxa" w:w="120"/>
              <w:bottom w:type="dxa" w:w="80"/>
              <w:right w:type="dxa" w:w="120"/>
            </w:tcMar>
          </w:tcPr>
          <w:p>
            <w:r>
              <w:rPr>
                <w:sz w:val="20"/>
                <w:szCs w:val="20"/>
              </w:rPr>
              <w:t xml:space="preserve">Complément du MRR pour l’analyse annuelle de la valeur client</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0"/>
                <w:szCs w:val="20"/>
              </w:rPr>
              <w:t xml:space="preserve">avg_seats</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0"/>
                <w:szCs w:val="20"/>
              </w:rPr>
              <w:t xml:space="preserve">Moyenne des sièges sur la période d’observation</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0"/>
                <w:szCs w:val="20"/>
              </w:rPr>
              <w:t xml:space="preserve">Capture les variations d’effectif côté client — une réduction de sièges est un signal de désengagement</w:t>
            </w:r>
          </w:p>
        </w:tc>
      </w:tr>
      <w:tr>
        <w:tc>
          <w:tcPr>
            <w:tcW w:type="dxa" w:w="2000"/>
            <w:tcBorders>
              <w:top w:val="single" w:color="CCCCCC" w:sz="1"/>
              <w:left w:val="single" w:color="CCCCCC" w:sz="1"/>
              <w:bottom w:val="single" w:color="CCCCCC" w:sz="1"/>
              <w:right w:val="single" w:color="CCCCCC" w:sz="1"/>
            </w:tcBorders>
            <w:shd w:fill="EEF2F7" w:val="clear"/>
            <w:tcMar>
              <w:top w:type="dxa" w:w="80"/>
              <w:left w:type="dxa" w:w="120"/>
              <w:bottom w:type="dxa" w:w="80"/>
              <w:right w:type="dxa" w:w="120"/>
            </w:tcMar>
          </w:tcPr>
          <w:p>
            <w:r>
              <w:rPr>
                <w:sz w:val="20"/>
                <w:szCs w:val="20"/>
              </w:rPr>
              <w:t xml:space="preserve">total_upgrades</w:t>
            </w:r>
          </w:p>
        </w:tc>
        <w:tc>
          <w:tcPr>
            <w:tcW w:type="dxa" w:w="2500"/>
            <w:tcBorders>
              <w:top w:val="single" w:color="CCCCCC" w:sz="1"/>
              <w:left w:val="single" w:color="CCCCCC" w:sz="1"/>
              <w:bottom w:val="single" w:color="CCCCCC" w:sz="1"/>
              <w:right w:val="single" w:color="CCCCCC" w:sz="1"/>
            </w:tcBorders>
            <w:shd w:fill="EEF2F7" w:val="clear"/>
            <w:tcMar>
              <w:top w:type="dxa" w:w="80"/>
              <w:left w:type="dxa" w:w="120"/>
              <w:bottom w:type="dxa" w:w="80"/>
              <w:right w:type="dxa" w:w="120"/>
            </w:tcMar>
          </w:tcPr>
          <w:p>
            <w:r>
              <w:rPr>
                <w:sz w:val="20"/>
                <w:szCs w:val="20"/>
              </w:rPr>
              <w:t xml:space="preserve">Nombre de passages vers un plan supérieur</w:t>
            </w:r>
          </w:p>
        </w:tc>
        <w:tc>
          <w:tcPr>
            <w:tcW w:type="dxa" w:w="4526"/>
            <w:tcBorders>
              <w:top w:val="single" w:color="CCCCCC" w:sz="1"/>
              <w:left w:val="single" w:color="CCCCCC" w:sz="1"/>
              <w:bottom w:val="single" w:color="CCCCCC" w:sz="1"/>
              <w:right w:val="single" w:color="CCCCCC" w:sz="1"/>
            </w:tcBorders>
            <w:shd w:fill="EEF2F7" w:val="clear"/>
            <w:tcMar>
              <w:top w:type="dxa" w:w="80"/>
              <w:left w:type="dxa" w:w="120"/>
              <w:bottom w:type="dxa" w:w="80"/>
              <w:right w:type="dxa" w:w="120"/>
            </w:tcMar>
          </w:tcPr>
          <w:p>
            <w:r>
              <w:rPr>
                <w:sz w:val="20"/>
                <w:szCs w:val="20"/>
              </w:rPr>
              <w:t xml:space="preserve">Un compte qui monte en gamme est un client engagé, à faible risque de churn</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0"/>
                <w:szCs w:val="20"/>
              </w:rPr>
              <w:t xml:space="preserve">total_downgrades</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0"/>
                <w:szCs w:val="20"/>
              </w:rPr>
              <w:t xml:space="preserve">Nombre de passages vers un plan inférieur</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0"/>
                <w:szCs w:val="20"/>
              </w:rPr>
              <w:t xml:space="preserve">Un downgrade est l’un des signaux précurseurs les plus fiables du churn dans un SaaS B2B</w:t>
            </w:r>
          </w:p>
        </w:tc>
      </w:tr>
    </w:tbl>
    <w:p>
      <w:pPr>
        <w:spacing w:after="120"/>
      </w:pPr>
      <w:r>
        <w:t xml:space="preserve"/>
      </w:r>
    </w:p>
    <w:p>
      <w:pPr>
        <w:pStyle w:val="Heading2"/>
      </w:pPr>
      <w:r>
        <w:rPr>
          <w:b/>
          <w:bCs/>
        </w:rPr>
        <w:t xml:space="preserve">2.4.3 Variables agrégées — Usage produit</w:t>
      </w:r>
    </w:p>
    <w:p>
      <w:pPr>
        <w:spacing w:after="120"/>
      </w:pPr>
      <w:r>
        <w:t xml:space="preserve">Issues de feature_usage.csv, ces variables capturent l’intensité d’utilisation du produit RavenStack.</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2000"/>
        <w:gridCol w:w="2500"/>
        <w:gridCol w:w="4526"/>
      </w:tblGrid>
      <w:tr>
        <w:tc>
          <w:tcPr>
            <w:tcW w:type="dxa" w:w="2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b/>
                <w:bCs/>
                <w:color w:val="FFFFFF"/>
                <w:sz w:val="20"/>
                <w:szCs w:val="20"/>
              </w:rPr>
              <w:t xml:space="preserve">Variable</w:t>
            </w:r>
          </w:p>
        </w:tc>
        <w:tc>
          <w:tcPr>
            <w:tcW w:type="dxa" w:w="25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b/>
                <w:bCs/>
                <w:color w:val="FFFFFF"/>
                <w:sz w:val="20"/>
                <w:szCs w:val="20"/>
              </w:rPr>
              <w:t xml:space="preserve">Calcul</w:t>
            </w:r>
          </w:p>
        </w:tc>
        <w:tc>
          <w:tcPr>
            <w:tcW w:type="dxa" w:w="4526"/>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b/>
                <w:bCs/>
                <w:color w:val="FFFFFF"/>
                <w:sz w:val="20"/>
                <w:szCs w:val="20"/>
              </w:rPr>
              <w:t xml:space="preserve">Justification métier</w:t>
            </w:r>
          </w:p>
        </w:tc>
      </w:tr>
      <w:tr>
        <w:tc>
          <w:tcPr>
            <w:tcW w:type="dxa" w:w="2000"/>
            <w:tcBorders>
              <w:top w:val="single" w:color="CCCCCC" w:sz="1"/>
              <w:left w:val="single" w:color="CCCCCC" w:sz="1"/>
              <w:bottom w:val="single" w:color="CCCCCC" w:sz="1"/>
              <w:right w:val="single" w:color="CCCCCC" w:sz="1"/>
            </w:tcBorders>
            <w:shd w:fill="EEF2F7" w:val="clear"/>
            <w:tcMar>
              <w:top w:type="dxa" w:w="80"/>
              <w:left w:type="dxa" w:w="120"/>
              <w:bottom w:type="dxa" w:w="80"/>
              <w:right w:type="dxa" w:w="120"/>
            </w:tcMar>
          </w:tcPr>
          <w:p>
            <w:r>
              <w:rPr>
                <w:sz w:val="20"/>
                <w:szCs w:val="20"/>
              </w:rPr>
              <w:t xml:space="preserve">total_usage_count</w:t>
            </w:r>
          </w:p>
        </w:tc>
        <w:tc>
          <w:tcPr>
            <w:tcW w:type="dxa" w:w="2500"/>
            <w:tcBorders>
              <w:top w:val="single" w:color="CCCCCC" w:sz="1"/>
              <w:left w:val="single" w:color="CCCCCC" w:sz="1"/>
              <w:bottom w:val="single" w:color="CCCCCC" w:sz="1"/>
              <w:right w:val="single" w:color="CCCCCC" w:sz="1"/>
            </w:tcBorders>
            <w:shd w:fill="EEF2F7" w:val="clear"/>
            <w:tcMar>
              <w:top w:type="dxa" w:w="80"/>
              <w:left w:type="dxa" w:w="120"/>
              <w:bottom w:type="dxa" w:w="80"/>
              <w:right w:type="dxa" w:w="120"/>
            </w:tcMar>
          </w:tcPr>
          <w:p>
            <w:r>
              <w:rPr>
                <w:sz w:val="20"/>
                <w:szCs w:val="20"/>
              </w:rPr>
              <w:t xml:space="preserve">Somme des événements d’usage sur la période</w:t>
            </w:r>
          </w:p>
        </w:tc>
        <w:tc>
          <w:tcPr>
            <w:tcW w:type="dxa" w:w="4526"/>
            <w:tcBorders>
              <w:top w:val="single" w:color="CCCCCC" w:sz="1"/>
              <w:left w:val="single" w:color="CCCCCC" w:sz="1"/>
              <w:bottom w:val="single" w:color="CCCCCC" w:sz="1"/>
              <w:right w:val="single" w:color="CCCCCC" w:sz="1"/>
            </w:tcBorders>
            <w:shd w:fill="EEF2F7" w:val="clear"/>
            <w:tcMar>
              <w:top w:type="dxa" w:w="80"/>
              <w:left w:type="dxa" w:w="120"/>
              <w:bottom w:type="dxa" w:w="80"/>
              <w:right w:type="dxa" w:w="120"/>
            </w:tcMar>
          </w:tcPr>
          <w:p>
            <w:r>
              <w:rPr>
                <w:sz w:val="20"/>
                <w:szCs w:val="20"/>
              </w:rPr>
              <w:t xml:space="preserve">Mesure brute de l’activité — un client qui n’utilise pas le produit est un client à risque</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0"/>
                <w:szCs w:val="20"/>
              </w:rPr>
              <w:t xml:space="preserve">total_usage_duration</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0"/>
                <w:szCs w:val="20"/>
              </w:rPr>
              <w:t xml:space="preserve">Somme des durées de session</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0"/>
                <w:szCs w:val="20"/>
              </w:rPr>
              <w:t xml:space="preserve">Temps passé dans le produit — complète le comptage d’événements par une mesure de profondeur d’usage</w:t>
            </w:r>
          </w:p>
        </w:tc>
      </w:tr>
      <w:tr>
        <w:tc>
          <w:tcPr>
            <w:tcW w:type="dxa" w:w="2000"/>
            <w:tcBorders>
              <w:top w:val="single" w:color="CCCCCC" w:sz="1"/>
              <w:left w:val="single" w:color="CCCCCC" w:sz="1"/>
              <w:bottom w:val="single" w:color="CCCCCC" w:sz="1"/>
              <w:right w:val="single" w:color="CCCCCC" w:sz="1"/>
            </w:tcBorders>
            <w:shd w:fill="EEF2F7" w:val="clear"/>
            <w:tcMar>
              <w:top w:type="dxa" w:w="80"/>
              <w:left w:type="dxa" w:w="120"/>
              <w:bottom w:type="dxa" w:w="80"/>
              <w:right w:type="dxa" w:w="120"/>
            </w:tcMar>
          </w:tcPr>
          <w:p>
            <w:r>
              <w:rPr>
                <w:sz w:val="20"/>
                <w:szCs w:val="20"/>
              </w:rPr>
              <w:t xml:space="preserve">total_usage_errors</w:t>
            </w:r>
          </w:p>
        </w:tc>
        <w:tc>
          <w:tcPr>
            <w:tcW w:type="dxa" w:w="2500"/>
            <w:tcBorders>
              <w:top w:val="single" w:color="CCCCCC" w:sz="1"/>
              <w:left w:val="single" w:color="CCCCCC" w:sz="1"/>
              <w:bottom w:val="single" w:color="CCCCCC" w:sz="1"/>
              <w:right w:val="single" w:color="CCCCCC" w:sz="1"/>
            </w:tcBorders>
            <w:shd w:fill="EEF2F7" w:val="clear"/>
            <w:tcMar>
              <w:top w:type="dxa" w:w="80"/>
              <w:left w:type="dxa" w:w="120"/>
              <w:bottom w:type="dxa" w:w="80"/>
              <w:right w:type="dxa" w:w="120"/>
            </w:tcMar>
          </w:tcPr>
          <w:p>
            <w:r>
              <w:rPr>
                <w:sz w:val="20"/>
                <w:szCs w:val="20"/>
              </w:rPr>
              <w:t xml:space="preserve">Nombre total d’erreurs rencontrées</w:t>
            </w:r>
          </w:p>
        </w:tc>
        <w:tc>
          <w:tcPr>
            <w:tcW w:type="dxa" w:w="4526"/>
            <w:tcBorders>
              <w:top w:val="single" w:color="CCCCCC" w:sz="1"/>
              <w:left w:val="single" w:color="CCCCCC" w:sz="1"/>
              <w:bottom w:val="single" w:color="CCCCCC" w:sz="1"/>
              <w:right w:val="single" w:color="CCCCCC" w:sz="1"/>
            </w:tcBorders>
            <w:shd w:fill="EEF2F7" w:val="clear"/>
            <w:tcMar>
              <w:top w:type="dxa" w:w="80"/>
              <w:left w:type="dxa" w:w="120"/>
              <w:bottom w:type="dxa" w:w="80"/>
              <w:right w:type="dxa" w:w="120"/>
            </w:tcMar>
          </w:tcPr>
          <w:p>
            <w:r>
              <w:rPr>
                <w:sz w:val="20"/>
                <w:szCs w:val="20"/>
              </w:rPr>
              <w:t xml:space="preserve">Les erreurs récurrentes génèrent de la frustration et contribuent au churn ; corrélé avec les tickets support</w:t>
            </w:r>
          </w:p>
        </w:tc>
      </w:tr>
    </w:tbl>
    <w:p>
      <w:pPr>
        <w:spacing w:after="120"/>
      </w:pPr>
      <w:r>
        <w:t xml:space="preserve"/>
      </w:r>
    </w:p>
    <w:p>
      <w:pPr>
        <w:pStyle w:val="Heading2"/>
      </w:pPr>
      <w:r>
        <w:rPr>
          <w:b/>
          <w:bCs/>
        </w:rPr>
        <w:t xml:space="preserve">2.4.4 Variables agrégées — Support client</w:t>
      </w:r>
    </w:p>
    <w:p>
      <w:pPr>
        <w:spacing w:after="120"/>
      </w:pPr>
      <w:r>
        <w:t xml:space="preserve">Issues de support_tickets.csv, ces variables mesurent la qualité de la relation client et le niveau de friction.</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2000"/>
        <w:gridCol w:w="2500"/>
        <w:gridCol w:w="4526"/>
      </w:tblGrid>
      <w:tr>
        <w:tc>
          <w:tcPr>
            <w:tcW w:type="dxa" w:w="2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b/>
                <w:bCs/>
                <w:color w:val="FFFFFF"/>
                <w:sz w:val="20"/>
                <w:szCs w:val="20"/>
              </w:rPr>
              <w:t xml:space="preserve">Variable</w:t>
            </w:r>
          </w:p>
        </w:tc>
        <w:tc>
          <w:tcPr>
            <w:tcW w:type="dxa" w:w="25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b/>
                <w:bCs/>
                <w:color w:val="FFFFFF"/>
                <w:sz w:val="20"/>
                <w:szCs w:val="20"/>
              </w:rPr>
              <w:t xml:space="preserve">Calcul</w:t>
            </w:r>
          </w:p>
        </w:tc>
        <w:tc>
          <w:tcPr>
            <w:tcW w:type="dxa" w:w="4526"/>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b/>
                <w:bCs/>
                <w:color w:val="FFFFFF"/>
                <w:sz w:val="20"/>
                <w:szCs w:val="20"/>
              </w:rPr>
              <w:t xml:space="preserve">Justification métier</w:t>
            </w:r>
          </w:p>
        </w:tc>
      </w:tr>
      <w:tr>
        <w:tc>
          <w:tcPr>
            <w:tcW w:type="dxa" w:w="2000"/>
            <w:tcBorders>
              <w:top w:val="single" w:color="CCCCCC" w:sz="1"/>
              <w:left w:val="single" w:color="CCCCCC" w:sz="1"/>
              <w:bottom w:val="single" w:color="CCCCCC" w:sz="1"/>
              <w:right w:val="single" w:color="CCCCCC" w:sz="1"/>
            </w:tcBorders>
            <w:shd w:fill="EEF2F7" w:val="clear"/>
            <w:tcMar>
              <w:top w:type="dxa" w:w="80"/>
              <w:left w:type="dxa" w:w="120"/>
              <w:bottom w:type="dxa" w:w="80"/>
              <w:right w:type="dxa" w:w="120"/>
            </w:tcMar>
          </w:tcPr>
          <w:p>
            <w:r>
              <w:rPr>
                <w:sz w:val="20"/>
                <w:szCs w:val="20"/>
              </w:rPr>
              <w:t xml:space="preserve">total_tickets</w:t>
            </w:r>
          </w:p>
        </w:tc>
        <w:tc>
          <w:tcPr>
            <w:tcW w:type="dxa" w:w="2500"/>
            <w:tcBorders>
              <w:top w:val="single" w:color="CCCCCC" w:sz="1"/>
              <w:left w:val="single" w:color="CCCCCC" w:sz="1"/>
              <w:bottom w:val="single" w:color="CCCCCC" w:sz="1"/>
              <w:right w:val="single" w:color="CCCCCC" w:sz="1"/>
            </w:tcBorders>
            <w:shd w:fill="EEF2F7" w:val="clear"/>
            <w:tcMar>
              <w:top w:type="dxa" w:w="80"/>
              <w:left w:type="dxa" w:w="120"/>
              <w:bottom w:type="dxa" w:w="80"/>
              <w:right w:type="dxa" w:w="120"/>
            </w:tcMar>
          </w:tcPr>
          <w:p>
            <w:r>
              <w:rPr>
                <w:sz w:val="20"/>
                <w:szCs w:val="20"/>
              </w:rPr>
              <w:t xml:space="preserve">Nombre total de tickets créés</w:t>
            </w:r>
          </w:p>
        </w:tc>
        <w:tc>
          <w:tcPr>
            <w:tcW w:type="dxa" w:w="4526"/>
            <w:tcBorders>
              <w:top w:val="single" w:color="CCCCCC" w:sz="1"/>
              <w:left w:val="single" w:color="CCCCCC" w:sz="1"/>
              <w:bottom w:val="single" w:color="CCCCCC" w:sz="1"/>
              <w:right w:val="single" w:color="CCCCCC" w:sz="1"/>
            </w:tcBorders>
            <w:shd w:fill="EEF2F7" w:val="clear"/>
            <w:tcMar>
              <w:top w:type="dxa" w:w="80"/>
              <w:left w:type="dxa" w:w="120"/>
              <w:bottom w:type="dxa" w:w="80"/>
              <w:right w:type="dxa" w:w="120"/>
            </w:tcMar>
          </w:tcPr>
          <w:p>
            <w:r>
              <w:rPr>
                <w:sz w:val="20"/>
                <w:szCs w:val="20"/>
              </w:rPr>
              <w:t xml:space="preserve">Un volume élevé de tickets peut signaler des problèmes d’adoption ou des dysfonctionnements récurrents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0"/>
                <w:szCs w:val="20"/>
              </w:rPr>
              <w:t xml:space="preserve">avg_resolution_time</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0"/>
                <w:szCs w:val="20"/>
              </w:rPr>
              <w:t xml:space="preserve">Moyenne des délais de résolution (en heures/jours)</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0"/>
                <w:szCs w:val="20"/>
              </w:rPr>
              <w:t xml:space="preserve">Un temps de résolution long détériore l’expérience client et augmente le risque de churn</w:t>
            </w:r>
          </w:p>
        </w:tc>
      </w:tr>
      <w:tr>
        <w:tc>
          <w:tcPr>
            <w:tcW w:type="dxa" w:w="2000"/>
            <w:tcBorders>
              <w:top w:val="single" w:color="CCCCCC" w:sz="1"/>
              <w:left w:val="single" w:color="CCCCCC" w:sz="1"/>
              <w:bottom w:val="single" w:color="CCCCCC" w:sz="1"/>
              <w:right w:val="single" w:color="CCCCCC" w:sz="1"/>
            </w:tcBorders>
            <w:shd w:fill="EEF2F7" w:val="clear"/>
            <w:tcMar>
              <w:top w:type="dxa" w:w="80"/>
              <w:left w:type="dxa" w:w="120"/>
              <w:bottom w:type="dxa" w:w="80"/>
              <w:right w:type="dxa" w:w="120"/>
            </w:tcMar>
          </w:tcPr>
          <w:p>
            <w:r>
              <w:rPr>
                <w:sz w:val="20"/>
                <w:szCs w:val="20"/>
              </w:rPr>
              <w:t xml:space="preserve">avg_satisfaction_score</w:t>
            </w:r>
          </w:p>
        </w:tc>
        <w:tc>
          <w:tcPr>
            <w:tcW w:type="dxa" w:w="2500"/>
            <w:tcBorders>
              <w:top w:val="single" w:color="CCCCCC" w:sz="1"/>
              <w:left w:val="single" w:color="CCCCCC" w:sz="1"/>
              <w:bottom w:val="single" w:color="CCCCCC" w:sz="1"/>
              <w:right w:val="single" w:color="CCCCCC" w:sz="1"/>
            </w:tcBorders>
            <w:shd w:fill="EEF2F7" w:val="clear"/>
            <w:tcMar>
              <w:top w:type="dxa" w:w="80"/>
              <w:left w:type="dxa" w:w="120"/>
              <w:bottom w:type="dxa" w:w="80"/>
              <w:right w:type="dxa" w:w="120"/>
            </w:tcMar>
          </w:tcPr>
          <w:p>
            <w:r>
              <w:rPr>
                <w:sz w:val="20"/>
                <w:szCs w:val="20"/>
              </w:rPr>
              <w:t xml:space="preserve">Moyenne des scores de satisfaction post-ticket</w:t>
            </w:r>
          </w:p>
        </w:tc>
        <w:tc>
          <w:tcPr>
            <w:tcW w:type="dxa" w:w="4526"/>
            <w:tcBorders>
              <w:top w:val="single" w:color="CCCCCC" w:sz="1"/>
              <w:left w:val="single" w:color="CCCCCC" w:sz="1"/>
              <w:bottom w:val="single" w:color="CCCCCC" w:sz="1"/>
              <w:right w:val="single" w:color="CCCCCC" w:sz="1"/>
            </w:tcBorders>
            <w:shd w:fill="EEF2F7" w:val="clear"/>
            <w:tcMar>
              <w:top w:type="dxa" w:w="80"/>
              <w:left w:type="dxa" w:w="120"/>
              <w:bottom w:type="dxa" w:w="80"/>
              <w:right w:type="dxa" w:w="120"/>
            </w:tcMar>
          </w:tcPr>
          <w:p>
            <w:r>
              <w:rPr>
                <w:sz w:val="20"/>
                <w:szCs w:val="20"/>
              </w:rPr>
              <w:t xml:space="preserve">Mesure directe de la perception client — un score faible est un signal d’alerte fort</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0"/>
                <w:szCs w:val="20"/>
              </w:rPr>
              <w:t xml:space="preserve">total_escalations</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0"/>
                <w:szCs w:val="20"/>
              </w:rPr>
              <w:t xml:space="preserve">Nombre de tickets ayant fait l’objet d’une escalade</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0"/>
                <w:szCs w:val="20"/>
              </w:rPr>
              <w:t xml:space="preserve">Les escalades signalent des problèmes non résolus au premier niveau, synonymes d’insatisfaction profonde</w:t>
            </w:r>
          </w:p>
        </w:tc>
      </w:tr>
    </w:tbl>
    <w:p>
      <w:pPr>
        <w:spacing w:after="120"/>
      </w:pPr>
      <w:r>
        <w:t xml:space="preserve"/>
      </w:r>
    </w:p>
    <w:p>
      <w:pPr>
        <w:pStyle w:val="Heading2"/>
      </w:pPr>
      <w:r>
        <w:rPr>
          <w:b/>
          <w:bCs/>
        </w:rPr>
        <w:t xml:space="preserve">2.4.5 Variable cible</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2000"/>
        <w:gridCol w:w="2500"/>
        <w:gridCol w:w="4526"/>
      </w:tblGrid>
      <w:tr>
        <w:tc>
          <w:tcPr>
            <w:tcW w:type="dxa" w:w="2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b/>
                <w:bCs/>
                <w:color w:val="FFFFFF"/>
                <w:sz w:val="20"/>
                <w:szCs w:val="20"/>
              </w:rPr>
              <w:t xml:space="preserve">Variable</w:t>
            </w:r>
          </w:p>
        </w:tc>
        <w:tc>
          <w:tcPr>
            <w:tcW w:type="dxa" w:w="25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b/>
                <w:bCs/>
                <w:color w:val="FFFFFF"/>
                <w:sz w:val="20"/>
                <w:szCs w:val="20"/>
              </w:rPr>
              <w:t xml:space="preserve">Construction</w:t>
            </w:r>
          </w:p>
        </w:tc>
        <w:tc>
          <w:tcPr>
            <w:tcW w:type="dxa" w:w="4526"/>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b/>
                <w:bCs/>
                <w:color w:val="FFFFFF"/>
                <w:sz w:val="20"/>
                <w:szCs w:val="20"/>
              </w:rPr>
              <w:t xml:space="preserve">Justification</w:t>
            </w:r>
          </w:p>
        </w:tc>
      </w:tr>
      <w:tr>
        <w:tc>
          <w:tcPr>
            <w:tcW w:type="dxa" w:w="2000"/>
            <w:tcBorders>
              <w:top w:val="single" w:color="CCCCCC" w:sz="1"/>
              <w:left w:val="single" w:color="CCCCCC" w:sz="1"/>
              <w:bottom w:val="single" w:color="CCCCCC" w:sz="1"/>
              <w:right w:val="single" w:color="CCCCCC" w:sz="1"/>
            </w:tcBorders>
            <w:shd w:fill="EEF2F7" w:val="clear"/>
            <w:tcMar>
              <w:top w:type="dxa" w:w="80"/>
              <w:left w:type="dxa" w:w="120"/>
              <w:bottom w:type="dxa" w:w="80"/>
              <w:right w:type="dxa" w:w="120"/>
            </w:tcMar>
          </w:tcPr>
          <w:p>
            <w:r>
              <w:rPr>
                <w:sz w:val="20"/>
                <w:szCs w:val="20"/>
              </w:rPr>
              <w:t xml:space="preserve">target_churn</w:t>
            </w:r>
          </w:p>
        </w:tc>
        <w:tc>
          <w:tcPr>
            <w:tcW w:type="dxa" w:w="2500"/>
            <w:tcBorders>
              <w:top w:val="single" w:color="CCCCCC" w:sz="1"/>
              <w:left w:val="single" w:color="CCCCCC" w:sz="1"/>
              <w:bottom w:val="single" w:color="CCCCCC" w:sz="1"/>
              <w:right w:val="single" w:color="CCCCCC" w:sz="1"/>
            </w:tcBorders>
            <w:shd w:fill="EEF2F7" w:val="clear"/>
            <w:tcMar>
              <w:top w:type="dxa" w:w="80"/>
              <w:left w:type="dxa" w:w="120"/>
              <w:bottom w:type="dxa" w:w="80"/>
              <w:right w:type="dxa" w:w="120"/>
            </w:tcMar>
          </w:tcPr>
          <w:p>
            <w:r>
              <w:rPr>
                <w:sz w:val="20"/>
                <w:szCs w:val="20"/>
              </w:rPr>
              <w:t xml:space="preserve">Binaire (0/1) — 1 si un événement churn est enregistré dans churn_events.csv postérieurement à la période d’observation</w:t>
            </w:r>
          </w:p>
        </w:tc>
        <w:tc>
          <w:tcPr>
            <w:tcW w:type="dxa" w:w="4526"/>
            <w:tcBorders>
              <w:top w:val="single" w:color="CCCCCC" w:sz="1"/>
              <w:left w:val="single" w:color="CCCCCC" w:sz="1"/>
              <w:bottom w:val="single" w:color="CCCCCC" w:sz="1"/>
              <w:right w:val="single" w:color="CCCCCC" w:sz="1"/>
            </w:tcBorders>
            <w:shd w:fill="EEF2F7" w:val="clear"/>
            <w:tcMar>
              <w:top w:type="dxa" w:w="80"/>
              <w:left w:type="dxa" w:w="120"/>
              <w:bottom w:type="dxa" w:w="80"/>
              <w:right w:type="dxa" w:w="120"/>
            </w:tcMar>
          </w:tcPr>
          <w:p>
            <w:r>
              <w:rPr>
                <w:sz w:val="20"/>
                <w:szCs w:val="20"/>
              </w:rPr>
              <w:t xml:space="preserve">Variable que le modèle cherchera à prédire au Sprint 3. L’alignement temporel est critique : les features doivent être antérieures au churn pour éviter tout data leakage.</w:t>
            </w:r>
          </w:p>
        </w:tc>
      </w:tr>
    </w:tbl>
    <w:p>
      <w:pPr>
        <w:spacing w:after="120"/>
      </w:pPr>
      <w:r>
        <w:t xml:space="preserve"/>
      </w:r>
    </w:p>
    <w:p>
      <w:pPr>
        <w:pStyle w:val="Heading2"/>
      </w:pPr>
      <w:r>
        <w:rPr>
          <w:b/>
          <w:bCs/>
        </w:rPr>
        <w:t xml:space="preserve">2.4.6 Features engineeredées — Variables dérivées créées par build_features.py</w:t>
      </w:r>
    </w:p>
    <w:p>
      <w:pPr>
        <w:spacing w:after="120"/>
      </w:pPr>
      <w:r>
        <w:t xml:space="preserve">Ces quatre variables n’existent pas dans les données brutes. Elles ont été construites pour capturer des signaux comportementaux que les variables brutes ne permettent pas d’exprimer directement.</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1500"/>
        <w:gridCol w:w="2200"/>
        <w:gridCol w:w="1300"/>
        <w:gridCol w:w="4026"/>
      </w:tblGrid>
      <w:tr>
        <w:tc>
          <w:tcPr>
            <w:tcW w:type="dxa" w:w="15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b/>
                <w:bCs/>
                <w:color w:val="FFFFFF"/>
                <w:sz w:val="20"/>
                <w:szCs w:val="20"/>
              </w:rPr>
              <w:t xml:space="preserve">Variable</w:t>
            </w:r>
          </w:p>
        </w:tc>
        <w:tc>
          <w:tcPr>
            <w:tcW w:type="dxa" w:w="22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b/>
                <w:bCs/>
                <w:color w:val="FFFFFF"/>
                <w:sz w:val="20"/>
                <w:szCs w:val="20"/>
              </w:rPr>
              <w:t xml:space="preserve">Calcul</w:t>
            </w:r>
          </w:p>
        </w:tc>
        <w:tc>
          <w:tcPr>
            <w:tcW w:type="dxa" w:w="13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b/>
                <w:bCs/>
                <w:color w:val="FFFFFF"/>
                <w:sz w:val="20"/>
                <w:szCs w:val="20"/>
              </w:rPr>
              <w:t xml:space="preserve">Type</w:t>
            </w:r>
          </w:p>
        </w:tc>
        <w:tc>
          <w:tcPr>
            <w:tcW w:type="dxa" w:w="4026"/>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b/>
                <w:bCs/>
                <w:color w:val="FFFFFF"/>
                <w:sz w:val="20"/>
                <w:szCs w:val="20"/>
              </w:rPr>
              <w:t xml:space="preserve">Justification métier</w:t>
            </w:r>
          </w:p>
        </w:tc>
      </w:tr>
      <w:tr>
        <w:tc>
          <w:tcPr>
            <w:tcW w:type="dxa" w:w="1500"/>
            <w:tcBorders>
              <w:top w:val="single" w:color="CCCCCC" w:sz="1"/>
              <w:left w:val="single" w:color="CCCCCC" w:sz="1"/>
              <w:bottom w:val="single" w:color="CCCCCC" w:sz="1"/>
              <w:right w:val="single" w:color="CCCCCC" w:sz="1"/>
            </w:tcBorders>
            <w:shd w:fill="EEF2F7" w:val="clear"/>
            <w:tcMar>
              <w:top w:type="dxa" w:w="80"/>
              <w:left w:type="dxa" w:w="120"/>
              <w:bottom w:type="dxa" w:w="80"/>
              <w:right w:type="dxa" w:w="120"/>
            </w:tcMar>
          </w:tcPr>
          <w:p>
            <w:r>
              <w:rPr>
                <w:sz w:val="20"/>
                <w:szCs w:val="20"/>
              </w:rPr>
              <w:t xml:space="preserve">tenure_months</w:t>
            </w:r>
          </w:p>
        </w:tc>
        <w:tc>
          <w:tcPr>
            <w:tcW w:type="dxa" w:w="2200"/>
            <w:tcBorders>
              <w:top w:val="single" w:color="CCCCCC" w:sz="1"/>
              <w:left w:val="single" w:color="CCCCCC" w:sz="1"/>
              <w:bottom w:val="single" w:color="CCCCCC" w:sz="1"/>
              <w:right w:val="single" w:color="CCCCCC" w:sz="1"/>
            </w:tcBorders>
            <w:shd w:fill="EEF2F7" w:val="clear"/>
            <w:tcMar>
              <w:top w:type="dxa" w:w="80"/>
              <w:left w:type="dxa" w:w="120"/>
              <w:bottom w:type="dxa" w:w="80"/>
              <w:right w:type="dxa" w:w="120"/>
            </w:tcMar>
          </w:tcPr>
          <w:p>
            <w:r>
              <w:rPr>
                <w:sz w:val="20"/>
                <w:szCs w:val="20"/>
              </w:rPr>
              <w:t xml:space="preserve">(date_observation - signup_date).days / 30</w:t>
            </w:r>
          </w:p>
        </w:tc>
        <w:tc>
          <w:tcPr>
            <w:tcW w:type="dxa" w:w="1300"/>
            <w:tcBorders>
              <w:top w:val="single" w:color="CCCCCC" w:sz="1"/>
              <w:left w:val="single" w:color="CCCCCC" w:sz="1"/>
              <w:bottom w:val="single" w:color="CCCCCC" w:sz="1"/>
              <w:right w:val="single" w:color="CCCCCC" w:sz="1"/>
            </w:tcBorders>
            <w:shd w:fill="EEF2F7" w:val="clear"/>
            <w:tcMar>
              <w:top w:type="dxa" w:w="80"/>
              <w:left w:type="dxa" w:w="120"/>
              <w:bottom w:type="dxa" w:w="80"/>
              <w:right w:type="dxa" w:w="120"/>
            </w:tcMar>
          </w:tcPr>
          <w:p>
            <w:r>
              <w:rPr>
                <w:sz w:val="20"/>
                <w:szCs w:val="20"/>
              </w:rPr>
              <w:t xml:space="preserve">Temporelle</w:t>
            </w:r>
          </w:p>
        </w:tc>
        <w:tc>
          <w:tcPr>
            <w:tcW w:type="dxa" w:w="4026"/>
            <w:tcBorders>
              <w:top w:val="single" w:color="CCCCCC" w:sz="1"/>
              <w:left w:val="single" w:color="CCCCCC" w:sz="1"/>
              <w:bottom w:val="single" w:color="CCCCCC" w:sz="1"/>
              <w:right w:val="single" w:color="CCCCCC" w:sz="1"/>
            </w:tcBorders>
            <w:shd w:fill="EEF2F7" w:val="clear"/>
            <w:tcMar>
              <w:top w:type="dxa" w:w="80"/>
              <w:left w:type="dxa" w:w="120"/>
              <w:bottom w:type="dxa" w:w="80"/>
              <w:right w:type="dxa" w:w="120"/>
            </w:tcMar>
          </w:tcPr>
          <w:p>
            <w:r>
              <w:rPr>
                <w:sz w:val="20"/>
                <w:szCs w:val="20"/>
              </w:rPr>
              <w:t xml:space="preserve">L’ancienneté est l’un des prédicteurs les plus stables du churn. Les clients récents (&lt; 3 mois) et très anciens (&gt; 36 mois) ont des profils de risque distincts.</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0"/>
                <w:szCs w:val="20"/>
              </w:rPr>
              <w:t xml:space="preserve">critical_ticket_ratio</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0"/>
                <w:szCs w:val="20"/>
              </w:rPr>
              <w:t xml:space="preserve">total_escalations / total_tickets</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0"/>
                <w:szCs w:val="20"/>
              </w:rPr>
              <w:t xml:space="preserve">Support</w:t>
            </w:r>
          </w:p>
        </w:tc>
        <w:tc>
          <w:tcPr>
            <w:tcW w:type="dxa" w:w="4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0"/>
                <w:szCs w:val="20"/>
              </w:rPr>
              <w:t xml:space="preserve">Le volume brut de tickets est insuffisant : ce ratio capture la gravité relative des problèmes. Un compte avec 8 escalades sur 10 tickets est bien plus à risque qu’un compte avec 0 escalade sur 20.</w:t>
            </w:r>
          </w:p>
        </w:tc>
      </w:tr>
      <w:tr>
        <w:tc>
          <w:tcPr>
            <w:tcW w:type="dxa" w:w="1500"/>
            <w:tcBorders>
              <w:top w:val="single" w:color="CCCCCC" w:sz="1"/>
              <w:left w:val="single" w:color="CCCCCC" w:sz="1"/>
              <w:bottom w:val="single" w:color="CCCCCC" w:sz="1"/>
              <w:right w:val="single" w:color="CCCCCC" w:sz="1"/>
            </w:tcBorders>
            <w:shd w:fill="EEF2F7" w:val="clear"/>
            <w:tcMar>
              <w:top w:type="dxa" w:w="80"/>
              <w:left w:type="dxa" w:w="120"/>
              <w:bottom w:type="dxa" w:w="80"/>
              <w:right w:type="dxa" w:w="120"/>
            </w:tcMar>
          </w:tcPr>
          <w:p>
            <w:r>
              <w:rPr>
                <w:sz w:val="20"/>
                <w:szCs w:val="20"/>
              </w:rPr>
              <w:t xml:space="preserve">active_days_ratio</w:t>
            </w:r>
          </w:p>
        </w:tc>
        <w:tc>
          <w:tcPr>
            <w:tcW w:type="dxa" w:w="2200"/>
            <w:tcBorders>
              <w:top w:val="single" w:color="CCCCCC" w:sz="1"/>
              <w:left w:val="single" w:color="CCCCCC" w:sz="1"/>
              <w:bottom w:val="single" w:color="CCCCCC" w:sz="1"/>
              <w:right w:val="single" w:color="CCCCCC" w:sz="1"/>
            </w:tcBorders>
            <w:shd w:fill="EEF2F7" w:val="clear"/>
            <w:tcMar>
              <w:top w:type="dxa" w:w="80"/>
              <w:left w:type="dxa" w:w="120"/>
              <w:bottom w:type="dxa" w:w="80"/>
              <w:right w:type="dxa" w:w="120"/>
            </w:tcMar>
          </w:tcPr>
          <w:p>
            <w:r>
              <w:rPr>
                <w:sz w:val="20"/>
                <w:szCs w:val="20"/>
              </w:rPr>
              <w:t xml:space="preserve">Jours avec au moins 1 usage / jours totaux de la période</w:t>
            </w:r>
          </w:p>
        </w:tc>
        <w:tc>
          <w:tcPr>
            <w:tcW w:type="dxa" w:w="1300"/>
            <w:tcBorders>
              <w:top w:val="single" w:color="CCCCCC" w:sz="1"/>
              <w:left w:val="single" w:color="CCCCCC" w:sz="1"/>
              <w:bottom w:val="single" w:color="CCCCCC" w:sz="1"/>
              <w:right w:val="single" w:color="CCCCCC" w:sz="1"/>
            </w:tcBorders>
            <w:shd w:fill="EEF2F7" w:val="clear"/>
            <w:tcMar>
              <w:top w:type="dxa" w:w="80"/>
              <w:left w:type="dxa" w:w="120"/>
              <w:bottom w:type="dxa" w:w="80"/>
              <w:right w:type="dxa" w:w="120"/>
            </w:tcMar>
          </w:tcPr>
          <w:p>
            <w:r>
              <w:rPr>
                <w:sz w:val="20"/>
                <w:szCs w:val="20"/>
              </w:rPr>
              <w:t xml:space="preserve">Engagement</w:t>
            </w:r>
          </w:p>
        </w:tc>
        <w:tc>
          <w:tcPr>
            <w:tcW w:type="dxa" w:w="4026"/>
            <w:tcBorders>
              <w:top w:val="single" w:color="CCCCCC" w:sz="1"/>
              <w:left w:val="single" w:color="CCCCCC" w:sz="1"/>
              <w:bottom w:val="single" w:color="CCCCCC" w:sz="1"/>
              <w:right w:val="single" w:color="CCCCCC" w:sz="1"/>
            </w:tcBorders>
            <w:shd w:fill="EEF2F7" w:val="clear"/>
            <w:tcMar>
              <w:top w:type="dxa" w:w="80"/>
              <w:left w:type="dxa" w:w="120"/>
              <w:bottom w:type="dxa" w:w="80"/>
              <w:right w:type="dxa" w:w="120"/>
            </w:tcMar>
          </w:tcPr>
          <w:p>
            <w:r>
              <w:rPr>
                <w:sz w:val="20"/>
                <w:szCs w:val="20"/>
              </w:rPr>
              <w:t xml:space="preserve">La régularité d’usage est un signal plus fort que le volume total. Ce ratio mesure la consistance de l’engagement plutôt que son intensité ponctuelle.</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0"/>
                <w:szCs w:val="20"/>
              </w:rPr>
              <w:t xml:space="preserve">usage_trend_3m</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0"/>
                <w:szCs w:val="20"/>
              </w:rPr>
              <w:t xml:space="preserve">Pente de régression linéaire du total_usage_count sur les 3 derniers mois</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0"/>
                <w:szCs w:val="20"/>
              </w:rPr>
              <w:t xml:space="preserve">Comportementale / Temporelle</w:t>
            </w:r>
          </w:p>
        </w:tc>
        <w:tc>
          <w:tcPr>
            <w:tcW w:type="dxa" w:w="4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0"/>
                <w:szCs w:val="20"/>
              </w:rPr>
              <w:t xml:space="preserve">C’est la feature la plus prédictive du lot. Une tendance décroissante sur 3 mois est l’un des signaux précurseurs les plus documentés du churn SaaS. Elle capture la trajectoire plutôt que l’état instantané.</w:t>
            </w:r>
          </w:p>
        </w:tc>
      </w:tr>
    </w:tbl>
    <w:p>
      <w:pPr>
        <w:spacing w:after="120"/>
      </w:pPr>
      <w:r>
        <w:t xml:space="preserve"/>
      </w:r>
    </w:p>
    <w:p>
      <w:pPr>
        <w:pStyle w:val="Heading2"/>
      </w:pPr>
      <w:r>
        <w:rPr>
          <w:b/>
          <w:bCs/>
        </w:rPr>
        <w:t xml:space="preserve">Synthèse</w:t>
      </w:r>
    </w:p>
    <w:p>
      <w:pPr>
        <w:spacing w:after="120"/>
      </w:pPr>
      <w:r>
        <w:t xml:space="preserve">Sur les 28 colonnes de la table analytique, 4 sont des features véritablement engineerdées (créées de toutes pièces par build_features.py), 17 sont des agrégations des données brutes ramenées à la granularité compte, et 7 sont des variables de profil ou d’identification.</w:t>
      </w:r>
    </w:p>
    <w:p>
      <w:pPr>
        <w:spacing w:after="120"/>
      </w:pPr>
      <w:r>
        <w:t xml:space="preserve">Les features les plus attendues pour le modèle Sprint 3 sont, par ordre de pertinence métier anticipée : usage_trend_3m, total_downgrades, critical_ticket_ratio, avg_satisfaction_score et active_days_ratio.</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200"/>
      <w:outlineLvl w:val="0"/>
    </w:pPr>
    <w:rPr>
      <w:rFonts w:ascii="Arial" w:cs="Arial" w:eastAsia="Arial" w:hAnsi="Arial"/>
      <w:b/>
      <w:bCs/>
      <w:color w:val="1F3864"/>
      <w:sz w:val="36"/>
      <w:szCs w:val="36"/>
    </w:rPr>
  </w:style>
  <w:style w:type="paragraph" w:styleId="Heading2">
    <w:name w:val="Heading 2"/>
    <w:basedOn w:val="Normal"/>
    <w:next w:val="Normal"/>
    <w:qFormat/>
    <w:pPr>
      <w:spacing w:before="240" w:after="120"/>
      <w:outlineLvl w:val="1"/>
    </w:pPr>
    <w:rPr>
      <w:rFonts w:ascii="Arial" w:cs="Arial" w:eastAsia="Arial" w:hAnsi="Arial"/>
      <w:b/>
      <w:bCs/>
      <w:color w:val="2E5EA8"/>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2026-03-30T07:41:19.092Z</dcterms:created>
  <dcterms:modified xsi:type="dcterms:W3CDTF">2026-03-30T07:41:19.094Z</dcterms:modified>
</cp:coreProperties>
</file>

<file path=docProps/custom.xml><?xml version="1.0" encoding="utf-8"?>
<Properties xmlns="http://schemas.openxmlformats.org/officeDocument/2006/custom-properties" xmlns:vt="http://schemas.openxmlformats.org/officeDocument/2006/docPropsVTypes"/>
</file>