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before="0" w:after="40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产品介绍 / 功能大纲</w:t>
      </w:r>
    </w:p>
    <w:p>
      <w:pPr>
        <w:spacing w:before="0" w:after="160"/>
      </w:pPr>
      <w:r>
        <w:rPr>
          <w:rFonts w:ascii="Arial Unicode MS" w:hAnsi="Arial Unicode MS" w:eastAsia="Arial Unicode MS" w:cs="Arial Unicode MS"/>
          <w:b/>
          <w:color w:val="0B2545"/>
          <w:sz w:val="58"/>
        </w:rPr>
        <w:t>企业一体化经营管理平台</w:t>
      </w:r>
    </w:p>
    <w:p>
      <w:pPr>
        <w:pStyle w:val="IntroLead"/>
        <w:spacing w:after="360"/>
      </w:pPr>
      <w:r>
        <w:rPr>
          <w:rFonts w:ascii="Arial Unicode MS" w:hAnsi="Arial Unicode MS" w:eastAsia="Arial Unicode MS" w:cs="Arial Unicode MS"/>
          <w:color w:val="667085"/>
          <w:sz w:val="27"/>
        </w:rPr>
        <w:t>把客户、合同、订单、采购、库存、财务和售后连成一条线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一句话说明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同一份信息只录入一次，后续部门自动接力；每件事都有负责人、进度、审批和完整记录。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本文档说明产品的总体设计和功能规划。产品正在分阶段研发，文中功能不代表当前均已可用，实际范围以正式发布版本和验收清单为准，详见第 9 节。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这是一套什么软件？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这是一套由企业自己掌控的综合经营管理软件。它把原来分散在不同软件、Excel、邮件、聊天和纸质单据里的工作，放进同一个安全、可追溯的工作体系。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一笔业务可以从客户线索开始，一直跟踪到报价、签约、下单、采购或生产、交付、开票、收款、售后和利润分析。企业也可以保留现有专业软件，通过接口连接，不必一次全部替换。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666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使用设备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Windows、macOS、iOS（iPhone；iPad 以 iOS 客户端兼容运行）、Android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部署方式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企业机房、私有云，或企业自己的国内云服务器；核心交易数据库从平台认证的五种产品中选择一种，详见第 6 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数据原则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每个客户独立部署；数据、备份、日志和 AI 上下文由客户控制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核心特点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高度自动化、高度定制、严格权限、完整审计、可连接已有系统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适用范围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首版面向中国大陆业务，仅支持简体中文与人民币；不含多币种、外汇和进出口</w:t>
            </w:r>
          </w:p>
        </w:tc>
      </w:tr>
    </w:tbl>
    <w:p>
      <w:pPr>
        <w:spacing w:before="0" w:after="40"/>
      </w:pP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适合哪些企业？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尤其适合销售、采购、仓库、生产、财务和售后需要紧密协同的企业，也适合多法人、多部门、多地点、重视数据保密或需要大量定制流程的组织。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1. 一笔订单怎样走完全程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用最常见的一笔订单来理解这套系统：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销售建单：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销售选择客户、产品、数量、价格和交期，系统自动带出已有资料。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合同审批：</w:t>
      </w:r>
      <w:r>
        <w:rPr>
          <w:rFonts w:ascii="Arial Unicode MS" w:hAnsi="Arial Unicode MS" w:eastAsia="Arial Unicode MS" w:cs="Arial Unicode MS"/>
          <w:color w:val="202830"/>
          <w:sz w:val="21"/>
        </w:rPr>
        <w:t>关键条款、折扣、付款计划和附件进入对应审批，不能越权跳过。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自动分解：</w:t>
      </w:r>
      <w:r>
        <w:rPr>
          <w:rFonts w:ascii="Arial Unicode MS" w:hAnsi="Arial Unicode MS" w:eastAsia="Arial Unicode MS" w:cs="Arial Unicode MS"/>
          <w:color w:val="202830"/>
          <w:sz w:val="21"/>
        </w:rPr>
        <w:t>系统检查库存、产能和采购周期，生成采购、生产、项目或调拨需求。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采购或生产：</w:t>
      </w:r>
      <w:r>
        <w:rPr>
          <w:rFonts w:ascii="Arial Unicode MS" w:hAnsi="Arial Unicode MS" w:eastAsia="Arial Unicode MS" w:cs="Arial Unicode MS"/>
          <w:color w:val="202830"/>
          <w:sz w:val="21"/>
        </w:rPr>
        <w:t>采购看到要买什么、何时到货；生产看到要做什么、何时完工。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仓库与交付：</w:t>
      </w:r>
      <w:r>
        <w:rPr>
          <w:rFonts w:ascii="Arial Unicode MS" w:hAnsi="Arial Unicode MS" w:eastAsia="Arial Unicode MS" w:cs="Arial Unicode MS"/>
          <w:color w:val="202830"/>
          <w:sz w:val="21"/>
        </w:rPr>
        <w:t>收货、质检、入库、拣货、出库、物流和客户签收全部有记录。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财务处理：</w:t>
      </w:r>
      <w:r>
        <w:rPr>
          <w:rFonts w:ascii="Arial Unicode MS" w:hAnsi="Arial Unicode MS" w:eastAsia="Arial Unicode MS" w:cs="Arial Unicode MS"/>
          <w:color w:val="202830"/>
          <w:sz w:val="21"/>
        </w:rPr>
        <w:t>业务单据自动形成应收、应付、开票和会计处理建议；付款需经受控审批后执行。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售后服务：</w:t>
      </w:r>
      <w:r>
        <w:rPr>
          <w:rFonts w:ascii="Arial Unicode MS" w:hAnsi="Arial Unicode MS" w:eastAsia="Arial Unicode MS" w:cs="Arial Unicode MS"/>
          <w:color w:val="202830"/>
          <w:sz w:val="21"/>
        </w:rPr>
        <w:t>投诉自动形成工单，关联原订单、合同、产品、批次、设备和保修。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管理分析：</w:t>
      </w:r>
      <w:r>
        <w:rPr>
          <w:rFonts w:ascii="Arial Unicode MS" w:hAnsi="Arial Unicode MS" w:eastAsia="Arial Unicode MS" w:cs="Arial Unicode MS"/>
          <w:color w:val="202830"/>
          <w:sz w:val="21"/>
        </w:rPr>
        <w:t>管理层随时查看收入、成本、库存、现金、交付、质量和利润。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核心闭环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客户 -&gt; 合同 -&gt; 订单 -&gt; 采购/生产 -&gt; 仓库交付 -&gt; 财务收付款 -&gt; 售后，全程共用同一条业务记录。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2. 它解决的日常问题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3590"/>
        <w:gridCol w:w="3270"/>
      </w:tblGrid>
      <w:tr>
        <w:trPr>
          <w:tblHeader/>
          <w:cantSplit/>
        </w:trPr>
        <w:tc>
          <w:tcPr>
            <w:tcW w:type="dxa" w:w="2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常见情况</w:t>
            </w:r>
          </w:p>
        </w:tc>
        <w:tc>
          <w:tcPr>
            <w:tcW w:type="dxa" w:w="35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使用平台后</w:t>
            </w:r>
          </w:p>
        </w:tc>
        <w:tc>
          <w:tcPr>
            <w:tcW w:type="dxa" w:w="32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直接结果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客户资料在个人手里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统一客户档案和全部往来记录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人员变化也不会丢客户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订单靠 Excel 或聊天转发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订单自动流向采购、仓库、生产和财务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少重复录入，少漏单错单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合同、回款和附件分散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关键条款、收款计划、版本和附件放在一起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履约、到期和欠款随时可查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采购不知道销售何时要货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系统按订单、库存和交期形成采购建议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减少缺料、积压和紧急采购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投诉没有负责人或超期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投诉自动建工单并按服务时限升级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处理过程清楚，责任明确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经营报表月底手工拼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业务数据持续汇总到统一报表；常用报表的性能指标以合同约定的基线环境与验收清单为准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管理层更早发现问题</w:t>
            </w:r>
          </w:p>
        </w:tc>
      </w:tr>
    </w:tbl>
    <w:p>
      <w:pPr>
        <w:spacing w:before="0" w:after="40"/>
      </w:pP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客户与销售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统一管理客户、联系人、线索、商机、跟进、报价、销售目标和预测。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销售可查看客户的历史报价、订单、合同、回款、投诉、设备和服务记录。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支持渠道、经销商、线索报备、返利和佣金，也可让客户通过门户自助查询。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重点把合同的三类信息管清楚：关键条款、收付款信息、合同附件。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支持模板、版本、批注、审批、签章、印章、履约、续签和到期提醒。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合同审批后，可自动生成订单、采购需求、项目任务、收款计划和交付节点。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订单管理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销售下单后，系统自动检查价格权限、合同、库存和交期。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支持订单变更、分批交付、退货、换货、直运、寄售、订阅和租赁。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每次变更都保留版本和审批记录，避免口头修改造成部门信息不一致。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采购与供应商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订单、生产、项目或库存不足都可以自动形成采购建议。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覆盖申请、询价、比价、招标、合同、订单、收货、退货、发票和付款。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记录供应商资质、价格、交期、质量和风险；供应商也可通过门户协同。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核心业务功能（续）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库存、仓库与交付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管理多仓库、多库位、批次、序列号、保质期、条码、二维码和 RFID。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覆盖收货、质检、上架、预留、拣货、复核、包装、出库、调拨和盘点。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发生质量问题时，可追踪受影响的批次、订单、客户、设备和售后记录。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财务、税务与资金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业务单据按规则形成财务处理建议，减少财务人员重复录入。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覆盖总账、应收、应付、费用、资产、成本、预算、合并、税务和电子会计档案。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支持中国大陆人民币业务、数电发票、银行对账和受控付款审批。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首版面向中国大陆业务，不含多币种、外汇、进出口、报关和信用证。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投诉、工单与售后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投诉进入系统后自动形成工单，关联客户、订单、合同、产品、批次和保修。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工单可按规则辅助分派给责任人，并按服务时限自动提醒和升级。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现场人员可用手机签到、扫码、拍照、换件和客户签字，断网时也能完成现场作业。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离线只用于现场作业和记录；合同生效、付款、开票、财务过账、结账和敏感数据导出不得离线完成，必须联网并经人工审批与中心确认。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生产、项目与质量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需要时可安装制造、项目、研发、质量和设备管理模块。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支持离散制造、流程制造、项目型制造，以及 MRP、排产、MES 和委外。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支持项目预算和利润、图纸与版本、来料/过程/成品质量、实验室和召回。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4. 按需增加的企业功能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平台不会把所有企业强行做成同一种管理方式。功能可以按模块安装，也可以连接企业已有系统。停用模块时，历史数据仍按规则安全保留。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制造与现场：</w:t>
      </w:r>
      <w:r>
        <w:rPr>
          <w:rFonts w:ascii="Arial Unicode MS" w:hAnsi="Arial Unicode MS" w:eastAsia="Arial Unicode MS" w:cs="Arial Unicode MS"/>
          <w:color w:val="202830"/>
          <w:sz w:val="21"/>
        </w:rPr>
        <w:t>MRP/APS、MES、PLM、QMS、LIMS、设备维护、物联网、数字孪生和追溯召回。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企业运营：</w:t>
      </w:r>
      <w:r>
        <w:rPr>
          <w:rFonts w:ascii="Arial Unicode MS" w:hAnsi="Arial Unicode MS" w:eastAsia="Arial Unicode MS" w:cs="Arial Unicode MS"/>
          <w:color w:val="202830"/>
          <w:sz w:val="21"/>
        </w:rPr>
        <w:t>人力资源、项目组合、物流运输、EHS、GRC、IT 服务、法务、费用差旅、ESG 与碳管理。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商业增长：</w:t>
      </w:r>
      <w:r>
        <w:rPr>
          <w:rFonts w:ascii="Arial Unicode MS" w:hAnsi="Arial Unicode MS" w:eastAsia="Arial Unicode MS" w:cs="Arial Unicode MS"/>
          <w:color w:val="202830"/>
          <w:sz w:val="21"/>
        </w:rPr>
        <w:t>CPQ、订阅、租赁、渠道佣金、电商、POS、市场平台、PIM/DAM、CMS 和 GIS。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门户与协作：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客户、供应商、渠道、员工门户，以及知识、文档、日历、任务、通知和联络中心。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分析与计划：</w:t>
      </w:r>
      <w:r>
        <w:rPr>
          <w:rFonts w:ascii="Arial Unicode MS" w:hAnsi="Arial Unicode MS" w:eastAsia="Arial Unicode MS" w:cs="Arial Unicode MS"/>
          <w:color w:val="202830"/>
          <w:sz w:val="21"/>
        </w:rPr>
        <w:t>经营驾驶舱、BI、预算预测、产销协同、流程挖掘、知识图谱、优化和情景模拟。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自由组合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每个业务领域都可以选择：使用系统内置模块，或连接现有专业软件；同一份数据只指定一个主系统，避免互相覆盖。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高度定制，但不破坏升级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新增业务对象、字段、关系、编号、校验、视图和搜索。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界面可定制：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调整表单、列表、首页、菜单、看板和移动端任务页面。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流程可定制：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设置审批、会签、时限、提醒、升级、自动任务和跨部门动作。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权限可定制：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按法人、部门、岗位、项目、客户、记录和字段控制访问。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建立企业自己的指标、报表、打印模板和管理驾驶舱。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品牌可定制：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每个客户可使用自己的名称、图标、颜色和客户端包；面向外部人员的应用商店分发使用客户自有开发者账号与证书，审核受阻时按合同切换到 Web/PWA 或其他约定形态并记录能力差异。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扩展可安装：</w:t>
      </w:r>
      <w:r>
        <w:rPr>
          <w:rFonts w:ascii="Arial Unicode MS" w:hAnsi="Arial Unicode MS" w:eastAsia="Arial Unicode MS" w:cs="Arial Unicode MS"/>
          <w:color w:val="202830"/>
          <w:sz w:val="21"/>
        </w:rPr>
        <w:t>通过签名模块或受控插件增加特殊能力；配置先验证审批，出现问题可回退。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5. Excel、文档、AI 与外部连接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Excel 与 WPS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电脑端 Office 或 WPS 宿主支持批量导入、导出、在线查询、受控提交、公式、条件格式和数据透视表；移动端按平台能力清单提供查看或原生表单替代。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常用分析可以继续在熟悉的表格方式中完成，再发布为正式报表。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为了安全，不执行 VBA、任意宏或未经批准的第三方加载项。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合同、附件与电子档案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合同、发票、图片、Word/WPS、PDF、OFD 和常见工程文件统一存档。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电脑端支持模板套用、在线编辑、批注、修订、版本比较、多人协作、电子签名、敏感信息遮盖和长期归档；移动端以查看和批注为主，写入按能力清单转电脑端完成。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大文件支持分片上传、断点续传、去重、安全扫描和权限控制。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完全本地的 AI 助手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可帮助识别合同和发票、整理客户与工单摘要、搜索知识、填写草稿和预测需求。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模型和企业数据在客户控制的环境内运行，不把敏感内容发送给公共 AI。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AI 不能绕过权限；合同生效、付款、开票、财务过账、结账和敏感数据导出等高风险操作必须人工确认或审批。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MCP、接口与现有软件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可以把 MCP 理解为一套受控的“工具连接标准”：企业 AI 只能在员工原有权限内查询资料、生成草稿或发起流程，每次调用都有身份、范围和审计记录。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可连接银行、税务、电子签名、支付、物流、HR、PLM、MES、物联网、GIS、BI 和文档系统；实际范围取决于对方接口、准入和逐客户联调条件。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连接失败时支持重试、告警、待修复队列、重放和对账，不让问题悄悄丢失。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6. 四端使用、私有部署与安全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Windows、macOS、iOS、Android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四个平台提供按规格定义的等价业务结果，并根据屏幕和使用场景自动调整。电脑适合批量操作、复杂报表、Office/WPS 和配置；手机和平板适合审批、查询、扫码、拍照、签到和现场作业。财务过账与结账、开票与税务写入、报表和仪表盘创作、Office 文档编辑协作、系统配置发布和动态扩展在移动端按清单提供查看、原生表单或不适用的替代路径。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不同设备使用同一套数据、权限和业务规则。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仓库、工厂和现场可在受控条件下断网工作，恢复网络后再安全同步。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离线范围限于库存、生产、质检和现场工单；合同生效、付款、开票、财务过账、结账和敏感数据导出不得离线完成，必须联网并经人工审批与中心确认。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边缘节点默认支持 3 天独立运行，可按容量和业务连续性要求延长。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企业自己选择部署位置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可部署在企业机房、私有云，或阿里云、腾讯云、华为云等企业自己的国内云环境。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核心交易数据库须从平台认证的清单中选择一种：PostgreSQL、openGauss、达梦、人大金仓或 OceanBase，可自建，也可部署在企业自有云环境中，具体形态与版本以认证清单为准，版本须在认证版本范围内。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同一客户不混用多种核心交易数据库；企业已有的 Oracle、SQL Server、MySQL 可作为外部系统或数据源接入，不作为核心交易数据库。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对象存储、密钥服务等配套组件既可自建，也可连接已有的合规服务。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生产数据、备份、日志、索引和 AI 上下文限定在中国大陆境内。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高保密设计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权限细：</w:t>
      </w:r>
      <w:r>
        <w:rPr>
          <w:rFonts w:ascii="Arial Unicode MS" w:hAnsi="Arial Unicode MS" w:eastAsia="Arial Unicode MS" w:cs="Arial Unicode MS"/>
          <w:color w:val="202830"/>
          <w:sz w:val="22"/>
        </w:rPr>
        <w:t>可以控制到法人、部门、项目、客户、单条记录和单个字段。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职责分开：</w:t>
      </w:r>
      <w:r>
        <w:rPr>
          <w:rFonts w:ascii="Arial Unicode MS" w:hAnsi="Arial Unicode MS" w:eastAsia="Arial Unicode MS" w:cs="Arial Unicode MS"/>
          <w:color w:val="202830"/>
          <w:sz w:val="22"/>
        </w:rPr>
        <w:t>系统、数据、安全、审计和密钥管理员相互制约。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全程加密：</w:t>
      </w:r>
      <w:r>
        <w:rPr>
          <w:rFonts w:ascii="Arial Unicode MS" w:hAnsi="Arial Unicode MS" w:eastAsia="Arial Unicode MS" w:cs="Arial Unicode MS"/>
          <w:color w:val="202830"/>
          <w:sz w:val="22"/>
        </w:rPr>
        <w:t>传输、数据库、附件、备份和设备缓存均受加密与密钥管理保护。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防止外泄：</w:t>
      </w:r>
      <w:r>
        <w:rPr>
          <w:rFonts w:ascii="Arial Unicode MS" w:hAnsi="Arial Unicode MS" w:eastAsia="Arial Unicode MS" w:cs="Arial Unicode MS"/>
          <w:color w:val="202830"/>
          <w:sz w:val="22"/>
        </w:rPr>
        <w:t>敏感内容可脱敏、水印、导出审批和追踪去向；桌面端与合规移动端的打印、复制和下载失效控制按策略强制执行，浏览器门户端受浏览器能力限制，相关控制为尽力而为且不作承诺。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完整审计：</w:t>
      </w:r>
      <w:r>
        <w:rPr>
          <w:rFonts w:ascii="Arial Unicode MS" w:hAnsi="Arial Unicode MS" w:eastAsia="Arial Unicode MS" w:cs="Arial Unicode MS"/>
          <w:color w:val="202830"/>
          <w:sz w:val="22"/>
        </w:rPr>
        <w:t>关键查看、修改、审批、导出和系统调用均留下防篡改证据。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持续可用：</w:t>
      </w:r>
      <w:r>
        <w:rPr>
          <w:rFonts w:ascii="Arial Unicode MS" w:hAnsi="Arial Unicode MS" w:eastAsia="Arial Unicode MS" w:cs="Arial Unicode MS"/>
          <w:color w:val="202830"/>
          <w:sz w:val="22"/>
        </w:rPr>
        <w:t>正式生产采用高可用部署，并配合异地不可变备份和恢复演练。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重要区别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云服务器只是可选的部署位置，不代表使用共享 SaaS。每个客户仍拥有独立系统、独立数据、独立密钥和独立升级通道。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7. 每个岗位能得到什么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3770"/>
        <w:gridCol w:w="4090"/>
      </w:tblGrid>
      <w:tr>
        <w:trPr>
          <w:tblHeader/>
          <w:cantSplit/>
        </w:trPr>
        <w:tc>
          <w:tcPr>
            <w:tcW w:type="dxa" w:w="1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岗位</w:t>
            </w:r>
          </w:p>
        </w:tc>
        <w:tc>
          <w:tcPr>
            <w:tcW w:type="dxa" w:w="37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不再困扰于</w:t>
            </w:r>
          </w:p>
        </w:tc>
        <w:tc>
          <w:tcPr>
            <w:tcW w:type="dxa" w:w="40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直接得到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销售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客户资料分散、交期不清、回款难追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客户全景、准确报价、订单进度和回款提醒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采购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临时催料、需求反复变化、供应商难比较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自动采购建议、比价、交期和供应商绩效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仓库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账实不符、批次不清、出入库靠纸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实时库存、扫码作业、批次追溯和盘点闭环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生产/项目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物料、进度、成本和变更各自分散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统一计划、任务、资源、质量、成本和交付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财务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重复录入、业务对不上账、凭证来源不清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业财联动、自动对账、受控过账和完整证据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售后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投诉丢失、找不到历史、工单超期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自动建单、规则分派、现场移动作业和服务追踪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管理层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报表滞后、口径不一、无法看到全局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统一指标、准实时经营视图、风险提醒和利润分析</w:t>
            </w:r>
          </w:p>
        </w:tc>
      </w:tr>
    </w:tbl>
    <w:p>
      <w:pPr>
        <w:spacing w:before="0" w:after="40"/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8. 最关键的产品定位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套平台不是要求企业立刻更换所有软件，而是建立一套统一、可控的经营底座。企业可以先启用客户、合同、订单、采购、财务和售后，再逐步增加制造、质量、项目、人力或其他模块。已有专业系统也可以继续使用，通过统一权限、接口和主数据规则连接起来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核心后台采用 Rust 构建，强调稳定、安全和长期可维护；客户差异通过配置、模块和签名插件实现，不为每个客户长期复制一套无法升级的代码。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产品价值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最终目标：让企业的人、客户、订单、货物、资金、文件和流程在同一个可信体系中协同。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9. 版本与适用范围说明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本节说明本文档的效力范围。产品按阶段研发和交付，文中所列功能不代表当前均已可用，实际交付内容以合同和验收清单为准。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阶段与版本：</w:t>
      </w:r>
      <w:r>
        <w:rPr>
          <w:rFonts w:ascii="Arial Unicode MS" w:hAnsi="Arial Unicode MS" w:eastAsia="Arial Unicode MS" w:cs="Arial Unicode MS"/>
          <w:color w:val="202830"/>
          <w:sz w:val="21"/>
        </w:rPr>
        <w:t>产品处于总体设计与分阶段研发阶段，不设置固定的完整版发布日期；所有正式业务模块完成并通过验收后才发布完整正式版。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交付依据：</w:t>
      </w:r>
      <w:r>
        <w:rPr>
          <w:rFonts w:ascii="Arial Unicode MS" w:hAnsi="Arial Unicode MS" w:eastAsia="Arial Unicode MS" w:cs="Arial Unicode MS"/>
          <w:color w:val="202830"/>
          <w:sz w:val="21"/>
        </w:rPr>
        <w:t>每次交付的模块范围、版本和验收标准以双方签署的合同与验收清单为准，本文档不构成功能交付承诺。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语言与币种：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首版仅支持简体中文、人民币和中国标准时间，不支持多币种、外汇、进出口、报关、信用证和产品内容多语言。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离线边界：</w:t>
      </w:r>
      <w:r>
        <w:rPr>
          <w:rFonts w:ascii="Arial Unicode MS" w:hAnsi="Arial Unicode MS" w:eastAsia="Arial Unicode MS" w:cs="Arial Unicode MS"/>
          <w:color w:val="202830"/>
          <w:sz w:val="21"/>
        </w:rPr>
        <w:t>库存、生产、质检和现场工单可在受控条件下离线处理，边缘节点默认支持 3 天独立运行并可延长；财务过账、付款和合同生效不得离线完成，必须联网并由中心确认。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人工确认：</w:t>
      </w:r>
      <w:r>
        <w:rPr>
          <w:rFonts w:ascii="Arial Unicode MS" w:hAnsi="Arial Unicode MS" w:eastAsia="Arial Unicode MS" w:cs="Arial Unicode MS"/>
          <w:color w:val="202830"/>
          <w:sz w:val="21"/>
        </w:rPr>
        <w:t>AI 与自动化可在授权范围内自动生成单据、任务和建议；合同生效、付款、开票、财务过账、结账和敏感数据导出属高风险动作，只生成待审批任务，必须经人工审批与中心确认后执行。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外部连接：</w:t>
      </w:r>
      <w:r>
        <w:rPr>
          <w:rFonts w:ascii="Arial Unicode MS" w:hAnsi="Arial Unicode MS" w:eastAsia="Arial Unicode MS" w:cs="Arial Unicode MS"/>
          <w:color w:val="202830"/>
          <w:sz w:val="21"/>
        </w:rPr>
        <w:t>银行、税务与数电发票、支付、电子签章等接入需完成相应准入，并按具体银行和属地逐项开户、报备与联调；未完成时按交付说明和合同采用回单、对账文件导入等替代方式。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范围说明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本文所述功能以正式发布版本和验收清单为准；未在合同中列明的能力不构成交付承诺。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 Unicode MS" w:hAnsi="Arial Unicode MS" w:eastAsia="Arial Unicode MS" w:cs="Arial Unicode MS"/>
        <w:b/>
        <w:color w:val="667085"/>
        <w:sz w:val="18"/>
      </w:rPr>
      <w:t>企业一体化经营管理平台</w:t>
    </w:r>
    <w:r>
      <w:tab/>
    </w:r>
    <w:r>
      <w:rPr>
        <w:rFonts w:ascii="Arial Unicode MS" w:hAnsi="Arial Unicode MS" w:eastAsia="Arial Unicode MS" w:cs="Arial Unicode MS"/>
        <w:color w:val="667085"/>
        <w:sz w:val="18"/>
      </w:rPr>
      <w:t>产品介绍与功能大纲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Lead">
    <w:name w:val="Intro Lead"/>
    <w:pPr>
      <w:spacing w:before="0" w:after="240" w:line="300" w:lineRule="auto"/>
    </w:pPr>
    <w:rPr>
      <w:rFonts w:ascii="Arial Unicode MS" w:hAnsi="Arial Unicode MS" w:eastAsia="Arial Unicode MS" w:cs="Arial Unicode MS"/>
      <w:b w:val="0"/>
      <w:color w:val="0B2545"/>
      <w:sz w:val="27"/>
    </w:rPr>
  </w:style>
  <w:style w:type="paragraph" w:customStyle="1" w:styleId="SmallNote">
    <w:name w:val="Small Note"/>
    <w:pPr>
      <w:spacing w:before="0" w:after="80" w:line="276" w:lineRule="auto"/>
    </w:pPr>
    <w:rPr>
      <w:rFonts w:ascii="Arial Unicode MS" w:hAnsi="Arial Unicode MS" w:eastAsia="Arial Unicode MS" w:cs="Arial Unicode MS"/>
      <w:b w:val="0"/>
      <w:color w:val="667085"/>
      <w:sz w:val="19"/>
    </w:rPr>
  </w:style>
  <w:style w:type="paragraph" w:customStyle="1" w:styleId="Callout">
    <w:name w:val="Callout"/>
    <w:pPr>
      <w:spacing w:before="0" w:after="0" w:line="300" w:lineRule="auto"/>
    </w:pPr>
    <w:rPr>
      <w:rFonts w:ascii="Arial Unicode MS" w:hAnsi="Arial Unicode MS" w:eastAsia="Arial Unicode MS" w:cs="Arial Unicode MS"/>
      <w:b/>
      <w:color w:val="0B2545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企业一体化经营管理平台 - 产品介绍与功能大纲</dc:title>
  <dc:subject>面向非技术读者的产品介绍（总体设计阶段，功能以正式发布版本为准）</dc:subject>
  <dc:creator>Codex</dc:creator>
  <cp:keywords>企业管理, CRM, 合同, 订单, 采购, 财务, 售后, 私有化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