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业务单据自动形成应收、应付、开票和会计处理建议；付款需经受控审批后执行。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业务数据持续汇总到统一报表，常用报表通常 10 秒内呈现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销售下单后，系统自动检查价格权限、合同、库存和交期。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首版面向中国大陆业务，不含多币种、外汇、进出口、报关和信用证。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工单可按规则辅助分派给责任人，并按服务时限自动提醒和升级。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现场人员可用手机签到、扫码、拍照、换件和客户签字，断网时也能完成现场作业。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离线只用于现场作业和记录；付款和合同生效需联网并由中心确认，详见第 9 节。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支持批量导入、导出、在线查询、受控提交、公式、条件格式和数据透视表。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 OCR、批注、版本比较、电子签名、敏感信息遮盖和长期归档。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不能绕过权限；合同、付款、发票、过账等高风险操作必须确认或审批。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四个平台提供等价的业务能力，并根据屏幕和使用场景自动调整。电脑适合批量操作和复杂报表；手机和平板适合审批、查询、扫码、拍照、签到和现场作业。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离线范围限于库存、生产、质检和现场工单；财务过账、付款和合同生效需联网并由中心确认。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边缘节点默认支持 3 天独立运行，可按容量和业务连续性要求延长。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数据库、对象存储、密钥服务等既可自建，也可连接已有的合规服务。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敏感内容可脱敏、水印、限制复制打印、限制导出并追踪去向。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自动建单、规则分派、现场移动作业和服务追踪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统一指标、准实时经营视图、风险提醒和利润分析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本节说明本文档的效力范围。产品按阶段研发和交付，文中所列功能不代表当前均已可用，实际交付内容以合同和验收清单为准。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产品处于总体设计与分阶段研发阶段，不设置固定的完整版发布日期；所有正式业务模块完成并通过验收后才发布完整正式版。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离线边界：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库存、生产、质检和现场工单可在受控条件下离线处理，边缘节点默认支持 3 天独立运行并可延长；财务过账、付款和合同生效不得离线完成，必须联网并由中心确认。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AI 与自动化可在授权范围内自动生成单据、任务和建议；合同生效、付款、开票和过账属高风险动作，只生成待审批任务，必须经人工审批后执行。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连接企业已有系统的实际范围取决于对方系统开放的接口能力，需在实施前逐项确认。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