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before="0" w:after="40"/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>产品介绍 / 功能大纲</w:t>
      </w:r>
    </w:p>
    <w:p>
      <w:pPr>
        <w:spacing w:before="0" w:after="160"/>
      </w:pPr>
      <w:r>
        <w:rPr>
          <w:rFonts w:ascii="Arial Unicode MS" w:hAnsi="Arial Unicode MS" w:eastAsia="Arial Unicode MS" w:cs="Arial Unicode MS"/>
          <w:b/>
          <w:color w:val="0B2545"/>
          <w:sz w:val="58"/>
        </w:rPr>
        <w:t>企业一体化经营管理平台</w:t>
      </w:r>
    </w:p>
    <w:p>
      <w:pPr>
        <w:pStyle w:val="IntroLead"/>
        <w:spacing w:after="360"/>
      </w:pPr>
      <w:r>
        <w:rPr>
          <w:rFonts w:ascii="Arial Unicode MS" w:hAnsi="Arial Unicode MS" w:eastAsia="Arial Unicode MS" w:cs="Arial Unicode MS"/>
          <w:color w:val="667085"/>
          <w:sz w:val="27"/>
        </w:rPr>
        <w:t>把客户、合同、订单、采购、库存、财务和售后连成一条线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一句话说明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同一份信息只录入一次，后续部门自动接力；每件事都有负责人、进度、审批和完整记录。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本文档说明产品的总体设计和功能规划。产品正在分阶段研发，文中功能不代表当前均已可用，实际范围以正式发布版本和验收清单为准，详见第 9 节。</w:t>
      </w: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这是一套什么软件？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这是一套由企业自己掌控的综合经营管理软件。它把原来分散在不同软件、Excel、邮件、聊天和纸质单据里的工作，放进同一个安全、可追溯的工作体系。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一笔业务从销售录入合同开始，一直跟踪到合同审批、订单、采购、收货、交付、开票、收款、付款和售后，并汇总成收入、成本、交付和利润。首版内置的外部对接只有电子签章一类，企业已有系统可作为外部数据源，通过接口和文件导入导出交换数据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/>
          <w:cantSplit/>
        </w:trPr>
        <w:tc>
          <w:tcPr>
            <w:tcW w:type="dxa" w:w="270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666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使用设备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Windows、macOS、iOS（iPhone；iPad 以 iOS 客户端兼容运行）、Android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部署方式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企业机房、私有云，或企业自己的国内云服务器；核心交易数据库为 PostgreSQL，详见第 6 节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数据原则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每个客户独立部署；数据、备份和日志由客户控制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核心特点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合同贯穿全程、单据自动接力、高度定制、严格权限、完整审计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适用范围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首版面向中国大陆业务，仅支持简体中文与人民币；不含多币种、外汇和进出口</w:t>
            </w:r>
          </w:p>
        </w:tc>
      </w:tr>
    </w:tbl>
    <w:p>
      <w:pPr>
        <w:spacing w:before="0" w:after="40"/>
      </w:pP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适合哪些企业？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尤其适合以合同和订单驱动经营，销售、采购、仓库、财务和售后需要紧密协同的企业，也适合多法人、多部门、多地点、重视数据保密或需要大量定制流程的组织。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1. 一笔订单怎样走完全程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用最常见的一笔订单来理解这套系统：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销售建单：</w:t>
      </w:r>
      <w:r>
        <w:rPr>
          <w:rFonts w:ascii="Arial Unicode MS" w:hAnsi="Arial Unicode MS" w:eastAsia="Arial Unicode MS" w:cs="Arial Unicode MS"/>
          <w:color w:val="202830"/>
          <w:sz w:val="21"/>
        </w:rPr>
        <w:t>销售录入合同，选择客户、产品、数量、价格和交期，系统自动带出已有资料，并校验价格权限、库存可用量、交期和客户信用额度。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合同审批：</w:t>
      </w:r>
      <w:r>
        <w:rPr>
          <w:rFonts w:ascii="Arial Unicode MS" w:hAnsi="Arial Unicode MS" w:eastAsia="Arial Unicode MS" w:cs="Arial Unicode MS"/>
          <w:color w:val="202830"/>
          <w:sz w:val="21"/>
        </w:rPr>
        <w:t>关键条款、折扣、付款计划和附件按各自审批链审批，不能越权跳过；管理层是合同审批的必经节点，意见、版本和附件全程留痕。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合同生效：</w:t>
      </w:r>
      <w:r>
        <w:rPr>
          <w:rFonts w:ascii="Arial Unicode MS" w:hAnsi="Arial Unicode MS" w:eastAsia="Arial Unicode MS" w:cs="Arial Unicode MS"/>
          <w:color w:val="202830"/>
          <w:sz w:val="21"/>
        </w:rPr>
        <w:t>合同生效后自动生成销售订单、采购需求、项目任务、收款计划和交付节点，派生单据与合同双向可追溯。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采购订货：</w:t>
      </w:r>
      <w:r>
        <w:rPr>
          <w:rFonts w:ascii="Arial Unicode MS" w:hAnsi="Arial Unicode MS" w:eastAsia="Arial Unicode MS" w:cs="Arial Unicode MS"/>
          <w:color w:val="202830"/>
          <w:sz w:val="21"/>
        </w:rPr>
        <w:t>采购查看已生效的合同与采购需求，按合同下达采购订单并可分批订货，供应商可通过门户确认订单与交期。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收货入账：</w:t>
      </w:r>
      <w:r>
        <w:rPr>
          <w:rFonts w:ascii="Arial Unicode MS" w:hAnsi="Arial Unicode MS" w:eastAsia="Arial Unicode MS" w:cs="Arial Unicode MS"/>
          <w:color w:val="202830"/>
          <w:sz w:val="21"/>
        </w:rPr>
        <w:t>收货按物料、批次和序列号写入库存台账；采购发票登记后形成应付明细，并按不含税单价更新库存金额。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发票申请与开具：</w:t>
      </w:r>
      <w:r>
        <w:rPr>
          <w:rFonts w:ascii="Arial Unicode MS" w:hAnsi="Arial Unicode MS" w:eastAsia="Arial Unicode MS" w:cs="Arial Unicode MS"/>
          <w:color w:val="202830"/>
          <w:sz w:val="21"/>
        </w:rPr>
        <w:t>销售按合同和订单提交发票申请，管理层审批后由财务登记开具结果，回写申请单状态与剩余可开比例，并形成应收。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交付确认：</w:t>
      </w:r>
      <w:r>
        <w:rPr>
          <w:rFonts w:ascii="Arial Unicode MS" w:hAnsi="Arial Unicode MS" w:eastAsia="Arial Unicode MS" w:cs="Arial Unicode MS"/>
          <w:color w:val="202830"/>
          <w:sz w:val="21"/>
        </w:rPr>
        <w:t>发货或合同交付节点确认后确认收入，并同步按加权平均单价结转销货成本。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到款与付款登记：</w:t>
      </w:r>
      <w:r>
        <w:rPr>
          <w:rFonts w:ascii="Arial Unicode MS" w:hAnsi="Arial Unicode MS" w:eastAsia="Arial Unicode MS" w:cs="Arial Unicode MS"/>
          <w:color w:val="202830"/>
          <w:sz w:val="21"/>
        </w:rPr>
        <w:t>财务按订单和发票登记到款，按采购发票登记付款，支持分次收付款，未核销部分进入账龄。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售后工单：</w:t>
      </w:r>
      <w:r>
        <w:rPr>
          <w:rFonts w:ascii="Arial Unicode MS" w:hAnsi="Arial Unicode MS" w:eastAsia="Arial Unicode MS" w:cs="Arial Unicode MS"/>
          <w:color w:val="202830"/>
          <w:sz w:val="21"/>
        </w:rPr>
        <w:t>售后技术支持记录形成工单，关联原订单、合同、产品、批次、设备和保修，并进入客户档案。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管理层看数：</w:t>
      </w:r>
      <w:r>
        <w:rPr>
          <w:rFonts w:ascii="Arial Unicode MS" w:hAnsi="Arial Unicode MS" w:eastAsia="Arial Unicode MS" w:cs="Arial Unicode MS"/>
          <w:color w:val="202830"/>
          <w:sz w:val="21"/>
        </w:rPr>
        <w:t>管理层随时查看收入、成本、交付和利润，并可按期间、客户、产品和合同下钻。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核心闭环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合同 -&gt; 订单 -&gt; 采购收货 -&gt; 交付确认 -&gt; 开票 -&gt; 收付款 -&gt; 售后 -&gt; 经营看数，全程共用同一条业务记录。</w:t>
      </w: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2. 它解决的日常问题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590"/>
        <w:gridCol w:w="3270"/>
      </w:tblGrid>
      <w:tr>
        <w:trPr>
          <w:tblHeader/>
          <w:cantSplit/>
        </w:trPr>
        <w:tc>
          <w:tcPr>
            <w:tcW w:type="dxa" w:w="250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常见情况</w:t>
            </w:r>
          </w:p>
        </w:tc>
        <w:tc>
          <w:tcPr>
            <w:tcW w:type="dxa" w:w="359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使用平台后</w:t>
            </w:r>
          </w:p>
        </w:tc>
        <w:tc>
          <w:tcPr>
            <w:tcW w:type="dxa" w:w="327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直接结果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客户资料在个人手里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统一客户档案，历史合同、回款、投诉、设备和服务记录集中可查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人员变化也不会丢客户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合同、回款和附件分散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关键条款、收付款信息、版本和附件放在一起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履约、到期和欠款随时可查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订单靠 Excel 或聊天转发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合同生效后自动派生订单、采购需求、收款计划和交付节点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少重复录入，少漏单错单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采购不知道销售何时要货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采购建议按合同、订单和库存不足自动形成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减少缺料、积压和紧急采购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赊销额度靠人工把关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下单时自动校验客户信用额度，超额按配置阻断或转审批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减少超额赊销带来的呆账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发票和收款对不上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发票申请、开具登记、收款计划与到款核销逐笔勾稽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应收余额和账龄一目了然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售后找不到单据出处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工单关联原订单、合同、产品、批次、设备和保修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处理过程清楚，责任明确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经营报表月底手工拼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收入、成本、交付和利润由业务单据持续汇总；常用报表的性能指标以合同约定的基线环境与验收清单为准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管理层更早发现问题</w:t>
            </w:r>
          </w:p>
        </w:tc>
      </w:tr>
    </w:tbl>
    <w:p>
      <w:pPr>
        <w:spacing w:before="0" w:after="40"/>
      </w:pP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3. 核心业务功能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客户与销售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统一管理客户档案、联系人和客户 360 视图，销售建单时自动带出客户、产品和价目资料。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销售可查看客户的历史合同、回款、投诉、设备和服务记录。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维护产品价目，录入合同和下单时校验价格权限，折扣随合同审批链审批。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首版不含线索、商机、漏斗、市场活动、销售预测和渠道佣金。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合同管理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重点把合同的三类信息管清楚：关键条款、收付款信息、合同附件。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支持模板、版本、批注、审批、签章、印章、履约、续签和到期提醒，合同也可以合并。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合同审批后，可自动生成订单、采购需求、项目任务、收款计划和交付节点。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合同变更按新版本重新派生或调整已派生的单据，派生单据与合同双向可追溯。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合同生效属高风险操作，须重新确认身份，审批链不能越权跳过。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订单管理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销售下单后，系统自动检查价格权限、合同、库存可用量、交期和客户信用额度。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客户信用额度由应收未收金额与在途订单金额推算，超出可用额度时按配置阻断或转审批。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支持订单变更、分批交付、退货、换货、直运和寄售；订阅与租赁作为订单类型登记周期和租期。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每次变更都保留版本和审批记录，避免口头修改造成部门信息不一致。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采购与供应商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合同、销售订单、项目任务或库存不足都可以自动形成采购建议。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采购查看审批生效的合同，按合同下达采购订单并可分批订货，覆盖收货、退货、采购发票和付款申请。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记录供应商准入与资质，以及价格、交期、质量和风险信息。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供应商可通过门户确认采购订单与交期、提交送货通知、上传发票、查询收付款对账并维护自身档案。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首版不含询比价、招投标、VMI 和供应商绩效评分模型。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3. 核心业务功能（续）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库存与存货计价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管理仓库与库存台账、收发存记录、可用量查询，以及批次与序列号标识。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收货、出库和退货按物料、批次和序列号登记，可用量直接支撑下单校验和交期判断。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存货计价采用移动加权平均一种方法：入库按采购不含税单价计价，出库按加权平均单价结转金额，数量账与金额账同步更新。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提供按仓库和物料的库存金额查询与期末库存价值表；退货按当时的加权平均单价回冲，不重算历史成本。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首版不含库位、质检、预留、拣货、波次、调拨和盘点，也不含先进先出、标准成本和采购费用分摊。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财务：应收应付、开票与总账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业务单据按固定规则生成财务记录，减少重复录入；开票与收付款在系统内登记，不依赖外部账套。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应收台账按客户、合同、订单和发票记录应收明细、收款计划、到款核销和账龄；应付台账按供应商、采购订单和采购发票记录应付明细、付款申请、付款核销和账龄。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发票申请、审批、开具登记与合同收款计划的勾稽在系统内连成一条链路；开票有误时可在系统内登记作废或红字冲销。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到款和付款按订单与发票登记，支持分次收付款，一笔款项可核销多张发票或订单；银行与现金账户档案和资金流水由人工登记。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简易总账提供会计科目表、凭证生成、科目余额表、总账与明细账查询、试算平衡、月度期间开闭和年度损益结转；已过账凭证只能以红字冲销或更正凭证追加更正。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成本来源只有两类：交付确认时按加权平均结转的销货成本，以及直接关联合同、订单或项目的采购发票与外购服务费用；可按合同、订单、客户和项目查询成本并得出毛利。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收入确认只有一种口径：交付确认时确认收入并同步结转销货成本，开票时形成应收和销项税额。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首版为人民币单一账簿，发票开具指按实际开票结果在系统内登记；不含固定资产、预算、费用报销、管理会计、合并报表、多币种、外汇、进出口、信用证、银企直连、自动对账和税务平台直连。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售后工单与设备台账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售后技术支持记录形成工单，关联原订单、合同、产品、批次、设备和保修。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设备台账记录设备编号或序列号、型号、所属客户、关联产品与批次、交付与安装日期和当前状态。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保修记录起止日期、保修范围和条款文本，建工单时自动读取在保状态。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客户投诉与工单进入客户 360 视图，退换修登记与订单的退货、换货打通。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工单按流程设定的时限自动提醒和升级；首版不含现场派工调度、服务权益计费和售后知识库。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报表与经营看板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报表和看板的数据直接来自业务单据，管理层不必等月底手工汇总。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预置收入、成本、利润、交付四类指标和一个默认管理驾驶舱，并配套应收账龄、应付账龄两张基础表。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四类指标可按期间、客户、产品和合同下钻；交付看合同交付节点与订单分批交付的按期完成率和逾期清单。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报表设计器支持拖拽设计、筛选、分组、汇总和像素级打印模板，企业可以建立自己的指标。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报表和看板的结果继承法人、记录和字段级权限，无权查看的数据不会出现在结果中。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首版不含内嵌电子表格、报表订阅与定时分发，以及外部 BI 平台的语义层对接。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4. 首版模块安装范围与后续版本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首版按模块交付。首版范围内的模块都可以按许可证安装、启用、停用、再启用和升级；停用只关闭该模块的界面入口、写入接口、定时任务和对外事件，历史数据继续保留，授权范围内仍可查询和审计检索。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首版可以安装的能力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核心业务：</w:t>
      </w:r>
      <w:r>
        <w:rPr>
          <w:rFonts w:ascii="Arial Unicode MS" w:hAnsi="Arial Unicode MS" w:eastAsia="Arial Unicode MS" w:cs="Arial Unicode MS"/>
          <w:color w:val="202830"/>
          <w:sz w:val="21"/>
        </w:rPr>
        <w:t>主数据、客户档案与客户 360、合同、销售订单与客户信用额度校验、采购与供应商、库存台账与存货计价、成本归集、项目任务与交付节点、售后工单与设备台账。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财务：</w:t>
      </w:r>
      <w:r>
        <w:rPr>
          <w:rFonts w:ascii="Arial Unicode MS" w:hAnsi="Arial Unicode MS" w:eastAsia="Arial Unicode MS" w:cs="Arial Unicode MS"/>
          <w:color w:val="202830"/>
          <w:sz w:val="21"/>
        </w:rPr>
        <w:t>应收与应付台账、发票申请与开具登记、到款与付款登记、简易总账与期间结账。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报表与经营看板：</w:t>
      </w:r>
      <w:r>
        <w:rPr>
          <w:rFonts w:ascii="Arial Unicode MS" w:hAnsi="Arial Unicode MS" w:eastAsia="Arial Unicode MS" w:cs="Arial Unicode MS"/>
          <w:color w:val="202830"/>
          <w:sz w:val="21"/>
        </w:rPr>
        <w:t>报表设计器、仪表盘、企业自定义指标、打印模板，以及收入、成本、交付、利润的预置指标与默认管理驾驶舱。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供应商门户：</w:t>
      </w:r>
      <w:r>
        <w:rPr>
          <w:rFonts w:ascii="Arial Unicode MS" w:hAnsi="Arial Unicode MS" w:eastAsia="Arial Unicode MS" w:cs="Arial Unicode MS"/>
          <w:color w:val="202830"/>
          <w:sz w:val="21"/>
        </w:rPr>
        <w:t>供应商查看与确认采购订单和交期、提交送货通知、上传发票、查询收付款对账、维护自身资质与价格交期档案。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电子签章连接器：</w:t>
      </w:r>
      <w:r>
        <w:rPr>
          <w:rFonts w:ascii="Arial Unicode MS" w:hAnsi="Arial Unicode MS" w:eastAsia="Arial Unicode MS" w:cs="Arial Unicode MS"/>
          <w:color w:val="202830"/>
          <w:sz w:val="21"/>
        </w:rPr>
        <w:t>合同审批通过后发起签署，回传签署结果与带签章的合同文件，用印留痕并归入合同附件与审计。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其他：</w:t>
      </w:r>
      <w:r>
        <w:rPr>
          <w:rFonts w:ascii="Arial Unicode MS" w:hAnsi="Arial Unicode MS" w:eastAsia="Arial Unicode MS" w:cs="Arial Unicode MS"/>
          <w:color w:val="202830"/>
          <w:sz w:val="21"/>
        </w:rPr>
        <w:t>全文检索，以及订阅与租赁两种订单类型。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属于后续版本的能力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以下能力首版不交付，也不提供安装入口。它们已按原名称逐条登记，后续版本可以按登记恢复；恢复需要重新确定范围，不能在首版通过低代码配置、插件或连接器变相实现。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制造与生产：</w:t>
      </w:r>
      <w:r>
        <w:rPr>
          <w:rFonts w:ascii="Arial Unicode MS" w:hAnsi="Arial Unicode MS" w:eastAsia="Arial Unicode MS" w:cs="Arial Unicode MS"/>
          <w:color w:val="202830"/>
          <w:sz w:val="21"/>
        </w:rPr>
        <w:t>MRP、APS、MES、PLM、QMS、LIMS，以及设备点检、维修工单、备件和预测维护。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企业运营与治理：</w:t>
      </w:r>
      <w:r>
        <w:rPr>
          <w:rFonts w:ascii="Arial Unicode MS" w:hAnsi="Arial Unicode MS" w:eastAsia="Arial Unicode MS" w:cs="Arial Unicode MS"/>
          <w:color w:val="202830"/>
          <w:sz w:val="21"/>
        </w:rPr>
        <w:t>人力资源、运输管理、EHS、GRC、IT 服务、法务、商旅费控、文档与知识库、内容管理、统一消息中心、联络中心和 GIS。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商业与渠道：</w:t>
      </w:r>
      <w:r>
        <w:rPr>
          <w:rFonts w:ascii="Arial Unicode MS" w:hAnsi="Arial Unicode MS" w:eastAsia="Arial Unicode MS" w:cs="Arial Unicode MS"/>
          <w:color w:val="202830"/>
          <w:sz w:val="21"/>
        </w:rPr>
        <w:t>电商、POS、会员、渠道佣金与返利，以及按量计费、独立账单和催收。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门户：</w:t>
      </w:r>
      <w:r>
        <w:rPr>
          <w:rFonts w:ascii="Arial Unicode MS" w:hAnsi="Arial Unicode MS" w:eastAsia="Arial Unicode MS" w:cs="Arial Unicode MS"/>
          <w:color w:val="202830"/>
          <w:sz w:val="21"/>
        </w:rPr>
        <w:t>客户门户、经销商门户和员工门户；首版对外门户只有供应商门户。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智能与检索：</w:t>
      </w:r>
      <w:r>
        <w:rPr>
          <w:rFonts w:ascii="Arial Unicode MS" w:hAnsi="Arial Unicode MS" w:eastAsia="Arial Unicode MS" w:cs="Arial Unicode MS"/>
          <w:color w:val="202830"/>
          <w:sz w:val="21"/>
        </w:rPr>
        <w:t>本地 AI、OCR、MCP、向量检索、知识图谱、流程挖掘、预测和仿真；首版检索能力只有全文检索。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现场与设备联网：</w:t>
      </w:r>
      <w:r>
        <w:rPr>
          <w:rFonts w:ascii="Arial Unicode MS" w:hAnsi="Arial Unicode MS" w:eastAsia="Arial Unicode MS" w:cs="Arial Unicode MS"/>
          <w:color w:val="202830"/>
          <w:sz w:val="21"/>
        </w:rPr>
        <w:t>边缘节点、断网独立运行、工业协议接入、物联网和数字孪生。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外部资金与税务：</w:t>
      </w:r>
      <w:r>
        <w:rPr>
          <w:rFonts w:ascii="Arial Unicode MS" w:hAnsi="Arial Unicode MS" w:eastAsia="Arial Unicode MS" w:cs="Arial Unicode MS"/>
          <w:color w:val="202830"/>
          <w:sz w:val="21"/>
        </w:rPr>
        <w:t>银企直连、自动对账、第三方支付渠道，以及数电发票平台与税控设备对接。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更深的业务能力：</w:t>
      </w:r>
      <w:r>
        <w:rPr>
          <w:rFonts w:ascii="Arial Unicode MS" w:hAnsi="Arial Unicode MS" w:eastAsia="Arial Unicode MS" w:cs="Arial Unicode MS"/>
          <w:color w:val="202830"/>
          <w:sz w:val="21"/>
        </w:rPr>
        <w:t>完整仓库作业（波次、拣货、盘点、质检、预留、调拨）、完整财务与管理会计（多账簿、固定资产、预算、费用报销、合并报表、资金管理）、完整成本管理，以及线索、商机、销售预测、询比价和招投标。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范围提醒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首版交付以合同为中心的销售、采购、财务与工单闭环；上面列为后续版本的能力不在首版交付范围内。</w:t>
      </w: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高度定制，但不破坏升级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数据可定制：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新增业务对象、字段、关系、编号、校验、视图和搜索。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界面可定制：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调整表单、列表、首页、菜单、看板和移动端任务页面。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流程可定制：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设置审批、会签、时限、提醒、升级、自动任务和跨部门动作。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权限可定制：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按法人、部门、岗位、项目、客户、记录和字段控制访问。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报表可定制：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建立企业自己的指标、报表、打印模板和管理驾驶舱。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品牌可定制：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每个客户可使用自己的名称、图标、颜色和客户端包；面向外部人员的应用商店分发使用客户自有开发者账号与证书，审核受阻时按合同切换到 Web/PWA 或其他约定形态并记录能力差异。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扩展可安装：</w:t>
      </w:r>
      <w:r>
        <w:rPr>
          <w:rFonts w:ascii="Arial Unicode MS" w:hAnsi="Arial Unicode MS" w:eastAsia="Arial Unicode MS" w:cs="Arial Unicode MS"/>
          <w:color w:val="202830"/>
          <w:sz w:val="21"/>
        </w:rPr>
        <w:t>通过签名模块或受控插件，在首版已交付的能力范围内增加特殊能力；配置先验证审批，出现问题可回退。插件默认没有网络、文件、密钥和业务数据权限，需要哪些能力必须先声明，经审批后按最小权限授予。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5. Excel、文档与外部连接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Excel 与批量数据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首版提供 Excel 导入与导出，用于批量建档、批量录入和把查询结果带出系统，四端能力一致。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为了安全，不执行 VBA、任意宏或第三方 Excel 加载项。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首版不提供 Excel 或 WPS 加载项，也不提供在表格中实时查询与提交、复杂公式、数据透视和条件格式。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合同、附件与档案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合同与单据附件支持模板套用、批注、版本与版本比较；DOCX 提供下载与查看。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PDF 支持查看、下载、批注、电子签章和归档校验；合同、发票、会计凭证和审计证据保存在经认证的不可篡改存储中。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大文件支持分片上传、断点续传、类型识别、恶意内容检查和权限控制。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移动端对模板套用、版本比较和 PDF 签章只提供查看与只读批注，写入操作在电脑端完成。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首版不提供文档在线编辑、修订与多人协作，也不提供 OCR、PDF/OFD 遮盖与格式转换、CAD 预览。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接口与外部连接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首版随正式版交付的成品连接器只有电子签章一类：合同审批通过后发起签署，回传签署结果与带签章的合同文件，用印留痕并归入合同附件与审计。实际启用需完成签章机构准入，并按客户逐项联调。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银行与税务侧首版不做系统对接：到款、付款与发票开具都在系统内登记，可人工录入或批量导入，闭环不依赖银企直连与税务平台。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平台提供 REST 接口、OpenAPI 说明、批量接口、Webhook、业务事件，以及 CSV、Excel、XML 文件导入导出，供企业按需自行对接。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对外调用失败时支持超时、退避重试、熔断、死信队列和人工修复，不让问题悄悄丢失。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6. 四端使用、私有部署与安全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Windows、macOS、iOS、Android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四个平台使用同一套数据、权限和业务规则：同一操作在任一端发起、审批或查询，产生的记录、校验、审计和结果相同；界面按屏幕和使用场景重排，不要求四端外观一致。电脑端适合批量操作、复杂报表和系统配置，手机和平板适合审批、查询、扫码和现场记录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移动端完整使用：</w:t>
      </w:r>
      <w:r>
        <w:rPr>
          <w:rFonts w:ascii="Arial Unicode MS" w:hAnsi="Arial Unicode MS" w:eastAsia="Arial Unicode MS" w:cs="Arial Unicode MS"/>
          <w:color w:val="202830"/>
          <w:sz w:val="21"/>
        </w:rPr>
        <w:t>库存台账与收发扫码、售后工单与设备台账、审批待办与站内通知。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移动端简化使用：</w:t>
      </w:r>
      <w:r>
        <w:rPr>
          <w:rFonts w:ascii="Arial Unicode MS" w:hAnsi="Arial Unicode MS" w:eastAsia="Arial Unicode MS" w:cs="Arial Unicode MS"/>
          <w:color w:val="202830"/>
          <w:sz w:val="21"/>
        </w:rPr>
        <w:t>客户档案与客户 360 查询、合同条款与电子签章、销售订单与履约、采购与供应商协同、项目任务与交付节点、主数据维护与审批、全文检索；业务对象、权限和流程结果不变，交互形态与单次批量规模受限。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移动端只提供查看：</w:t>
      </w:r>
      <w:r>
        <w:rPr>
          <w:rFonts w:ascii="Arial Unicode MS" w:hAnsi="Arial Unicode MS" w:eastAsia="Arial Unicode MS" w:cs="Arial Unicode MS"/>
          <w:color w:val="202830"/>
          <w:sz w:val="21"/>
        </w:rPr>
        <w:t>财务过账与期末结账、到款与付款登记、发票申请与开具登记、报表与像素级打印、文档与附件协作、系统管理与配置发布；对应的写入操作在电脑端完成。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移动端不承载：</w:t>
      </w:r>
      <w:r>
        <w:rPr>
          <w:rFonts w:ascii="Arial Unicode MS" w:hAnsi="Arial Unicode MS" w:eastAsia="Arial Unicode MS" w:cs="Arial Unicode MS"/>
          <w:color w:val="202830"/>
          <w:sz w:val="21"/>
        </w:rPr>
        <w:t>扩展插件与动态下发的扩展代码；移动端的设备能力只有相机扫码，随应用版本发布。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所有业务写入经中心校验后生效。网络中断期间客户端只能保存本地草稿，恢复连接后由中心重新校验并提交，不在本地产生正式业务记录。首版不提供断网独立运行。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合同生效、付款、开票、财务过账、结账和敏感数据导出属高风险操作，必须重新认证后才能提交并进入审批，审批人不得与发起人为同一人，四端口径一致。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企业自己选择部署位置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可部署在企业机房、私有云，或阿里云、腾讯云、华为云等企业自己的国内云环境。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首版核心交易数据库只支持 PostgreSQL 16，可自建，也可部署在企业自有云环境中，版本须在认证版本范围内。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企业已有的 Oracle、SQL Server、MySQL 可作为外部数据源接入，不作为核心交易数据库。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对象存储、密钥服务等配套组件既可自建，也可连接已有的合规服务。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生产数据、备份、日志和索引限定在中国大陆境内。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高保密设计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权限细：</w:t>
      </w:r>
      <w:r>
        <w:rPr>
          <w:rFonts w:ascii="Arial Unicode MS" w:hAnsi="Arial Unicode MS" w:eastAsia="Arial Unicode MS" w:cs="Arial Unicode MS"/>
          <w:color w:val="202830"/>
          <w:sz w:val="22"/>
        </w:rPr>
        <w:t>可以控制到法人、部门、岗位、项目、客户、单条记录和单个字段；策略默认拒绝，不设置全能超级管理员。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职责分开：</w:t>
      </w:r>
      <w:r>
        <w:rPr>
          <w:rFonts w:ascii="Arial Unicode MS" w:hAnsi="Arial Unicode MS" w:eastAsia="Arial Unicode MS" w:cs="Arial Unicode MS"/>
          <w:color w:val="202830"/>
          <w:sz w:val="22"/>
        </w:rPr>
        <w:t>系统、数据、安全、审计和密钥管理员相互制约；申请人不可自审，审批链不可越权跳过。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全程加密：</w:t>
      </w:r>
      <w:r>
        <w:rPr>
          <w:rFonts w:ascii="Arial Unicode MS" w:hAnsi="Arial Unicode MS" w:eastAsia="Arial Unicode MS" w:cs="Arial Unicode MS"/>
          <w:color w:val="202830"/>
          <w:sz w:val="22"/>
        </w:rPr>
        <w:t>传输、数据库、附件、备份和设备本地缓存均受加密与密钥管理保护，每个法人使用独立的密钥域。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控制外泄：</w:t>
      </w:r>
      <w:r>
        <w:rPr>
          <w:rFonts w:ascii="Arial Unicode MS" w:hAnsi="Arial Unicode MS" w:eastAsia="Arial Unicode MS" w:cs="Arial Unicode MS"/>
          <w:color w:val="202830"/>
          <w:sz w:val="22"/>
        </w:rPr>
        <w:t>敏感字段按经批准的清单脱敏，并可执行水印、导出审批、打印阻断和剪贴板拦截；浏览器门户端受浏览器能力限制，打印阻断与已下载文件失效为尽力而为，不作承诺。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完整审计：</w:t>
      </w:r>
      <w:r>
        <w:rPr>
          <w:rFonts w:ascii="Arial Unicode MS" w:hAnsi="Arial Unicode MS" w:eastAsia="Arial Unicode MS" w:cs="Arial Unicode MS"/>
          <w:color w:val="202830"/>
          <w:sz w:val="22"/>
        </w:rPr>
        <w:t>关键查看、修改、审批、导出和系统调用留下防篡改证据，审计记录只追加、可逐条验证。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持续可用：</w:t>
      </w:r>
      <w:r>
        <w:rPr>
          <w:rFonts w:ascii="Arial Unicode MS" w:hAnsi="Arial Unicode MS" w:eastAsia="Arial Unicode MS" w:cs="Arial Unicode MS"/>
          <w:color w:val="202830"/>
          <w:sz w:val="22"/>
        </w:rPr>
        <w:t>正式生产采用单区域三故障域高可用部署，并配合境内异地不可变备份和定期恢复演练。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重要区别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云服务器只是可选的部署位置，不代表使用共享 SaaS。每个客户仍拥有独立系统、独立数据、独立密钥和独立升级通道。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7. 每个岗位能得到什么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770"/>
        <w:gridCol w:w="4090"/>
      </w:tblGrid>
      <w:tr>
        <w:trPr>
          <w:tblHeader/>
          <w:cantSplit/>
        </w:trPr>
        <w:tc>
          <w:tcPr>
            <w:tcW w:type="dxa" w:w="150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岗位</w:t>
            </w:r>
          </w:p>
        </w:tc>
        <w:tc>
          <w:tcPr>
            <w:tcW w:type="dxa" w:w="377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不再困扰于</w:t>
            </w:r>
          </w:p>
        </w:tc>
        <w:tc>
          <w:tcPr>
            <w:tcW w:type="dxa" w:w="409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直接得到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销售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客户资料分散、交期不清、回款难追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客户全景、合同与订单进度、开票与到款状态、信用额度校验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采购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合同要买什么不清楚、付款进度靠问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按合同下达的采购订单与分批订货、供应商档案、付款申请与进度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仓库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账实不符、批次不清、出入库靠纸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实时库存台账、扫码收发、批次与序列号追溯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财务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重复录入、收付款对不上、凭证来源不清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应收应付台账、分次到款付款核销、按业务事件生成的凭证与账簿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售后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找不到历史、工单没人跟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关联订单、合同、产品、批次、设备和保修的工单，以及客户服务历史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管理层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报表滞后、口径不一、无法看到全局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合同与发票申请的审批入口，收入、成本、交付、利润的经营看板</w:t>
            </w:r>
          </w:p>
        </w:tc>
      </w:tr>
    </w:tbl>
    <w:p>
      <w:pPr>
        <w:spacing w:before="0" w:after="40"/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8. 最关键的产品定位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首版要解决的是一件具体的事：一笔业务从销售建单和合同审批开始，经采购订货、收货入库、发票申请与开具登记、到款与付款登记、交付确认和售后工单，一直走到管理层看到收入、成本、交付和利润，全过程在同一套系统内完成，不依赖外部系统或线下台账。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首版不追求覆盖所有业务领域。制造、企业运营、电商与计费、客户与经销商门户、智能能力，以及银行和税务的系统对接属于后续版本，首版不交付。企业之间的差异通过配置、低代码、签名模块和受控插件实现，不为每个客户长期复制一套无法升级的代码。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核心后台采用 Rust 构建，强调稳定、安全和长期可维护；每个客户拥有独立部署、独立数据、独立密钥和独立升级通道。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产品价值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首版目标：让合同、订单、货物、资金、发票和服务记录在同一套可信记录中衔接，管理层随时看到同一口径的经营结果。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9. 版本与适用范围说明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本节说明本文档的效力范围。产品处于分阶段研发过程中，文中所列功能不代表当前均已可用，实际交付内容以正式发布版本、合同和验收清单为准。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阶段与版本：</w:t>
      </w:r>
      <w:r>
        <w:rPr>
          <w:rFonts w:ascii="Arial Unicode MS" w:hAnsi="Arial Unicode MS" w:eastAsia="Arial Unicode MS" w:cs="Arial Unicode MS"/>
          <w:color w:val="202830"/>
          <w:sz w:val="21"/>
        </w:rPr>
        <w:t>产品处于总体设计与分阶段研发阶段，不设置固定的发布日期；首版范围内的全部模块完成并通过验收后才对外发布首版。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交付依据：</w:t>
      </w:r>
      <w:r>
        <w:rPr>
          <w:rFonts w:ascii="Arial Unicode MS" w:hAnsi="Arial Unicode MS" w:eastAsia="Arial Unicode MS" w:cs="Arial Unicode MS"/>
          <w:color w:val="202830"/>
          <w:sz w:val="21"/>
        </w:rPr>
        <w:t>每次交付的模块范围、版本和验收标准以双方签署的合同与验收清单为准，本文档不构成功能交付承诺。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首版范围：</w:t>
      </w:r>
      <w:r>
        <w:rPr>
          <w:rFonts w:ascii="Arial Unicode MS" w:hAnsi="Arial Unicode MS" w:eastAsia="Arial Unicode MS" w:cs="Arial Unicode MS"/>
          <w:color w:val="202830"/>
          <w:sz w:val="21"/>
        </w:rPr>
        <w:t>首版是以合同为中心的销售、采购、财务与工单闭环：合同、订单与客户信用额度校验、采购与供应商、库存台账与存货计价、成本归集、售后工单与设备台账、应收应付与简易总账、发票申请与开具登记、报表与经营看板，以及权限与定制能力；对外协同只有供应商门户，成品连接器只有电子签章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后续版本：</w:t>
      </w:r>
      <w:r>
        <w:rPr>
          <w:rFonts w:ascii="Arial Unicode MS" w:hAnsi="Arial Unicode MS" w:eastAsia="Arial Unicode MS" w:cs="Arial Unicode MS"/>
          <w:color w:val="202830"/>
          <w:sz w:val="21"/>
        </w:rPr>
        <w:t>制造与生产、企业运营与治理、电商与计费、本地 AI 与 OCR、MCP、向量检索与知识图谱、边缘节点与断网运行、工业接入与物联网、客户门户与经销商门户与员工门户、银企直连与税务平台对接，以及四种国产数据库的适配，首版均不交付；相关条目已逐条登记，后续版本可按登记恢复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语言与币种：</w:t>
      </w:r>
      <w:r>
        <w:rPr>
          <w:rFonts w:ascii="Arial Unicode MS" w:hAnsi="Arial Unicode MS" w:eastAsia="Arial Unicode MS" w:cs="Arial Unicode MS"/>
          <w:color w:val="202830"/>
          <w:sz w:val="21"/>
        </w:rPr>
        <w:t>首版仅支持简体中文、人民币和中国标准时间，不支持多币种、外汇、进出口、报关、信用证和产品内容多语言。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联网要求：</w:t>
      </w:r>
      <w:r>
        <w:rPr>
          <w:rFonts w:ascii="Arial Unicode MS" w:hAnsi="Arial Unicode MS" w:eastAsia="Arial Unicode MS" w:cs="Arial Unicode MS"/>
          <w:color w:val="202830"/>
          <w:sz w:val="21"/>
        </w:rPr>
        <w:t>全部业务写入由中心完成，首版不提供断网独立运行；网络中断期间客户端只保存本地草稿，恢复连接后由中心校验通过才写入。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人工确认：</w:t>
      </w:r>
      <w:r>
        <w:rPr>
          <w:rFonts w:ascii="Arial Unicode MS" w:hAnsi="Arial Unicode MS" w:eastAsia="Arial Unicode MS" w:cs="Arial Unicode MS"/>
          <w:color w:val="202830"/>
          <w:sz w:val="21"/>
        </w:rPr>
        <w:t>合同生效、付款、开票、财务过账、结账和敏感数据导出属高风险操作，必须重新认证后才能提交并进入审批，审批链不可越权跳过，审批人不得与发起人为同一人。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数据库：</w:t>
      </w:r>
      <w:r>
        <w:rPr>
          <w:rFonts w:ascii="Arial Unicode MS" w:hAnsi="Arial Unicode MS" w:eastAsia="Arial Unicode MS" w:cs="Arial Unicode MS"/>
          <w:color w:val="202830"/>
          <w:sz w:val="21"/>
        </w:rPr>
        <w:t>首版核心交易数据库只支持并只认证 PostgreSQL 16；其他数据库产品只能作为外部数据源。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外部连接：</w:t>
      </w:r>
      <w:r>
        <w:rPr>
          <w:rFonts w:ascii="Arial Unicode MS" w:hAnsi="Arial Unicode MS" w:eastAsia="Arial Unicode MS" w:cs="Arial Unicode MS"/>
          <w:color w:val="202830"/>
          <w:sz w:val="21"/>
        </w:rPr>
        <w:t>首版成品连接器只有电子签章一类，启用需完成机构准入并按客户逐项联调；银行与税务侧首版不做系统对接，到款、付款与发票开具在系统内登记，可人工录入或批量导入。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性能与容量：</w:t>
      </w:r>
      <w:r>
        <w:rPr>
          <w:rFonts w:ascii="Arial Unicode MS" w:hAnsi="Arial Unicode MS" w:eastAsia="Arial Unicode MS" w:cs="Arial Unicode MS"/>
          <w:color w:val="202830"/>
          <w:sz w:val="21"/>
        </w:rPr>
        <w:t>响应时间、并发规模、恢复时间等指标以合同约定的基线环境和验收清单为准，本文档不单独作出量化承诺。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范围说明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本文所述功能以正式发布版本和验收清单为准；未在合同中列明的能力不构成交付承诺。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color w:val="667085"/>
        <w:sz w:val="18"/>
      </w:rPr>
      <w:t xml:space="preserve">第 </w:t>
    </w:r>
    <w:r>
      <w:rPr>
        <w:rFonts w:ascii="Arial Unicode MS" w:hAnsi="Arial Unicode MS" w:eastAsia="Arial Unicode MS" w:cs="Arial Unicode MS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085"/>
        <w:sz w:val="18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color w:val="667085"/>
        <w:sz w:val="18"/>
      </w:rPr>
      <w:t xml:space="preserve">第 </w:t>
    </w:r>
    <w:r>
      <w:rPr>
        <w:rFonts w:ascii="Arial Unicode MS" w:hAnsi="Arial Unicode MS" w:eastAsia="Arial Unicode MS" w:cs="Arial Unicode MS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 w:line="240" w:lineRule="auto"/>
    </w:pPr>
    <w:r>
      <w:rPr>
        <w:rFonts w:ascii="Arial Unicode MS" w:hAnsi="Arial Unicode MS" w:eastAsia="Arial Unicode MS" w:cs="Arial Unicode MS"/>
        <w:b/>
        <w:color w:val="667085"/>
        <w:sz w:val="18"/>
      </w:rPr>
      <w:t>企业一体化经营管理平台</w:t>
    </w:r>
    <w:r>
      <w:tab/>
    </w:r>
    <w:r>
      <w:rPr>
        <w:rFonts w:ascii="Arial Unicode MS" w:hAnsi="Arial Unicode MS" w:eastAsia="Arial Unicode MS" w:cs="Arial Unicode MS"/>
        <w:color w:val="667085"/>
        <w:sz w:val="18"/>
      </w:rPr>
      <w:t>产品介绍与功能大纲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Arial Unicode MS" w:hAnsi="Arial Unicode MS" w:eastAsia="Arial Unicode MS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Arial Unicode MS" w:hAnsi="Arial Unicode MS" w:eastAsia="Arial Unicode MS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Arial Unicode MS" w:hAnsi="Arial Unicode MS" w:eastAsia="Arial Unicode MS" w:cs="Arial Unicode MS"/>
      <w:b w:val="0"/>
      <w:color w:val="20283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troLead">
    <w:name w:val="Intro Lead"/>
    <w:pPr>
      <w:spacing w:before="0" w:after="240" w:line="300" w:lineRule="auto"/>
    </w:pPr>
    <w:rPr>
      <w:rFonts w:ascii="Arial Unicode MS" w:hAnsi="Arial Unicode MS" w:eastAsia="Arial Unicode MS" w:cs="Arial Unicode MS"/>
      <w:b w:val="0"/>
      <w:color w:val="0B2545"/>
      <w:sz w:val="27"/>
    </w:rPr>
  </w:style>
  <w:style w:type="paragraph" w:customStyle="1" w:styleId="SmallNote">
    <w:name w:val="Small Note"/>
    <w:pPr>
      <w:spacing w:before="0" w:after="80" w:line="276" w:lineRule="auto"/>
    </w:pPr>
    <w:rPr>
      <w:rFonts w:ascii="Arial Unicode MS" w:hAnsi="Arial Unicode MS" w:eastAsia="Arial Unicode MS" w:cs="Arial Unicode MS"/>
      <w:b w:val="0"/>
      <w:color w:val="667085"/>
      <w:sz w:val="19"/>
    </w:rPr>
  </w:style>
  <w:style w:type="paragraph" w:customStyle="1" w:styleId="Callout">
    <w:name w:val="Callout"/>
    <w:pPr>
      <w:spacing w:before="0" w:after="0" w:line="300" w:lineRule="auto"/>
    </w:pPr>
    <w:rPr>
      <w:rFonts w:ascii="Arial Unicode MS" w:hAnsi="Arial Unicode MS" w:eastAsia="Arial Unicode MS" w:cs="Arial Unicode MS"/>
      <w:b/>
      <w:color w:val="0B2545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企业一体化经营管理平台 - 产品介绍与功能大纲</dc:title>
  <dc:subject>面向非技术读者的产品介绍（总体设计阶段，功能以正式发布版本为准）</dc:subject>
  <dc:creator>Codex</dc:creator>
  <cp:keywords>企业管理, CRM, 合同, 订单, 采购, 财务, 售后, 私有化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