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Pr>
        <w:jc w:val="center"/>
      </w:pPr>
      <w:r>
        <w:rPr>
          <w:rFonts w:eastAsia="黑体" w:ascii="Times New Roman" w:hAnsi="Times New Roman"/>
          <w:sz w:val="56"/>
        </w:rPr>
        <w:t>概率论与数理统计课程论文报告</w:t>
      </w:r>
    </w:p>
    <w:p/>
    <w:p/>
    <w:p/>
    <w:p/>
    <w:p>
      <w:pPr>
        <w:spacing w:before="6" w:after="2" w:line="360" w:lineRule="auto"/>
        <w:ind w:left="1364"/>
      </w:pPr>
      <w:r>
        <w:rPr>
          <w:rFonts w:eastAsia="宋体" w:ascii="Times New Roman" w:hAnsi="Times New Roman"/>
          <w:sz w:val="30"/>
        </w:rPr>
        <w:t>题 目：</w:t>
      </w:r>
      <w:r>
        <w:rPr>
          <w:rFonts w:eastAsia="宋体" w:ascii="Times New Roman" w:hAnsi="Times New Roman"/>
          <w:sz w:val="30"/>
        </w:rPr>
        <w:t>正态分布在现实数据分析中的应用</w:t>
      </w:r>
    </w:p>
    <w:p>
      <w:pPr>
        <w:spacing w:before="0" w:after="8" w:line="360" w:lineRule="auto"/>
        <w:ind w:left="2414"/>
      </w:pPr>
      <w:r>
        <w:rPr>
          <w:rFonts w:eastAsia="宋体" w:ascii="Times New Roman" w:hAnsi="Times New Roman"/>
          <w:sz w:val="30"/>
        </w:rPr>
        <w:t>——基于中国成年人身高数据的案例分析</w:t>
      </w:r>
    </w:p>
    <w:p>
      <w:pPr>
        <w:jc w:val="left"/>
        <w:spacing w:before="6" w:after="6" w:line="360" w:lineRule="auto"/>
        <w:ind w:left="1364"/>
      </w:pPr>
      <w:r>
        <w:rPr>
          <w:rFonts w:eastAsia="宋体" w:ascii="Times New Roman" w:hAnsi="Times New Roman"/>
          <w:sz w:val="30"/>
        </w:rPr>
        <w:t>课 程：</w:t>
      </w:r>
      <w:r>
        <w:rPr>
          <w:rFonts w:eastAsia="宋体" w:ascii="Times New Roman" w:hAnsi="Times New Roman"/>
          <w:sz w:val="30"/>
        </w:rPr>
        <w:t>概率论与数理统计</w:t>
      </w:r>
    </w:p>
    <w:p>
      <w:pPr>
        <w:jc w:val="left"/>
        <w:spacing w:before="6" w:after="6" w:line="360" w:lineRule="auto"/>
        <w:ind w:left="1364"/>
      </w:pPr>
      <w:r>
        <w:t>作    者：赵浩、张璐玺</w:t>
      </w:r>
    </w:p>
    <w:p>
      <w:pPr>
        <w:jc w:val="left"/>
        <w:spacing w:before="6" w:after="6" w:line="360" w:lineRule="auto"/>
        <w:ind w:left="1364"/>
      </w:pPr>
      <w:r>
        <w:t>学    号：U202541916、U202541915</w:t>
      </w:r>
    </w:p>
    <w:p>
      <w:pPr>
        <w:jc w:val="left"/>
        <w:spacing w:before="6" w:after="6" w:line="360" w:lineRule="auto"/>
        <w:ind w:left="1364"/>
      </w:pPr>
      <w:r>
        <w:rPr>
          <w:rFonts w:eastAsia="宋体" w:ascii="Times New Roman" w:hAnsi="Times New Roman"/>
          <w:sz w:val="30"/>
        </w:rPr>
        <w:t>日    期：2026年9月26日</w:t>
      </w:r>
    </w:p>
    <w:p>
      <w:pPr>
        <w:sectPr>
          <w:footnotePr>
            <w:numRestart w:val="eachPage"/>
          </w:footnotePr>
          <w:type w:val="nextPage"/>
          <w:pgSz w:w="11906" w:h="16838"/>
          <w:pgMar w:top="1701" w:right="1701" w:bottom="1134" w:left="1701" w:header="850" w:footer="992" w:gutter="567"/>
          <w:cols w:space="720"/>
          <w:docGrid w:linePitch="272"/>
          <w:pgNumType w:fmt="upperRoman" w:start="1"/>
        </w:sectPr>
      </w:pPr>
    </w:p>
    <w:p>
      <w:pPr>
        <w:pStyle w:val="b7"/>
        <w:outlineLvl w:val="0"/>
      </w:pPr>
      <w:r>
        <w:t>摘 要</w:t>
      </w:r>
    </w:p>
    <w:p>
      <w:pPr>
        <w:pStyle w:val="b5"/>
      </w:pPr>
      <w:r>
        <w:t>正态分布是概率论与数理统计中最重要的连续型概率分布之一，人体身高则是理解正态分布的经典现实案例。本文首先利用GB/T 10000—2023《中国成年人人体尺寸》和《第五次国民体质监测公报》等中国官方资料，说明中国成年人身高存在明显的性别差异与年龄差异，因此讨论身高的分布必须先明确研究总体。在此基础上，本文使用中国健康与营养调查（CHNS）的pexam_00人体测量文件与mast_pub_12人口学文件，以个体编号为键进行连接（110449条身高记录的匹配率为100%），从而得到每条身高记录对应的性别与出生年份，并把正式研究总体明确限定为“2011年CHNS调查中年龄为20～24岁的成年人”，按性别分别进行分析。经清洗，518条原始记录中剔除45条身高缺失记录，无任何记录因超出100～220厘米的筛选范围被删除，最终有效样本为473人，其中男性220人、女性253人。描述统计结果为：男性样本均值171.5614厘米、标准差6.8218厘米、偏度0.0107、超额峰度-0.0150；女性样本均值159.5917厘米、标准差6.0802厘米、偏度-0.3614、超额峰度0.5907。Shapiro-Wilk检验结果为：男性W=0.992062、P=0.2799，在5%显著性水平下不能拒绝正态性原假设；女性W=0.987611、P=0.0281，在5%显著性水平下拒绝原假设，说明女性样本存在统计上可检测的正态性偏离。但两组样本μ±1σ、μ±2σ、μ±3σ区间的实际覆盖比例与正态模型理论值68.27%、95.45%、99.73%均较为接近。因此本文的结论是：在明确限定性别、年龄与调查年份的条件下，正态分布可以作为成年人身高的近似模型；P&gt;0.05不构成对正态性的证明，P&lt;0.05也不意味着正态模型完全失效。上述结果仅对应2011年CHNS 20～24岁样本，不能外推为中国成年人总体的身高参数。</w:t>
      </w:r>
    </w:p>
    <w:p>
      <w:pPr>
        <w:pStyle w:val="b5"/>
      </w:pPr>
    </w:p>
    <w:p>
      <w:pPr>
        <w:spacing w:before="6" w:after="6"/>
        <w:jc w:val="both"/>
      </w:pPr>
      <w:r>
        <w:rPr>
          <w:rFonts w:eastAsia="黑体" w:ascii="Times New Roman" w:hAnsi="Times New Roman"/>
          <w:b/>
          <w:sz w:val="24"/>
        </w:rPr>
        <w:t>关键词：正态分布；人体身高；Shapiro-Wilk检验；描述统计；3σ原则；CHNS</w:t>
      </w:r>
    </w:p>
    <w:p>
      <w:pPr>
        <w:sectPr>
          <w:type w:val="nextPage"/>
          <w:pgNumType w:fmt="upperRoman" w:start="1"/>
          <w:headerReference w:type="default" r:id="rId49"/>
          <w:footerReference w:type="default" r:id="rId50"/>
          <w:footnotePr>
            <w:numRestart w:val="eachPage"/>
          </w:footnotePr>
          <w:pgSz w:w="11906" w:h="16838"/>
          <w:pgMar w:top="1701" w:right="1701" w:bottom="1134" w:left="1701" w:header="850" w:footer="992" w:gutter="567"/>
          <w:cols w:space="720"/>
          <w:docGrid w:linePitch="272"/>
        </w:sectPr>
      </w:pPr>
    </w:p>
    <w:p>
      <w:pPr>
        <w:pStyle w:val="b4"/>
        <w:outlineLvl w:val="9"/>
      </w:pPr>
      <w:r>
        <w:t>目 录</w:t>
      </w:r>
    </w:p>
    <w:p>
      <w:pPr/>
    </w:p>
    <w:p>
      <w:pPr/>
      <w:r>
        <w:fldChar w:fldCharType="begin"/>
      </w:r>
      <w:r>
        <w:instrText xml:space="preserve">TOC \o "1-3" \h \z \u \t "b标题 不编号,1,b标题,1,b正文1级标题,1,b正文2级标题,2,b正文3级标题,3,b附录标题,1"</w:instrText>
      </w:r>
      <w:r>
        <w:fldChar w:fldCharType="separate"/>
      </w:r>
      <w:r>
        <w:t>（打开文档后若目录为空，请在 Word 中按 Ctrl+A 再按 F9 更新域）</w:t>
      </w:r>
      <w:r>
        <w:fldChar w:fldCharType="end"/>
      </w:r>
    </w:p>
    <w:p>
      <w:pPr>
        <w:sectPr>
          <w:type w:val="nextPage"/>
          <w:pgNumType w:fmt="upperRoman"/>
          <w:headerReference w:type="default" r:id="rId57"/>
          <w:footerReference w:type="default" r:id="rId58"/>
          <w:footnotePr>
            <w:numRestart w:val="eachPage"/>
          </w:footnotePr>
          <w:pgSz w:w="11906" w:h="16838"/>
          <w:pgMar w:top="1701" w:right="1701" w:bottom="1134" w:left="1701" w:header="850" w:footer="992" w:gutter="567"/>
          <w:cols w:space="720"/>
          <w:docGrid w:linePitch="272"/>
        </w:sectPr>
      </w:pPr>
    </w:p>
    <w:p>
      <w:pPr>
        <w:pStyle w:val="b1"/>
        <w:outlineLvl w:val="0"/>
        <w:keepNext/>
      </w:pPr>
      <w:r>
        <w:rPr>
          <w:rFonts w:eastAsia="黑体" w:ascii="Times New Roman" w:hAnsi="Times New Roman"/>
          <w:b/>
          <w:sz w:val="30"/>
        </w:rPr>
        <w:t>引言</w:t>
      </w:r>
    </w:p>
    <w:p>
      <w:pPr>
        <w:pStyle w:val="b5"/>
      </w:pPr>
      <w:r>
        <w:t>在日常生活中，“平均身高”是一个极易理解的概念。当我们说某一人群的平均身高为170厘米时，大致可以判断这个群体的身高水平。然而，仅仅知道平均值并不能回答许多实际问题：这一人群的身高差异有多大？绝大多数人的身高集中在什么区间？一个人的身高明显高于平均水平意味着什么？如果已知总体均值与标准差，能否估计某人身高落在某个区间内的概率？这些问题的回答都依赖于概率论与数理统计的工具</w:t>
      </w:r>
      <w:r>
        <w:rPr>
          <w:vertAlign w:val="superscript"/>
        </w:rPr>
        <w:t>[1]</w:t>
      </w:r>
      <w:r>
        <w:t>。</w:t>
      </w:r>
    </w:p>
    <w:p>
      <w:pPr>
        <w:pStyle w:val="b5"/>
      </w:pPr>
      <w:r>
        <w:t>人体身高之所以适合作为概率统计的现实案例，首先是因为它属于典型的连续型数量特征，其次是因为在特定人群中具有相对稳定的统计规律。A’Hearn、Peracchi和Vecchi利用意大利军事征兵资料研究了身高分布与正态分布之间的关系，发现在适当控制人口群体之后，身高与正态分布之间确实存在较强联系，但这种联系仍然是统计意义上的近似，而非绝对规律</w:t>
      </w:r>
      <w:r>
        <w:rPr>
          <w:vertAlign w:val="superscript"/>
        </w:rPr>
        <w:t>[2]</w:t>
      </w:r>
      <w:r>
        <w:t>。NCD风险因素协作组织（NCD-RisC）对全球成年人身高长期趋势的分析也表明，身高作为群体层面的数量指标，其平均水平会随年代与地区显著变化</w:t>
      </w:r>
      <w:r>
        <w:rPr>
          <w:vertAlign w:val="superscript"/>
        </w:rPr>
        <w:t>[3]</w:t>
      </w:r>
      <w:r>
        <w:t>。</w:t>
      </w:r>
    </w:p>
    <w:p>
      <w:pPr>
        <w:pStyle w:val="b5"/>
      </w:pPr>
      <w:r>
        <w:t>中国同样拥有规模较大且较为规范的人体尺寸资料。现行国家标准GB/T 10000—2023《中国成年人人体尺寸》给出了我国成年人人体尺寸的基本统计数值，包括静态人体尺寸与用于工作空间设计的人体功能尺寸，并按性别、年龄段与自然区域分组统计</w:t>
      </w:r>
      <w:r>
        <w:rPr>
          <w:vertAlign w:val="superscript"/>
        </w:rPr>
        <w:t>[4]</w:t>
      </w:r>
      <w:r>
        <w:t>；国家体育总局《第五次国民体质监测公报》则提供了2020年全国成年人身体形态的系统监测结果</w:t>
      </w:r>
      <w:r>
        <w:rPr>
          <w:vertAlign w:val="superscript"/>
        </w:rPr>
        <w:t>[5]</w:t>
      </w:r>
      <w:r>
        <w:t>。这些资料为讨论中国成年人身高的统计特征提供了可靠的数据背景。</w:t>
      </w:r>
    </w:p>
    <w:p>
      <w:pPr>
        <w:pStyle w:val="b5"/>
      </w:pPr>
      <w:r>
        <w:t>本文在概率论与数理统计课程知识的框架下，以人体身高为案例，讨论正态分布作为现实数据模型的适用条件、解释方式与应用价值。第3章使用中国官方统计资料说明身高数据的背景；第5章使用中国健康与营养调查（CHNS）的pexam_00人体测量文件与mast_pub_12人口学文件，把正式研究总体限定为“2011年CHNS调查中年龄为20～24岁的成年人”，并按性别分别进行描述统计、图形观察与正态性检验，所用数值均为程序实际运行得到的结果。需要预先说明的是，本文样本统计量只描述这一特定样本本身，不能直接外推为中国成年人总体的身高参数，也不能与官方汇总数据混用，这一层次差异将在第7章专门讨论。</w:t>
      </w:r>
    </w:p>
    <w:p>
      <w:pPr>
        <w:pStyle w:val="b1"/>
        <w:outlineLvl w:val="0"/>
        <w:keepNext/>
      </w:pPr>
      <w:r>
        <w:rPr>
          <w:rFonts w:eastAsia="黑体" w:ascii="Times New Roman" w:hAnsi="Times New Roman"/>
          <w:b/>
          <w:sz w:val="30"/>
        </w:rPr>
        <w:t>正态分布的基本理论</w:t>
      </w:r>
    </w:p>
    <w:p>
      <w:pPr>
        <w:pStyle w:val="b2"/>
        <w:outlineLvl w:val="1"/>
        <w:keepNext/>
      </w:pPr>
      <w:r>
        <w:rPr>
          <w:rFonts w:eastAsia="黑体" w:ascii="Times New Roman" w:hAnsi="Times New Roman"/>
          <w:b/>
          <w:sz w:val="28"/>
        </w:rPr>
        <w:t>连续型随机变量与人体身高</w:t>
      </w:r>
    </w:p>
    <w:p>
      <w:pPr>
        <w:pStyle w:val="b5"/>
      </w:pPr>
      <w:r>
        <w:t>在概率论中，随机变量的取值不是固定不变的，而是由随机因素决定。如果一个随机变量的取值可以在某个区间内连续变化，则称其为连续型随机变量</w:t>
      </w:r>
      <w:r>
        <w:rPr>
          <w:vertAlign w:val="superscript"/>
        </w:rPr>
        <w:t>[1]</w:t>
      </w:r>
      <w:r>
        <w:t>。人体身高就是典型的连续型随机变量：对于随机抽取的一名中国成年男性，其身高可能是168.3厘米，也可能是172.6厘米或180.1厘米；在合理的生理范围内，身高可以取大量不同的数值。因此，把身高视为连续型随机变量，并用概率密度函数描述其取值规律，是恰当的建模方式。</w:t>
      </w:r>
    </w:p>
    <w:p>
      <w:pPr>
        <w:pStyle w:val="b2"/>
        <w:outlineLvl w:val="1"/>
        <w:keepNext/>
      </w:pPr>
      <w:r>
        <w:rPr>
          <w:rFonts w:eastAsia="黑体" w:ascii="Times New Roman" w:hAnsi="Times New Roman"/>
          <w:b/>
          <w:sz w:val="28"/>
        </w:rPr>
        <w:t>正态分布的定义</w:t>
      </w:r>
    </w:p>
    <w:p>
      <w:pPr>
        <w:pStyle w:val="b5"/>
      </w:pPr>
      <w:r>
        <w:t>设随机变量X服从均值为μ、方差为σ²的正态分布，记为X～N(μ,σ²)，其中σ&gt;0。其概率密度函数为</w:t>
      </w:r>
    </w:p>
    <w:p>
      <w:pPr>
        <w:tabs>
          <w:tab w:val="right" w:pos="8504"/>
        </w:tabs>
        <w:spacing w:before="6" w:after="6" w:line="312" w:lineRule="auto"/>
        <w:ind w:left="567"/>
      </w:pPr>
      <m:oMathPara>
        <m:oMath>
          <m:r>
            <w:rPr>
              <w:rFonts w:ascii="Cambria Math" w:hAnsi="Cambria Math" w:eastAsia="Cambria Math"/>
            </w:rPr>
            <m:t xml:space="preserve">f</m:t>
          </m:r>
          <m:d>
            <m:dPr>
              <m:begChr m:val="("/>
              <m:endChr m:val=")"/>
            </m:dPr>
            <m:e>
              <m:r>
                <w:rPr>
                  <w:rFonts w:ascii="Cambria Math" w:hAnsi="Cambria Math" w:eastAsia="Cambria Math"/>
                </w:rPr>
                <m:t xml:space="preserve">x</m:t>
              </m:r>
            </m:e>
          </m:d>
          <m:r>
            <w:rPr>
              <w:rFonts w:ascii="Cambria Math" w:hAnsi="Cambria Math" w:eastAsia="Cambria Math"/>
            </w:rPr>
            <m:t xml:space="preserve">=</m:t>
          </m:r>
          <m:f>
            <m:fPr>
              <m:type m:val="bar"/>
            </m:fPr>
            <m:num>
              <m:r>
                <w:rPr>
                  <w:rFonts w:ascii="Cambria Math" w:hAnsi="Cambria Math" w:eastAsia="Cambria Math"/>
                </w:rPr>
                <m:t xml:space="preserve">1</m:t>
              </m:r>
            </m:num>
            <m:den>
              <m:r>
                <w:rPr>
                  <w:rFonts w:ascii="Cambria Math" w:hAnsi="Cambria Math" w:eastAsia="Cambria Math"/>
                </w:rPr>
                <m:t xml:space="preserve">σ</m:t>
              </m:r>
              <m:rad>
                <m:radPr>
                  <m:degHide m:val="1"/>
                </m:radPr>
                <m:deg/>
                <m:e>
                  <m:r>
                    <w:rPr>
                      <w:rFonts w:ascii="Cambria Math" w:hAnsi="Cambria Math" w:eastAsia="Cambria Math"/>
                    </w:rPr>
                    <m:t xml:space="preserve">2π</m:t>
                  </m:r>
                </m:e>
              </m:rad>
            </m:den>
          </m:f>
          <m:r>
            <w:rPr>
              <w:rFonts w:ascii="Cambria Math" w:hAnsi="Cambria Math" w:eastAsia="Cambria Math"/>
            </w:rPr>
            <m:t xml:space="preserve">⋅</m:t>
          </m:r>
          <m:r>
            <m:rPr>
              <m:sty m:val="p"/>
            </m:rPr>
            <w:rPr>
              <w:rFonts w:ascii="Cambria Math" w:hAnsi="Cambria Math" w:eastAsia="Cambria Math"/>
            </w:rPr>
            <m:t xml:space="preserve">exp</m:t>
          </m:r>
          <m:d>
            <m:dPr>
              <m:begChr m:val="["/>
              <m:endChr m:val="]"/>
            </m:dPr>
            <m:e>
              <m:r>
                <w:rPr>
                  <w:rFonts w:ascii="Cambria Math" w:hAnsi="Cambria Math" w:eastAsia="Cambria Math"/>
                </w:rPr>
                <m:t xml:space="preserve">−</m:t>
              </m:r>
              <m:f>
                <m:fPr>
                  <m:type m:val="bar"/>
                </m:fPr>
                <m:num>
                  <m:sSup>
                    <m:e>
                      <m:d>
                        <m:dPr>
                          <m:begChr m:val="("/>
                          <m:endChr m:val=")"/>
                        </m:dPr>
                        <m:e>
                          <m:r>
                            <w:rPr>
                              <w:rFonts w:ascii="Cambria Math" w:hAnsi="Cambria Math" w:eastAsia="Cambria Math"/>
                            </w:rPr>
                            <m:t xml:space="preserve">x</m:t>
                          </m:r>
                          <m:r>
                            <w:rPr>
                              <w:rFonts w:ascii="Cambria Math" w:hAnsi="Cambria Math" w:eastAsia="Cambria Math"/>
                            </w:rPr>
                            <m:t xml:space="preserve">−</m:t>
                          </m:r>
                          <m:r>
                            <w:rPr>
                              <w:rFonts w:ascii="Cambria Math" w:hAnsi="Cambria Math" w:eastAsia="Cambria Math"/>
                            </w:rPr>
                            <m:t xml:space="preserve">μ</m:t>
                          </m:r>
                        </m:e>
                      </m:d>
                    </m:e>
                    <m:sup>
                      <m:r>
                        <w:rPr>
                          <w:rFonts w:ascii="Cambria Math" w:hAnsi="Cambria Math" w:eastAsia="Cambria Math"/>
                        </w:rPr>
                        <m:t xml:space="preserve">2</m:t>
                      </m:r>
                    </m:sup>
                  </m:sSup>
                </m:num>
                <m:den>
                  <m:r>
                    <w:rPr>
                      <w:rFonts w:ascii="Cambria Math" w:hAnsi="Cambria Math" w:eastAsia="Cambria Math"/>
                    </w:rPr>
                    <m:t xml:space="preserve">2</m:t>
                  </m:r>
                  <m:sSup>
                    <m:e>
                      <m:r>
                        <w:rPr>
                          <w:rFonts w:ascii="Cambria Math" w:hAnsi="Cambria Math" w:eastAsia="Cambria Math"/>
                        </w:rPr>
                        <m:t xml:space="preserve">σ</m:t>
                      </m:r>
                    </m:e>
                    <m:sup>
                      <m:r>
                        <w:rPr>
                          <w:rFonts w:ascii="Cambria Math" w:hAnsi="Cambria Math" w:eastAsia="Cambria Math"/>
                        </w:rPr>
                        <m:t xml:space="preserve">2</m:t>
                      </m:r>
                    </m:sup>
                  </m:sSup>
                </m:den>
              </m:f>
            </m:e>
          </m:d>
        </m:oMath>
      </m:oMathPara>
      <w:r>
        <w:tab/>
      </w:r>
      <w:r>
        <w:rPr>
          <w:rFonts w:ascii="Times New Roman" w:hAnsi="Times New Roman"/>
          <w:sz w:val="24"/>
        </w:rPr>
        <w:t>(2-1)</w:t>
      </w:r>
    </w:p>
    <w:p>
      <w:pPr>
        <w:pStyle w:val="b5"/>
      </w:pPr>
      <w:r>
        <w:t>其中，μ表示总体的平均水平，σ表示数据的离散程度，σ²即方差。正态分布的概率密度曲线呈钟形，关于直线x=μ对称：越接近均值，概率密度越大；离均值越远，取值的可能性越低。将这一模型用于人体身高时，μ可理解为某一特定人群的平均身高，σ则刻画该人群身高在平均水平附近的典型波动幅度。</w:t>
      </w:r>
    </w:p>
    <w:p>
      <w:pPr>
        <w:pStyle w:val="b2"/>
        <w:outlineLvl w:val="1"/>
        <w:keepNext/>
      </w:pPr>
      <w:r>
        <w:rPr>
          <w:rFonts w:eastAsia="黑体" w:ascii="Times New Roman" w:hAnsi="Times New Roman"/>
          <w:b/>
          <w:sz w:val="28"/>
        </w:rPr>
        <w:t>标准化与Z分数</w:t>
      </w:r>
    </w:p>
    <w:p>
      <w:pPr>
        <w:pStyle w:val="b5"/>
      </w:pPr>
      <w:r>
        <w:t>不同人群的均值与标准差往往不同，直接比较原始身高值并不方便。通过标准化变换，可以把任意正态分布统一转化为标准正态分布。设X～N(μ,σ²)，令</w:t>
      </w:r>
    </w:p>
    <w:p>
      <w:pPr>
        <w:tabs>
          <w:tab w:val="right" w:pos="8504"/>
        </w:tabs>
        <w:spacing w:before="6" w:after="6" w:line="312" w:lineRule="auto"/>
        <w:ind w:left="567"/>
      </w:pPr>
      <m:oMathPara>
        <m:oMath>
          <m:r>
            <w:rPr>
              <w:rFonts w:ascii="Cambria Math" w:hAnsi="Cambria Math" w:eastAsia="Cambria Math"/>
            </w:rPr>
            <m:t xml:space="preserve">Z</m:t>
          </m:r>
          <m:r>
            <w:rPr>
              <w:rFonts w:ascii="Cambria Math" w:hAnsi="Cambria Math" w:eastAsia="Cambria Math"/>
            </w:rPr>
            <m:t xml:space="preserve">=</m:t>
          </m:r>
          <m:f>
            <m:fPr>
              <m:type m:val="bar"/>
            </m:fPr>
            <m:num>
              <m:d>
                <m:dPr>
                  <m:begChr m:val="("/>
                  <m:endChr m:val=")"/>
                </m:dPr>
                <m:e>
                  <m:r>
                    <w:rPr>
                      <w:rFonts w:ascii="Cambria Math" w:hAnsi="Cambria Math" w:eastAsia="Cambria Math"/>
                    </w:rPr>
                    <m:t xml:space="preserve">X</m:t>
                  </m:r>
                  <m:r>
                    <w:rPr>
                      <w:rFonts w:ascii="Cambria Math" w:hAnsi="Cambria Math" w:eastAsia="Cambria Math"/>
                    </w:rPr>
                    <m:t xml:space="preserve">−</m:t>
                  </m:r>
                  <m:r>
                    <w:rPr>
                      <w:rFonts w:ascii="Cambria Math" w:hAnsi="Cambria Math" w:eastAsia="Cambria Math"/>
                    </w:rPr>
                    <m:t xml:space="preserve">μ</m:t>
                  </m:r>
                </m:e>
              </m:d>
            </m:num>
            <m:den>
              <m:r>
                <w:rPr>
                  <w:rFonts w:ascii="Cambria Math" w:hAnsi="Cambria Math" w:eastAsia="Cambria Math"/>
                </w:rPr>
                <m:t xml:space="preserve">σ</m:t>
              </m:r>
            </m:den>
          </m:f>
        </m:oMath>
      </m:oMathPara>
      <w:r>
        <w:tab/>
      </w:r>
      <w:r>
        <w:rPr>
          <w:rFonts w:ascii="Times New Roman" w:hAnsi="Times New Roman"/>
          <w:sz w:val="24"/>
        </w:rPr>
        <w:t>(2-2)</w:t>
      </w:r>
    </w:p>
    <w:p>
      <w:pPr>
        <w:pStyle w:val="b5"/>
      </w:pPr>
      <w:r>
        <w:t>则</w:t>
      </w:r>
    </w:p>
    <w:p>
      <w:pPr>
        <w:tabs>
          <w:tab w:val="right" w:pos="8504"/>
        </w:tabs>
        <w:spacing w:before="6" w:after="6" w:line="312" w:lineRule="auto"/>
        <w:ind w:left="567"/>
      </w:pPr>
      <m:oMathPara>
        <m:oMath>
          <m:r>
            <w:rPr>
              <w:rFonts w:ascii="Cambria Math" w:hAnsi="Cambria Math" w:eastAsia="Cambria Math"/>
            </w:rPr>
            <m:t xml:space="preserve">Z</m:t>
          </m:r>
          <m:r>
            <w:rPr>
              <w:rFonts w:ascii="Cambria Math" w:hAnsi="Cambria Math" w:eastAsia="Cambria Math"/>
            </w:rPr>
            <m:t xml:space="preserve">∼</m:t>
          </m:r>
          <m:r>
            <w:rPr>
              <w:rFonts w:ascii="Cambria Math" w:hAnsi="Cambria Math" w:eastAsia="Cambria Math"/>
            </w:rPr>
            <m:t xml:space="preserve">N</m:t>
          </m:r>
          <m:d>
            <m:dPr>
              <m:begChr m:val="("/>
              <m:endChr m:val=")"/>
            </m:dPr>
            <m:e>
              <m:r>
                <w:rPr>
                  <w:rFonts w:ascii="Cambria Math" w:hAnsi="Cambria Math" w:eastAsia="Cambria Math"/>
                </w:rPr>
                <m:t xml:space="preserve">0</m:t>
              </m:r>
              <m:r>
                <w:rPr>
                  <w:rFonts w:ascii="Cambria Math" w:hAnsi="Cambria Math" w:eastAsia="Cambria Math"/>
                </w:rPr>
                <m:t xml:space="preserve">,</m:t>
              </m:r>
              <m:r>
                <w:rPr>
                  <w:rFonts w:ascii="Cambria Math" w:hAnsi="Cambria Math" w:eastAsia="Cambria Math"/>
                </w:rPr>
                <m:t xml:space="preserve">1</m:t>
              </m:r>
            </m:e>
          </m:d>
        </m:oMath>
      </m:oMathPara>
      <w:r>
        <w:tab/>
      </w:r>
      <w:r>
        <w:rPr>
          <w:rFonts w:ascii="Times New Roman" w:hAnsi="Times New Roman"/>
          <w:sz w:val="24"/>
        </w:rPr>
        <w:t>(2-3)</w:t>
      </w:r>
    </w:p>
    <w:p>
      <w:pPr>
        <w:pStyle w:val="b5"/>
      </w:pPr>
      <w:r>
        <w:t>即Z服从标准正态分布。Z分数表示某一取值距离均值有多少个标准差，它描述的是个体在总体中的相对位置。例如，若某人群平均身高为170厘米、标准差为6厘米，则身高182厘米对应的Z=2，表示该身高高于平均水平2个标准差。</w:t>
      </w:r>
    </w:p>
    <w:p>
      <w:pPr>
        <w:pStyle w:val="b5"/>
      </w:pPr>
      <w:r>
        <w:t>借助标准正态分布的分布函数Φ(·)，可以计算任意区间上的概率：</w:t>
      </w:r>
    </w:p>
    <w:p>
      <w:pPr>
        <w:tabs>
          <w:tab w:val="right" w:pos="8504"/>
        </w:tabs>
        <w:spacing w:before="6" w:after="6" w:line="312" w:lineRule="auto"/>
        <w:ind w:left="567"/>
      </w:pPr>
      <m:oMathPara>
        <m:oMath>
          <m:r>
            <w:rPr>
              <w:rFonts w:ascii="Cambria Math" w:hAnsi="Cambria Math" w:eastAsia="Cambria Math"/>
            </w:rPr>
            <m:t xml:space="preserve">P</m:t>
          </m:r>
          <m:d>
            <m:dPr>
              <m:begChr m:val="("/>
              <m:endChr m:val=")"/>
            </m:dPr>
            <m:e>
              <m:r>
                <w:rPr>
                  <w:rFonts w:ascii="Cambria Math" w:hAnsi="Cambria Math" w:eastAsia="Cambria Math"/>
                </w:rPr>
                <m:t xml:space="preserve">a</m:t>
              </m:r>
              <m:r>
                <w:rPr>
                  <w:rFonts w:ascii="Cambria Math" w:hAnsi="Cambria Math" w:eastAsia="Cambria Math"/>
                </w:rPr>
                <m:t xml:space="preserve">&lt;</m:t>
              </m:r>
              <m:r>
                <w:rPr>
                  <w:rFonts w:ascii="Cambria Math" w:hAnsi="Cambria Math" w:eastAsia="Cambria Math"/>
                </w:rPr>
                <m:t xml:space="preserve">X</m:t>
              </m:r>
              <m:r>
                <w:rPr>
                  <w:rFonts w:ascii="Cambria Math" w:hAnsi="Cambria Math" w:eastAsia="Cambria Math"/>
                </w:rPr>
                <m:t xml:space="preserve">≤</m:t>
              </m:r>
              <m:r>
                <w:rPr>
                  <w:rFonts w:ascii="Cambria Math" w:hAnsi="Cambria Math" w:eastAsia="Cambria Math"/>
                </w:rPr>
                <m:t xml:space="preserve">b</m:t>
              </m:r>
            </m:e>
          </m:d>
          <m:r>
            <w:rPr>
              <w:rFonts w:ascii="Cambria Math" w:hAnsi="Cambria Math" w:eastAsia="Cambria Math"/>
            </w:rPr>
            <m:t xml:space="preserve">=</m:t>
          </m:r>
          <m:r>
            <w:rPr>
              <w:rFonts w:ascii="Cambria Math" w:hAnsi="Cambria Math" w:eastAsia="Cambria Math"/>
            </w:rPr>
            <m:t xml:space="preserve">Φ</m:t>
          </m:r>
          <m:d>
            <m:dPr>
              <m:begChr m:val="("/>
              <m:endChr m:val=")"/>
            </m:dPr>
            <m:e>
              <m:f>
                <m:fPr>
                  <m:type m:val="bar"/>
                </m:fPr>
                <m:num>
                  <m:d>
                    <m:dPr>
                      <m:begChr m:val="("/>
                      <m:endChr m:val=")"/>
                    </m:dPr>
                    <m:e>
                      <m:r>
                        <w:rPr>
                          <w:rFonts w:ascii="Cambria Math" w:hAnsi="Cambria Math" w:eastAsia="Cambria Math"/>
                        </w:rPr>
                        <m:t xml:space="preserve">b</m:t>
                      </m:r>
                      <m:r>
                        <w:rPr>
                          <w:rFonts w:ascii="Cambria Math" w:hAnsi="Cambria Math" w:eastAsia="Cambria Math"/>
                        </w:rPr>
                        <m:t xml:space="preserve">−</m:t>
                      </m:r>
                      <m:r>
                        <w:rPr>
                          <w:rFonts w:ascii="Cambria Math" w:hAnsi="Cambria Math" w:eastAsia="Cambria Math"/>
                        </w:rPr>
                        <m:t xml:space="preserve">μ</m:t>
                      </m:r>
                    </m:e>
                  </m:d>
                </m:num>
                <m:den>
                  <m:r>
                    <w:rPr>
                      <w:rFonts w:ascii="Cambria Math" w:hAnsi="Cambria Math" w:eastAsia="Cambria Math"/>
                    </w:rPr>
                    <m:t xml:space="preserve">σ</m:t>
                  </m:r>
                </m:den>
              </m:f>
            </m:e>
          </m:d>
          <m:r>
            <w:rPr>
              <w:rFonts w:ascii="Cambria Math" w:hAnsi="Cambria Math" w:eastAsia="Cambria Math"/>
            </w:rPr>
            <m:t xml:space="preserve">−</m:t>
          </m:r>
          <m:r>
            <w:rPr>
              <w:rFonts w:ascii="Cambria Math" w:hAnsi="Cambria Math" w:eastAsia="Cambria Math"/>
            </w:rPr>
            <m:t xml:space="preserve">Φ</m:t>
          </m:r>
          <m:d>
            <m:dPr>
              <m:begChr m:val="("/>
              <m:endChr m:val=")"/>
            </m:dPr>
            <m:e>
              <m:f>
                <m:fPr>
                  <m:type m:val="bar"/>
                </m:fPr>
                <m:num>
                  <m:d>
                    <m:dPr>
                      <m:begChr m:val="("/>
                      <m:endChr m:val=")"/>
                    </m:dPr>
                    <m:e>
                      <m:r>
                        <w:rPr>
                          <w:rFonts w:ascii="Cambria Math" w:hAnsi="Cambria Math" w:eastAsia="Cambria Math"/>
                        </w:rPr>
                        <m:t xml:space="preserve">a</m:t>
                      </m:r>
                      <m:r>
                        <w:rPr>
                          <w:rFonts w:ascii="Cambria Math" w:hAnsi="Cambria Math" w:eastAsia="Cambria Math"/>
                        </w:rPr>
                        <m:t xml:space="preserve">−</m:t>
                      </m:r>
                      <m:r>
                        <w:rPr>
                          <w:rFonts w:ascii="Cambria Math" w:hAnsi="Cambria Math" w:eastAsia="Cambria Math"/>
                        </w:rPr>
                        <m:t xml:space="preserve">μ</m:t>
                      </m:r>
                    </m:e>
                  </m:d>
                </m:num>
                <m:den>
                  <m:r>
                    <w:rPr>
                      <w:rFonts w:ascii="Cambria Math" w:hAnsi="Cambria Math" w:eastAsia="Cambria Math"/>
                    </w:rPr>
                    <m:t xml:space="preserve">σ</m:t>
                  </m:r>
                </m:den>
              </m:f>
            </m:e>
          </m:d>
        </m:oMath>
      </m:oMathPara>
      <w:r>
        <w:tab/>
      </w:r>
      <w:r>
        <w:rPr>
          <w:rFonts w:ascii="Times New Roman" w:hAnsi="Times New Roman"/>
          <w:sz w:val="24"/>
        </w:rPr>
        <w:t>(2-4)</w:t>
      </w:r>
    </w:p>
    <w:p>
      <w:pPr>
        <w:pStyle w:val="b5"/>
      </w:pPr>
      <w:r>
        <w:t>式（2-4）是把“平均身高”与“身高波动幅度”转化为可解释概率的桥梁，也是本文后续进行区间讨论的基础。</w:t>
      </w:r>
    </w:p>
    <w:p>
      <w:pPr>
        <w:pStyle w:val="b2"/>
        <w:outlineLvl w:val="1"/>
        <w:keepNext/>
      </w:pPr>
      <w:r>
        <w:rPr>
          <w:rFonts w:eastAsia="黑体" w:ascii="Times New Roman" w:hAnsi="Times New Roman"/>
          <w:b/>
          <w:sz w:val="28"/>
        </w:rPr>
        <w:t>数学期望、方差与标准差</w:t>
      </w:r>
    </w:p>
    <w:p>
      <w:pPr>
        <w:pStyle w:val="b5"/>
      </w:pPr>
      <w:r>
        <w:t>正态分布的数学期望即其位置参数μ，</w:t>
      </w:r>
    </w:p>
    <w:p>
      <w:pPr>
        <w:tabs>
          <w:tab w:val="right" w:pos="8504"/>
        </w:tabs>
        <w:spacing w:before="6" w:after="6" w:line="312" w:lineRule="auto"/>
        <w:ind w:left="567"/>
      </w:pPr>
      <m:oMathPara>
        <m:oMath>
          <m:r>
            <m:rPr>
              <m:sty m:val="p"/>
            </m:rPr>
            <w:rPr>
              <w:rFonts w:ascii="Cambria Math" w:hAnsi="Cambria Math" w:eastAsia="Cambria Math"/>
            </w:rPr>
            <m:t xml:space="preserve">E</m:t>
          </m:r>
          <m:d>
            <m:dPr>
              <m:begChr m:val="("/>
              <m:endChr m:val=")"/>
            </m:dPr>
            <m:e>
              <m:r>
                <w:rPr>
                  <w:rFonts w:ascii="Cambria Math" w:hAnsi="Cambria Math" w:eastAsia="Cambria Math"/>
                </w:rPr>
                <m:t xml:space="preserve">X</m:t>
              </m:r>
            </m:e>
          </m:d>
          <m:r>
            <w:rPr>
              <w:rFonts w:ascii="Cambria Math" w:hAnsi="Cambria Math" w:eastAsia="Cambria Math"/>
            </w:rPr>
            <m:t xml:space="preserve">=</m:t>
          </m:r>
          <m:r>
            <w:rPr>
              <w:rFonts w:ascii="Cambria Math" w:hAnsi="Cambria Math" w:eastAsia="Cambria Math"/>
            </w:rPr>
            <m:t xml:space="preserve">μ</m:t>
          </m:r>
        </m:oMath>
      </m:oMathPara>
      <w:r>
        <w:tab/>
      </w:r>
      <w:r>
        <w:rPr>
          <w:rFonts w:ascii="Times New Roman" w:hAnsi="Times New Roman"/>
          <w:sz w:val="24"/>
        </w:rPr>
        <w:t>(2-5)</w:t>
      </w:r>
    </w:p>
    <w:p>
      <w:pPr>
        <w:pStyle w:val="b5"/>
      </w:pPr>
      <w:r>
        <w:t>方差为</w:t>
      </w:r>
    </w:p>
    <w:p>
      <w:pPr>
        <w:tabs>
          <w:tab w:val="right" w:pos="8504"/>
        </w:tabs>
        <w:spacing w:before="6" w:after="6" w:line="312" w:lineRule="auto"/>
        <w:ind w:left="567"/>
      </w:pPr>
      <m:oMathPara>
        <m:oMath>
          <m:r>
            <m:rPr>
              <m:sty m:val="p"/>
            </m:rPr>
            <w:rPr>
              <w:rFonts w:ascii="Cambria Math" w:hAnsi="Cambria Math" w:eastAsia="Cambria Math"/>
            </w:rPr>
            <m:t xml:space="preserve">Var</m:t>
          </m:r>
          <m:d>
            <m:dPr>
              <m:begChr m:val="("/>
              <m:endChr m:val=")"/>
            </m:dPr>
            <m:e>
              <m:r>
                <w:rPr>
                  <w:rFonts w:ascii="Cambria Math" w:hAnsi="Cambria Math" w:eastAsia="Cambria Math"/>
                </w:rPr>
                <m:t xml:space="preserve">X</m:t>
              </m:r>
            </m:e>
          </m:d>
          <m:r>
            <w:rPr>
              <w:rFonts w:ascii="Cambria Math" w:hAnsi="Cambria Math" w:eastAsia="Cambria Math"/>
            </w:rPr>
            <m:t xml:space="preserve">=</m:t>
          </m:r>
          <m:sSup>
            <m:e>
              <m:r>
                <w:rPr>
                  <w:rFonts w:ascii="Cambria Math" w:hAnsi="Cambria Math" w:eastAsia="Cambria Math"/>
                </w:rPr>
                <m:t xml:space="preserve">σ</m:t>
              </m:r>
            </m:e>
            <m:sup>
              <m:r>
                <w:rPr>
                  <w:rFonts w:ascii="Cambria Math" w:hAnsi="Cambria Math" w:eastAsia="Cambria Math"/>
                </w:rPr>
                <m:t xml:space="preserve">2</m:t>
              </m:r>
            </m:sup>
          </m:sSup>
        </m:oMath>
      </m:oMathPara>
      <w:r>
        <w:tab/>
      </w:r>
      <w:r>
        <w:rPr>
          <w:rFonts w:ascii="Times New Roman" w:hAnsi="Times New Roman"/>
          <w:sz w:val="24"/>
        </w:rPr>
        <w:t>(2-6)</w:t>
      </w:r>
    </w:p>
    <w:p>
      <w:pPr>
        <w:pStyle w:val="b5"/>
      </w:pPr>
      <w:r>
        <w:t>标准差为方差的算术平方根，即</w:t>
      </w:r>
    </w:p>
    <w:p>
      <w:pPr>
        <w:tabs>
          <w:tab w:val="right" w:pos="8504"/>
        </w:tabs>
        <w:spacing w:before="6" w:after="6" w:line="312" w:lineRule="auto"/>
        <w:ind w:left="567"/>
      </w:pPr>
      <m:oMathPara>
        <m:oMath>
          <m:r>
            <w:rPr>
              <w:rFonts w:ascii="Cambria Math" w:hAnsi="Cambria Math" w:eastAsia="Cambria Math"/>
            </w:rPr>
            <m:t xml:space="preserve">σ</m:t>
          </m:r>
          <m:r>
            <w:rPr>
              <w:rFonts w:ascii="Cambria Math" w:hAnsi="Cambria Math" w:eastAsia="Cambria Math"/>
            </w:rPr>
            <m:t xml:space="preserve">=</m:t>
          </m:r>
          <m:rad>
            <m:radPr>
              <m:degHide m:val="1"/>
            </m:radPr>
            <m:deg/>
            <m:e>
              <m:r>
                <m:rPr>
                  <m:sty m:val="p"/>
                </m:rPr>
                <w:rPr>
                  <w:rFonts w:ascii="Cambria Math" w:hAnsi="Cambria Math" w:eastAsia="Cambria Math"/>
                </w:rPr>
                <m:t xml:space="preserve">Var</m:t>
              </m:r>
              <m:d>
                <m:dPr>
                  <m:begChr m:val="("/>
                  <m:endChr m:val=")"/>
                </m:dPr>
                <m:e>
                  <m:r>
                    <w:rPr>
                      <w:rFonts w:ascii="Cambria Math" w:hAnsi="Cambria Math" w:eastAsia="Cambria Math"/>
                    </w:rPr>
                    <m:t xml:space="preserve">X</m:t>
                  </m:r>
                </m:e>
              </m:d>
            </m:e>
          </m:rad>
          <m:r>
            <w:rPr>
              <w:rFonts w:ascii="Cambria Math" w:hAnsi="Cambria Math" w:eastAsia="Cambria Math"/>
            </w:rPr>
            <m:t xml:space="preserve">=</m:t>
          </m:r>
          <m:rad>
            <m:radPr>
              <m:degHide m:val="1"/>
            </m:radPr>
            <m:deg/>
            <m:e>
              <m:r>
                <w:rPr>
                  <w:rFonts w:ascii="Cambria Math" w:hAnsi="Cambria Math" w:eastAsia="Cambria Math"/>
                </w:rPr>
                <m:t xml:space="preserve">E</m:t>
              </m:r>
              <m:d>
                <m:dPr>
                  <m:begChr m:val="["/>
                  <m:endChr m:val="]"/>
                </m:dPr>
                <m:e>
                  <m:sSup>
                    <m:e>
                      <m:d>
                        <m:dPr>
                          <m:begChr m:val="("/>
                          <m:endChr m:val=")"/>
                        </m:dPr>
                        <m:e>
                          <m:r>
                            <w:rPr>
                              <w:rFonts w:ascii="Cambria Math" w:hAnsi="Cambria Math" w:eastAsia="Cambria Math"/>
                            </w:rPr>
                            <m:t xml:space="preserve">X</m:t>
                          </m:r>
                          <m:r>
                            <w:rPr>
                              <w:rFonts w:ascii="Cambria Math" w:hAnsi="Cambria Math" w:eastAsia="Cambria Math"/>
                            </w:rPr>
                            <m:t xml:space="preserve">−</m:t>
                          </m:r>
                          <m:r>
                            <w:rPr>
                              <w:rFonts w:ascii="Cambria Math" w:hAnsi="Cambria Math" w:eastAsia="Cambria Math"/>
                            </w:rPr>
                            <m:t xml:space="preserve">μ</m:t>
                          </m:r>
                        </m:e>
                      </m:d>
                    </m:e>
                    <m:sup>
                      <m:r>
                        <w:rPr>
                          <w:rFonts w:ascii="Cambria Math" w:hAnsi="Cambria Math" w:eastAsia="Cambria Math"/>
                        </w:rPr>
                        <m:t xml:space="preserve">2</m:t>
                      </m:r>
                    </m:sup>
                  </m:sSup>
                </m:e>
              </m:d>
            </m:e>
          </m:rad>
        </m:oMath>
      </m:oMathPara>
      <w:r>
        <w:tab/>
      </w:r>
      <w:r>
        <w:rPr>
          <w:rFonts w:ascii="Times New Roman" w:hAnsi="Times New Roman"/>
          <w:sz w:val="24"/>
        </w:rPr>
        <w:t>(2-7)</w:t>
      </w:r>
    </w:p>
    <w:p>
      <w:pPr>
        <w:pStyle w:val="b5"/>
      </w:pPr>
      <w:r>
        <w:t>由此可见，正态分布完全由μ与σ两个参数确定：均值决定分布的中心位置，标准差决定分布的宽窄。这也意味着，只要能够合理地估计这两个参数，就可以用正态分布对总体的整体形态作出简明刻画。</w:t>
      </w:r>
    </w:p>
    <w:p>
      <w:pPr>
        <w:pStyle w:val="b2"/>
        <w:outlineLvl w:val="1"/>
        <w:keepNext/>
      </w:pPr>
      <w:r>
        <w:rPr>
          <w:rFonts w:eastAsia="黑体" w:ascii="Times New Roman" w:hAnsi="Times New Roman"/>
          <w:b/>
          <w:sz w:val="28"/>
        </w:rPr>
        <w:t>正态分布的3σ原则</w:t>
      </w:r>
    </w:p>
    <w:p>
      <w:pPr>
        <w:pStyle w:val="b5"/>
      </w:pPr>
      <w:r>
        <w:t>对于服从正态分布的随机变量，取值落在均值附近若干倍标准差范围内的概率具有固定的数值，这就是通常所说的3σ原则：</w:t>
      </w:r>
    </w:p>
    <w:p>
      <w:pPr>
        <w:tabs>
          <w:tab w:val="right" w:pos="8504"/>
        </w:tabs>
        <w:spacing w:before="6" w:after="6" w:line="312" w:lineRule="auto"/>
        <w:ind w:left="567"/>
      </w:pPr>
      <m:oMathPara>
        <m:oMath>
          <m:r>
            <w:rPr>
              <w:rFonts w:ascii="Cambria Math" w:hAnsi="Cambria Math" w:eastAsia="Cambria Math"/>
            </w:rPr>
            <m:t xml:space="preserve">P</m:t>
          </m:r>
          <m:d>
            <m:dPr>
              <m:begChr m:val="("/>
              <m:endChr m:val=")"/>
            </m:dPr>
            <m:e>
              <m:r>
                <w:rPr>
                  <w:rFonts w:ascii="Cambria Math" w:hAnsi="Cambria Math" w:eastAsia="Cambria Math"/>
                </w:rPr>
                <m:t xml:space="preserve">μ</m:t>
              </m:r>
              <m:r>
                <w:rPr>
                  <w:rFonts w:ascii="Cambria Math" w:hAnsi="Cambria Math" w:eastAsia="Cambria Math"/>
                </w:rPr>
                <m:t xml:space="preserve">−</m:t>
              </m:r>
              <m:r>
                <w:rPr>
                  <w:rFonts w:ascii="Cambria Math" w:hAnsi="Cambria Math" w:eastAsia="Cambria Math"/>
                </w:rPr>
                <m:t xml:space="preserve">σ</m:t>
              </m:r>
              <m:r>
                <w:rPr>
                  <w:rFonts w:ascii="Cambria Math" w:hAnsi="Cambria Math" w:eastAsia="Cambria Math"/>
                </w:rPr>
                <m:t xml:space="preserve">&lt;</m:t>
              </m:r>
              <m:r>
                <w:rPr>
                  <w:rFonts w:ascii="Cambria Math" w:hAnsi="Cambria Math" w:eastAsia="Cambria Math"/>
                </w:rPr>
                <m:t xml:space="preserve">X</m:t>
              </m:r>
              <m:r>
                <w:rPr>
                  <w:rFonts w:ascii="Cambria Math" w:hAnsi="Cambria Math" w:eastAsia="Cambria Math"/>
                </w:rPr>
                <m:t xml:space="preserve">&lt;</m:t>
              </m:r>
              <m:r>
                <w:rPr>
                  <w:rFonts w:ascii="Cambria Math" w:hAnsi="Cambria Math" w:eastAsia="Cambria Math"/>
                </w:rPr>
                <m:t xml:space="preserve">μ</m:t>
              </m:r>
              <m:r>
                <w:rPr>
                  <w:rFonts w:ascii="Cambria Math" w:hAnsi="Cambria Math" w:eastAsia="Cambria Math"/>
                </w:rPr>
                <m:t xml:space="preserve">+</m:t>
              </m:r>
              <m:r>
                <w:rPr>
                  <w:rFonts w:ascii="Cambria Math" w:hAnsi="Cambria Math" w:eastAsia="Cambria Math"/>
                </w:rPr>
                <m:t xml:space="preserve">σ</m:t>
              </m:r>
            </m:e>
          </m:d>
          <m:r>
            <w:rPr>
              <w:rFonts w:ascii="Cambria Math" w:hAnsi="Cambria Math" w:eastAsia="Cambria Math"/>
            </w:rPr>
            <m:t xml:space="preserve">≈</m:t>
          </m:r>
          <m:r>
            <w:rPr>
              <w:rFonts w:ascii="Cambria Math" w:hAnsi="Cambria Math" w:eastAsia="Cambria Math"/>
            </w:rPr>
            <m:t xml:space="preserve">68.27%</m:t>
          </m:r>
        </m:oMath>
      </m:oMathPara>
      <w:r>
        <w:tab/>
      </w:r>
      <w:r>
        <w:rPr>
          <w:rFonts w:ascii="Times New Roman" w:hAnsi="Times New Roman"/>
          <w:sz w:val="24"/>
        </w:rPr>
        <w:t>(2-8)</w:t>
      </w:r>
    </w:p>
    <w:p>
      <w:pPr>
        <w:tabs>
          <w:tab w:val="right" w:pos="8504"/>
        </w:tabs>
        <w:spacing w:before="6" w:after="6" w:line="312" w:lineRule="auto"/>
        <w:ind w:left="567"/>
      </w:pPr>
      <m:oMathPara>
        <m:oMath>
          <m:r>
            <w:rPr>
              <w:rFonts w:ascii="Cambria Math" w:hAnsi="Cambria Math" w:eastAsia="Cambria Math"/>
            </w:rPr>
            <m:t xml:space="preserve">P</m:t>
          </m:r>
          <m:d>
            <m:dPr>
              <m:begChr m:val="("/>
              <m:endChr m:val=")"/>
            </m:dPr>
            <m:e>
              <m:r>
                <w:rPr>
                  <w:rFonts w:ascii="Cambria Math" w:hAnsi="Cambria Math" w:eastAsia="Cambria Math"/>
                </w:rPr>
                <m:t xml:space="preserve">μ</m:t>
              </m:r>
              <m:r>
                <w:rPr>
                  <w:rFonts w:ascii="Cambria Math" w:hAnsi="Cambria Math" w:eastAsia="Cambria Math"/>
                </w:rPr>
                <m:t xml:space="preserve">−</m:t>
              </m:r>
              <m:r>
                <w:rPr>
                  <w:rFonts w:ascii="Cambria Math" w:hAnsi="Cambria Math" w:eastAsia="Cambria Math"/>
                </w:rPr>
                <m:t xml:space="preserve">2</m:t>
              </m:r>
              <m:r>
                <w:rPr>
                  <w:rFonts w:ascii="Cambria Math" w:hAnsi="Cambria Math" w:eastAsia="Cambria Math"/>
                </w:rPr>
                <m:t xml:space="preserve">σ</m:t>
              </m:r>
              <m:r>
                <w:rPr>
                  <w:rFonts w:ascii="Cambria Math" w:hAnsi="Cambria Math" w:eastAsia="Cambria Math"/>
                </w:rPr>
                <m:t xml:space="preserve">&lt;</m:t>
              </m:r>
              <m:r>
                <w:rPr>
                  <w:rFonts w:ascii="Cambria Math" w:hAnsi="Cambria Math" w:eastAsia="Cambria Math"/>
                </w:rPr>
                <m:t xml:space="preserve">X</m:t>
              </m:r>
              <m:r>
                <w:rPr>
                  <w:rFonts w:ascii="Cambria Math" w:hAnsi="Cambria Math" w:eastAsia="Cambria Math"/>
                </w:rPr>
                <m:t xml:space="preserve">&lt;</m:t>
              </m:r>
              <m:r>
                <w:rPr>
                  <w:rFonts w:ascii="Cambria Math" w:hAnsi="Cambria Math" w:eastAsia="Cambria Math"/>
                </w:rPr>
                <m:t xml:space="preserve">μ</m:t>
              </m:r>
              <m:r>
                <w:rPr>
                  <w:rFonts w:ascii="Cambria Math" w:hAnsi="Cambria Math" w:eastAsia="Cambria Math"/>
                </w:rPr>
                <m:t xml:space="preserve">+</m:t>
              </m:r>
              <m:r>
                <w:rPr>
                  <w:rFonts w:ascii="Cambria Math" w:hAnsi="Cambria Math" w:eastAsia="Cambria Math"/>
                </w:rPr>
                <m:t xml:space="preserve">2</m:t>
              </m:r>
              <m:r>
                <w:rPr>
                  <w:rFonts w:ascii="Cambria Math" w:hAnsi="Cambria Math" w:eastAsia="Cambria Math"/>
                </w:rPr>
                <m:t xml:space="preserve">σ</m:t>
              </m:r>
            </m:e>
          </m:d>
          <m:r>
            <w:rPr>
              <w:rFonts w:ascii="Cambria Math" w:hAnsi="Cambria Math" w:eastAsia="Cambria Math"/>
            </w:rPr>
            <m:t xml:space="preserve">≈</m:t>
          </m:r>
          <m:r>
            <w:rPr>
              <w:rFonts w:ascii="Cambria Math" w:hAnsi="Cambria Math" w:eastAsia="Cambria Math"/>
            </w:rPr>
            <m:t xml:space="preserve">95.45%</m:t>
          </m:r>
        </m:oMath>
      </m:oMathPara>
      <w:r>
        <w:tab/>
      </w:r>
      <w:r>
        <w:rPr>
          <w:rFonts w:ascii="Times New Roman" w:hAnsi="Times New Roman"/>
          <w:sz w:val="24"/>
        </w:rPr>
        <w:t>(2-9)</w:t>
      </w:r>
    </w:p>
    <w:p>
      <w:pPr>
        <w:tabs>
          <w:tab w:val="right" w:pos="8504"/>
        </w:tabs>
        <w:spacing w:before="6" w:after="6" w:line="312" w:lineRule="auto"/>
        <w:ind w:left="567"/>
      </w:pPr>
      <m:oMathPara>
        <m:oMath>
          <m:r>
            <w:rPr>
              <w:rFonts w:ascii="Cambria Math" w:hAnsi="Cambria Math" w:eastAsia="Cambria Math"/>
            </w:rPr>
            <m:t xml:space="preserve">P</m:t>
          </m:r>
          <m:d>
            <m:dPr>
              <m:begChr m:val="("/>
              <m:endChr m:val=")"/>
            </m:dPr>
            <m:e>
              <m:r>
                <w:rPr>
                  <w:rFonts w:ascii="Cambria Math" w:hAnsi="Cambria Math" w:eastAsia="Cambria Math"/>
                </w:rPr>
                <m:t xml:space="preserve">μ</m:t>
              </m:r>
              <m:r>
                <w:rPr>
                  <w:rFonts w:ascii="Cambria Math" w:hAnsi="Cambria Math" w:eastAsia="Cambria Math"/>
                </w:rPr>
                <m:t xml:space="preserve">−</m:t>
              </m:r>
              <m:r>
                <w:rPr>
                  <w:rFonts w:ascii="Cambria Math" w:hAnsi="Cambria Math" w:eastAsia="Cambria Math"/>
                </w:rPr>
                <m:t xml:space="preserve">3</m:t>
              </m:r>
              <m:r>
                <w:rPr>
                  <w:rFonts w:ascii="Cambria Math" w:hAnsi="Cambria Math" w:eastAsia="Cambria Math"/>
                </w:rPr>
                <m:t xml:space="preserve">σ</m:t>
              </m:r>
              <m:r>
                <w:rPr>
                  <w:rFonts w:ascii="Cambria Math" w:hAnsi="Cambria Math" w:eastAsia="Cambria Math"/>
                </w:rPr>
                <m:t xml:space="preserve">&lt;</m:t>
              </m:r>
              <m:r>
                <w:rPr>
                  <w:rFonts w:ascii="Cambria Math" w:hAnsi="Cambria Math" w:eastAsia="Cambria Math"/>
                </w:rPr>
                <m:t xml:space="preserve">X</m:t>
              </m:r>
              <m:r>
                <w:rPr>
                  <w:rFonts w:ascii="Cambria Math" w:hAnsi="Cambria Math" w:eastAsia="Cambria Math"/>
                </w:rPr>
                <m:t xml:space="preserve">&lt;</m:t>
              </m:r>
              <m:r>
                <w:rPr>
                  <w:rFonts w:ascii="Cambria Math" w:hAnsi="Cambria Math" w:eastAsia="Cambria Math"/>
                </w:rPr>
                <m:t xml:space="preserve">μ</m:t>
              </m:r>
              <m:r>
                <w:rPr>
                  <w:rFonts w:ascii="Cambria Math" w:hAnsi="Cambria Math" w:eastAsia="Cambria Math"/>
                </w:rPr>
                <m:t xml:space="preserve">+</m:t>
              </m:r>
              <m:r>
                <w:rPr>
                  <w:rFonts w:ascii="Cambria Math" w:hAnsi="Cambria Math" w:eastAsia="Cambria Math"/>
                </w:rPr>
                <m:t xml:space="preserve">3</m:t>
              </m:r>
              <m:r>
                <w:rPr>
                  <w:rFonts w:ascii="Cambria Math" w:hAnsi="Cambria Math" w:eastAsia="Cambria Math"/>
                </w:rPr>
                <m:t xml:space="preserve">σ</m:t>
              </m:r>
            </m:e>
          </m:d>
          <m:r>
            <w:rPr>
              <w:rFonts w:ascii="Cambria Math" w:hAnsi="Cambria Math" w:eastAsia="Cambria Math"/>
            </w:rPr>
            <m:t xml:space="preserve">≈</m:t>
          </m:r>
          <m:r>
            <w:rPr>
              <w:rFonts w:ascii="Cambria Math" w:hAnsi="Cambria Math" w:eastAsia="Cambria Math"/>
            </w:rPr>
            <m:t xml:space="preserve">99.73%</m:t>
          </m:r>
        </m:oMath>
      </m:oMathPara>
      <w:r>
        <w:tab/>
      </w:r>
      <w:r>
        <w:rPr>
          <w:rFonts w:ascii="Times New Roman" w:hAnsi="Times New Roman"/>
          <w:sz w:val="24"/>
        </w:rPr>
        <w:t>(2-10)</w:t>
      </w:r>
    </w:p>
    <w:p>
      <w:pPr>
        <w:pStyle w:val="b5"/>
      </w:pPr>
      <w:r>
        <w:t>3σ原则说明，在正态模型下，大多数观测值集中在均值附近，极端值出现的概率很小。对于身高数据而言，这一结论可以转化为直观解释：在已知均值与标准差的前提下，可以估计出一个覆盖绝大多数人的身高区间。需要注意的是，这些概率是模型结论，其可靠性取决于数据是否确实可以近似看作来自某个正态总体。</w:t>
      </w:r>
    </w:p>
    <w:p>
      <w:pPr>
        <w:pStyle w:val="b1"/>
        <w:outlineLvl w:val="0"/>
        <w:keepNext/>
      </w:pPr>
      <w:r>
        <w:rPr>
          <w:rFonts w:eastAsia="黑体" w:ascii="Times New Roman" w:hAnsi="Times New Roman"/>
          <w:b/>
          <w:sz w:val="30"/>
        </w:rPr>
        <w:t>中国成年人身高的数据背景</w:t>
      </w:r>
    </w:p>
    <w:p>
      <w:pPr>
        <w:pStyle w:val="b2"/>
        <w:outlineLvl w:val="1"/>
        <w:keepNext/>
      </w:pPr>
      <w:r>
        <w:rPr>
          <w:rFonts w:eastAsia="黑体" w:ascii="Times New Roman" w:hAnsi="Times New Roman"/>
          <w:b/>
          <w:sz w:val="28"/>
        </w:rPr>
        <w:t>中国成年人身体尺寸国家标准</w:t>
      </w:r>
    </w:p>
    <w:p>
      <w:pPr>
        <w:pStyle w:val="b5"/>
      </w:pPr>
      <w:r>
        <w:t>中国成年人身高数据并非来自网络随意收集，而是建立在规范的人体尺寸调查与国家标准之上。现行国家标准为GB/T 10000—2023《中国成年人人体尺寸》，由全国人类工效学标准化技术委员会归口，于2023年8月6日发布、2024年3月1日实施，全部代替GB/T 10000—1988《中国成年人人体尺寸》与GB/T 13547—1992《工作空间人体尺寸》</w:t>
      </w:r>
      <w:r>
        <w:rPr>
          <w:vertAlign w:val="superscript"/>
        </w:rPr>
        <w:t>[4]</w:t>
      </w:r>
      <w:r>
        <w:t>。该标准给出了我国成年人人体尺寸的基本统计数值，包括静态人体尺寸和用于工作空间设计的人体功能尺寸，并按性别、年龄段以及自然区域分组统计，适用于消费品、交通、服装、家居、建筑、劳动防护等领域的产品与设施设计及其工效学评价</w:t>
      </w:r>
      <w:r>
        <w:rPr>
          <w:vertAlign w:val="superscript"/>
        </w:rPr>
        <w:t>[4]</w:t>
      </w:r>
      <w:r>
        <w:t>。</w:t>
      </w:r>
    </w:p>
    <w:p>
      <w:pPr>
        <w:pStyle w:val="b2"/>
        <w:outlineLvl w:val="1"/>
        <w:keepNext/>
      </w:pPr>
      <w:r>
        <w:rPr>
          <w:rFonts w:eastAsia="黑体" w:ascii="Times New Roman" w:hAnsi="Times New Roman"/>
          <w:b/>
          <w:sz w:val="28"/>
        </w:rPr>
        <w:t>国民体质监测中的身高数据</w:t>
      </w:r>
    </w:p>
    <w:p>
      <w:pPr>
        <w:pStyle w:val="b5"/>
      </w:pPr>
      <w:r>
        <w:t>国家体育总局组织实施的国民体质监测提供了另一类重要的官方数据。《第五次国民体质监测公报》基于2020年在全国31个省、自治区、直辖市开展的抽样测试，报告了20～59岁成年人各项体质指标的平均数</w:t>
      </w:r>
      <w:r>
        <w:rPr>
          <w:vertAlign w:val="superscript"/>
        </w:rPr>
        <w:t>[5]</w:t>
      </w:r>
      <w:r>
        <w:t>。其中，男性与女性均在20～24岁年龄组平均身高最高，分别为172.6厘米与160.6厘米；与20～24岁组相比，55～59岁组男性、女性身高平均值分别低5.1厘米与3.6厘米，即分别为167.5厘米与157.0厘米</w:t>
      </w:r>
      <w:r>
        <w:rPr>
          <w:vertAlign w:val="superscript"/>
        </w:rPr>
        <w:t>[5]</w:t>
      </w:r>
      <w:r>
        <w:t>。各年龄组的平均身高见表3-1。</w:t>
      </w:r>
    </w:p>
    <w:p>
      <w:pPr>
        <w:pStyle w:val="b9"/>
        <w:outlineLvl w:val="9"/>
      </w:pPr>
      <w:r>
        <w:t>表3-1 中国部分年龄组成年人平均身高</w:t>
      </w:r>
    </w:p>
    <w:tbl>
      <w:tblPr>
        <w:tblW w:type="auto" w:w="0"/>
        <w:jc w:val="center"/>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835"/>
        <w:gridCol w:w="2835"/>
        <w:gridCol w:w="2835"/>
      </w:tblGrid>
      <w:tr>
        <w:tc>
          <w:tcPr>
            <w:tcW w:type="dxa" w:w="2835"/>
            <w:tcBorders>
              <w:bottom w:val="single" w:sz="8" w:space="0" w:color="000000"/>
            </w:tcBorders>
          </w:tcPr>
          <w:p>
            <w:pPr>
              <w:jc w:val="center"/>
            </w:pPr>
            <w:r/>
            <w:r>
              <w:rPr>
                <w:rFonts w:eastAsia="宋体" w:ascii="Times New Roman" w:hAnsi="Times New Roman"/>
                <w:b/>
                <w:sz w:val="21"/>
              </w:rPr>
              <w:t>年龄组（岁）</w:t>
            </w:r>
          </w:p>
        </w:tc>
        <w:tc>
          <w:tcPr>
            <w:tcW w:type="dxa" w:w="2835"/>
            <w:tcBorders>
              <w:bottom w:val="single" w:sz="8" w:space="0" w:color="000000"/>
            </w:tcBorders>
          </w:tcPr>
          <w:p>
            <w:pPr>
              <w:jc w:val="center"/>
            </w:pPr>
            <w:r/>
            <w:r>
              <w:rPr>
                <w:rFonts w:eastAsia="宋体" w:ascii="Times New Roman" w:hAnsi="Times New Roman"/>
                <w:b/>
                <w:sz w:val="21"/>
              </w:rPr>
              <w:t>男性平均身高（厘米）</w:t>
            </w:r>
          </w:p>
        </w:tc>
        <w:tc>
          <w:tcPr>
            <w:tcW w:type="dxa" w:w="2835"/>
            <w:tcBorders>
              <w:bottom w:val="single" w:sz="8" w:space="0" w:color="000000"/>
            </w:tcBorders>
          </w:tcPr>
          <w:p>
            <w:pPr>
              <w:jc w:val="center"/>
            </w:pPr>
            <w:r/>
            <w:r>
              <w:rPr>
                <w:rFonts w:eastAsia="宋体" w:ascii="Times New Roman" w:hAnsi="Times New Roman"/>
                <w:b/>
                <w:sz w:val="21"/>
              </w:rPr>
              <w:t>女性平均身高（厘米）</w:t>
            </w:r>
          </w:p>
        </w:tc>
      </w:tr>
      <w:tr>
        <w:tc>
          <w:tcPr>
            <w:tcW w:type="dxa" w:w="2835"/>
          </w:tcPr>
          <w:p>
            <w:pPr>
              <w:jc w:val="center"/>
            </w:pPr>
            <w:r/>
            <w:r>
              <w:rPr>
                <w:rFonts w:eastAsia="宋体" w:ascii="Times New Roman" w:hAnsi="Times New Roman"/>
                <w:b w:val="0"/>
                <w:sz w:val="21"/>
              </w:rPr>
              <w:t>20～24</w:t>
            </w:r>
          </w:p>
        </w:tc>
        <w:tc>
          <w:tcPr>
            <w:tcW w:type="dxa" w:w="2835"/>
          </w:tcPr>
          <w:p>
            <w:pPr>
              <w:jc w:val="center"/>
            </w:pPr>
            <w:r/>
            <w:r>
              <w:rPr>
                <w:rFonts w:eastAsia="宋体" w:ascii="Times New Roman" w:hAnsi="Times New Roman"/>
                <w:b w:val="0"/>
                <w:sz w:val="21"/>
              </w:rPr>
              <w:t>172.6</w:t>
            </w:r>
          </w:p>
        </w:tc>
        <w:tc>
          <w:tcPr>
            <w:tcW w:type="dxa" w:w="2835"/>
          </w:tcPr>
          <w:p>
            <w:pPr>
              <w:jc w:val="center"/>
            </w:pPr>
            <w:r/>
            <w:r>
              <w:rPr>
                <w:rFonts w:eastAsia="宋体" w:ascii="Times New Roman" w:hAnsi="Times New Roman"/>
                <w:b w:val="0"/>
                <w:sz w:val="21"/>
              </w:rPr>
              <w:t>160.6</w:t>
            </w:r>
          </w:p>
        </w:tc>
      </w:tr>
      <w:tr>
        <w:tc>
          <w:tcPr>
            <w:tcW w:type="dxa" w:w="2835"/>
          </w:tcPr>
          <w:p>
            <w:pPr>
              <w:jc w:val="center"/>
            </w:pPr>
            <w:r/>
            <w:r>
              <w:rPr>
                <w:rFonts w:eastAsia="宋体" w:ascii="Times New Roman" w:hAnsi="Times New Roman"/>
                <w:b w:val="0"/>
                <w:sz w:val="21"/>
              </w:rPr>
              <w:t>25～29</w:t>
            </w:r>
          </w:p>
        </w:tc>
        <w:tc>
          <w:tcPr>
            <w:tcW w:type="dxa" w:w="2835"/>
          </w:tcPr>
          <w:p>
            <w:pPr>
              <w:jc w:val="center"/>
            </w:pPr>
            <w:r/>
            <w:r>
              <w:rPr>
                <w:rFonts w:eastAsia="宋体" w:ascii="Times New Roman" w:hAnsi="Times New Roman"/>
                <w:b w:val="0"/>
                <w:sz w:val="21"/>
              </w:rPr>
              <w:t>172.1</w:t>
            </w:r>
          </w:p>
        </w:tc>
        <w:tc>
          <w:tcPr>
            <w:tcW w:type="dxa" w:w="2835"/>
          </w:tcPr>
          <w:p>
            <w:pPr>
              <w:jc w:val="center"/>
            </w:pPr>
            <w:r/>
            <w:r>
              <w:rPr>
                <w:rFonts w:eastAsia="宋体" w:ascii="Times New Roman" w:hAnsi="Times New Roman"/>
                <w:b w:val="0"/>
                <w:sz w:val="21"/>
              </w:rPr>
              <w:t>159.8</w:t>
            </w:r>
          </w:p>
        </w:tc>
      </w:tr>
      <w:tr>
        <w:tc>
          <w:tcPr>
            <w:tcW w:type="dxa" w:w="2835"/>
          </w:tcPr>
          <w:p>
            <w:pPr>
              <w:jc w:val="center"/>
            </w:pPr>
            <w:r/>
            <w:r>
              <w:rPr>
                <w:rFonts w:eastAsia="宋体" w:ascii="Times New Roman" w:hAnsi="Times New Roman"/>
                <w:b w:val="0"/>
                <w:sz w:val="21"/>
              </w:rPr>
              <w:t>30～34</w:t>
            </w:r>
          </w:p>
        </w:tc>
        <w:tc>
          <w:tcPr>
            <w:tcW w:type="dxa" w:w="2835"/>
          </w:tcPr>
          <w:p>
            <w:pPr>
              <w:jc w:val="center"/>
            </w:pPr>
            <w:r/>
            <w:r>
              <w:rPr>
                <w:rFonts w:eastAsia="宋体" w:ascii="Times New Roman" w:hAnsi="Times New Roman"/>
                <w:b w:val="0"/>
                <w:sz w:val="21"/>
              </w:rPr>
              <w:t>171.4</w:t>
            </w:r>
          </w:p>
        </w:tc>
        <w:tc>
          <w:tcPr>
            <w:tcW w:type="dxa" w:w="2835"/>
          </w:tcPr>
          <w:p>
            <w:pPr>
              <w:jc w:val="center"/>
            </w:pPr>
            <w:r/>
            <w:r>
              <w:rPr>
                <w:rFonts w:eastAsia="宋体" w:ascii="Times New Roman" w:hAnsi="Times New Roman"/>
                <w:b w:val="0"/>
                <w:sz w:val="21"/>
              </w:rPr>
              <w:t>159.1</w:t>
            </w:r>
          </w:p>
        </w:tc>
      </w:tr>
      <w:tr>
        <w:tc>
          <w:tcPr>
            <w:tcW w:type="dxa" w:w="2835"/>
          </w:tcPr>
          <w:p>
            <w:pPr>
              <w:jc w:val="center"/>
            </w:pPr>
            <w:r/>
            <w:r>
              <w:rPr>
                <w:rFonts w:eastAsia="宋体" w:ascii="Times New Roman" w:hAnsi="Times New Roman"/>
                <w:b w:val="0"/>
                <w:sz w:val="21"/>
              </w:rPr>
              <w:t>35～39</w:t>
            </w:r>
          </w:p>
        </w:tc>
        <w:tc>
          <w:tcPr>
            <w:tcW w:type="dxa" w:w="2835"/>
          </w:tcPr>
          <w:p>
            <w:pPr>
              <w:jc w:val="center"/>
            </w:pPr>
            <w:r/>
            <w:r>
              <w:rPr>
                <w:rFonts w:eastAsia="宋体" w:ascii="Times New Roman" w:hAnsi="Times New Roman"/>
                <w:b w:val="0"/>
                <w:sz w:val="21"/>
              </w:rPr>
              <w:t>170.4</w:t>
            </w:r>
          </w:p>
        </w:tc>
        <w:tc>
          <w:tcPr>
            <w:tcW w:type="dxa" w:w="2835"/>
          </w:tcPr>
          <w:p>
            <w:pPr>
              <w:jc w:val="center"/>
            </w:pPr>
            <w:r/>
            <w:r>
              <w:rPr>
                <w:rFonts w:eastAsia="宋体" w:ascii="Times New Roman" w:hAnsi="Times New Roman"/>
                <w:b w:val="0"/>
                <w:sz w:val="21"/>
              </w:rPr>
              <w:t>158.6</w:t>
            </w:r>
          </w:p>
        </w:tc>
      </w:tr>
      <w:tr>
        <w:tc>
          <w:tcPr>
            <w:tcW w:type="dxa" w:w="2835"/>
          </w:tcPr>
          <w:p>
            <w:pPr>
              <w:jc w:val="center"/>
            </w:pPr>
            <w:r/>
            <w:r>
              <w:rPr>
                <w:rFonts w:eastAsia="宋体" w:ascii="Times New Roman" w:hAnsi="Times New Roman"/>
                <w:b w:val="0"/>
                <w:sz w:val="21"/>
              </w:rPr>
              <w:t>40～44</w:t>
            </w:r>
          </w:p>
        </w:tc>
        <w:tc>
          <w:tcPr>
            <w:tcW w:type="dxa" w:w="2835"/>
          </w:tcPr>
          <w:p>
            <w:pPr>
              <w:jc w:val="center"/>
            </w:pPr>
            <w:r/>
            <w:r>
              <w:rPr>
                <w:rFonts w:eastAsia="宋体" w:ascii="Times New Roman" w:hAnsi="Times New Roman"/>
                <w:b w:val="0"/>
                <w:sz w:val="21"/>
              </w:rPr>
              <w:t>169.4</w:t>
            </w:r>
          </w:p>
        </w:tc>
        <w:tc>
          <w:tcPr>
            <w:tcW w:type="dxa" w:w="2835"/>
          </w:tcPr>
          <w:p>
            <w:pPr>
              <w:jc w:val="center"/>
            </w:pPr>
            <w:r/>
            <w:r>
              <w:rPr>
                <w:rFonts w:eastAsia="宋体" w:ascii="Times New Roman" w:hAnsi="Times New Roman"/>
                <w:b w:val="0"/>
                <w:sz w:val="21"/>
              </w:rPr>
              <w:t>158.0</w:t>
            </w:r>
          </w:p>
        </w:tc>
      </w:tr>
      <w:tr>
        <w:tc>
          <w:tcPr>
            <w:tcW w:type="dxa" w:w="2835"/>
          </w:tcPr>
          <w:p>
            <w:pPr>
              <w:jc w:val="center"/>
            </w:pPr>
            <w:r/>
            <w:r>
              <w:rPr>
                <w:rFonts w:eastAsia="宋体" w:ascii="Times New Roman" w:hAnsi="Times New Roman"/>
                <w:b w:val="0"/>
                <w:sz w:val="21"/>
              </w:rPr>
              <w:t>45～49</w:t>
            </w:r>
          </w:p>
        </w:tc>
        <w:tc>
          <w:tcPr>
            <w:tcW w:type="dxa" w:w="2835"/>
          </w:tcPr>
          <w:p>
            <w:pPr>
              <w:jc w:val="center"/>
            </w:pPr>
            <w:r/>
            <w:r>
              <w:rPr>
                <w:rFonts w:eastAsia="宋体" w:ascii="Times New Roman" w:hAnsi="Times New Roman"/>
                <w:b w:val="0"/>
                <w:sz w:val="21"/>
              </w:rPr>
              <w:t>168.7</w:t>
            </w:r>
          </w:p>
        </w:tc>
        <w:tc>
          <w:tcPr>
            <w:tcW w:type="dxa" w:w="2835"/>
          </w:tcPr>
          <w:p>
            <w:pPr>
              <w:jc w:val="center"/>
            </w:pPr>
            <w:r/>
            <w:r>
              <w:rPr>
                <w:rFonts w:eastAsia="宋体" w:ascii="Times New Roman" w:hAnsi="Times New Roman"/>
                <w:b w:val="0"/>
                <w:sz w:val="21"/>
              </w:rPr>
              <w:t>157.5</w:t>
            </w:r>
          </w:p>
        </w:tc>
      </w:tr>
      <w:tr>
        <w:tc>
          <w:tcPr>
            <w:tcW w:type="dxa" w:w="2835"/>
          </w:tcPr>
          <w:p>
            <w:pPr>
              <w:jc w:val="center"/>
            </w:pPr>
            <w:r/>
            <w:r>
              <w:rPr>
                <w:rFonts w:eastAsia="宋体" w:ascii="Times New Roman" w:hAnsi="Times New Roman"/>
                <w:b w:val="0"/>
                <w:sz w:val="21"/>
              </w:rPr>
              <w:t>50～54</w:t>
            </w:r>
          </w:p>
        </w:tc>
        <w:tc>
          <w:tcPr>
            <w:tcW w:type="dxa" w:w="2835"/>
          </w:tcPr>
          <w:p>
            <w:pPr>
              <w:jc w:val="center"/>
            </w:pPr>
            <w:r/>
            <w:r>
              <w:rPr>
                <w:rFonts w:eastAsia="宋体" w:ascii="Times New Roman" w:hAnsi="Times New Roman"/>
                <w:b w:val="0"/>
                <w:sz w:val="21"/>
              </w:rPr>
              <w:t>167.9</w:t>
            </w:r>
          </w:p>
        </w:tc>
        <w:tc>
          <w:tcPr>
            <w:tcW w:type="dxa" w:w="2835"/>
          </w:tcPr>
          <w:p>
            <w:pPr>
              <w:jc w:val="center"/>
            </w:pPr>
            <w:r/>
            <w:r>
              <w:rPr>
                <w:rFonts w:eastAsia="宋体" w:ascii="Times New Roman" w:hAnsi="Times New Roman"/>
                <w:b w:val="0"/>
                <w:sz w:val="21"/>
              </w:rPr>
              <w:t>157.2</w:t>
            </w:r>
          </w:p>
        </w:tc>
      </w:tr>
      <w:tr>
        <w:tc>
          <w:tcPr>
            <w:tcW w:type="dxa" w:w="2835"/>
          </w:tcPr>
          <w:p>
            <w:pPr>
              <w:jc w:val="center"/>
            </w:pPr>
            <w:r/>
            <w:r>
              <w:rPr>
                <w:rFonts w:eastAsia="宋体" w:ascii="Times New Roman" w:hAnsi="Times New Roman"/>
                <w:b w:val="0"/>
                <w:sz w:val="21"/>
              </w:rPr>
              <w:t>55～59</w:t>
            </w:r>
          </w:p>
        </w:tc>
        <w:tc>
          <w:tcPr>
            <w:tcW w:type="dxa" w:w="2835"/>
          </w:tcPr>
          <w:p>
            <w:pPr>
              <w:jc w:val="center"/>
            </w:pPr>
            <w:r/>
            <w:r>
              <w:rPr>
                <w:rFonts w:eastAsia="宋体" w:ascii="Times New Roman" w:hAnsi="Times New Roman"/>
                <w:b w:val="0"/>
                <w:sz w:val="21"/>
              </w:rPr>
              <w:t>167.5</w:t>
            </w:r>
          </w:p>
        </w:tc>
        <w:tc>
          <w:tcPr>
            <w:tcW w:type="dxa" w:w="2835"/>
          </w:tcPr>
          <w:p>
            <w:pPr>
              <w:jc w:val="center"/>
            </w:pPr>
            <w:r/>
            <w:r>
              <w:rPr>
                <w:rFonts w:eastAsia="宋体" w:ascii="Times New Roman" w:hAnsi="Times New Roman"/>
                <w:b w:val="0"/>
                <w:sz w:val="21"/>
              </w:rPr>
              <w:t>157.0</w:t>
            </w:r>
          </w:p>
        </w:tc>
      </w:tr>
    </w:tbl>
    <w:p>
      <w:pPr>
        <w:pStyle w:val="b5"/>
      </w:pPr>
    </w:p>
    <w:p>
      <w:pPr>
        <w:jc w:val="center"/>
        <w:spacing w:before="4" w:after="10" w:line="312" w:lineRule="auto"/>
      </w:pPr>
      <w:r>
        <w:t>数据来源：国家体育总局《第五次国民体质监测公报》（2020年监测数据）</w:t>
      </w:r>
      <w:r>
        <w:rPr>
          <w:vertAlign w:val="superscript"/>
        </w:rPr>
        <w:t>[5]</w:t>
      </w:r>
      <w:r>
        <w:t>。</w:t>
      </w:r>
    </w:p>
    <w:p>
      <w:pPr>
        <w:pStyle w:val="b5"/>
      </w:pPr>
      <w:r>
        <w:t>表3-1显示出两个重要事实。第一，性别差异显著：同一年龄组男性平均身高普遍高于女性约11～12厘米。第二，年龄差异显著：平均身高随年龄组增大而下降。这说明在讨论中国成年人身高的分布时，性别与年龄是必须首先控制的结构性因素。</w:t>
      </w:r>
    </w:p>
    <w:p>
      <w:pPr>
        <w:pStyle w:val="b2"/>
        <w:outlineLvl w:val="1"/>
        <w:keepNext/>
      </w:pPr>
      <w:r>
        <w:rPr>
          <w:rFonts w:eastAsia="黑体" w:ascii="Times New Roman" w:hAnsi="Times New Roman"/>
          <w:b/>
          <w:sz w:val="28"/>
        </w:rPr>
        <w:t>相关人体测量研究的证据</w:t>
      </w:r>
    </w:p>
    <w:p>
      <w:pPr>
        <w:pStyle w:val="b5"/>
      </w:pPr>
      <w:r>
        <w:t>除官方统计之外，中国的体质人类学与人体测量研究也提供了大量证据。Zhang等对中国汉族成年人右手与右足尺寸和身高关系的研究共纳入26927名健康成年人，其中男性13221名、女性13706名，结果显示各项手足测量指标与身高均存在统计学相关，且各项指标的均值在男性与女性之间差异显著</w:t>
      </w:r>
      <w:r>
        <w:rPr>
          <w:vertAlign w:val="superscript"/>
        </w:rPr>
        <w:t>[6]</w:t>
      </w:r>
      <w:r>
        <w:t>。李咏兰对中国乡村汉族男性体部指标的多元分析则表明，北方汉族与南方汉族在身高、体重、足长、坐高、臀围等体部特征上存在较大差异</w:t>
      </w:r>
      <w:r>
        <w:rPr>
          <w:vertAlign w:val="superscript"/>
        </w:rPr>
        <w:t>[7]</w:t>
      </w:r>
      <w:r>
        <w:t>。Yuan等基于中国国家健康调查陕西省数据、以5905名成年人为样本的分析，进一步说明身高是适合进行标准化统计分析的重要人体测量指标</w:t>
      </w:r>
      <w:r>
        <w:rPr>
          <w:vertAlign w:val="superscript"/>
        </w:rPr>
        <w:t>[8]</w:t>
      </w:r>
      <w:r>
        <w:t>。</w:t>
      </w:r>
    </w:p>
    <w:p>
      <w:pPr>
        <w:pStyle w:val="b5"/>
      </w:pPr>
      <w:r>
        <w:t>上述研究的共同点是：它们都把研究对象限定在明确的性别、年龄与地区范围之内，而不是把“全体中国人”当作一个不加区分的总体。这一做法正是后文讨论正态分布适用性时反复强调的关键前提。</w:t>
      </w:r>
    </w:p>
    <w:p>
      <w:pPr>
        <w:pStyle w:val="b1"/>
        <w:outlineLvl w:val="0"/>
        <w:keepNext/>
      </w:pPr>
      <w:r>
        <w:rPr>
          <w:rFonts w:eastAsia="黑体" w:ascii="Times New Roman" w:hAnsi="Times New Roman"/>
          <w:b/>
          <w:sz w:val="30"/>
        </w:rPr>
        <w:t>中国成年人身高与正态分布的现实联系</w:t>
      </w:r>
    </w:p>
    <w:p>
      <w:pPr>
        <w:pStyle w:val="b2"/>
        <w:outlineLvl w:val="1"/>
        <w:keepNext/>
      </w:pPr>
      <w:r>
        <w:rPr>
          <w:rFonts w:eastAsia="黑体" w:ascii="Times New Roman" w:hAnsi="Times New Roman"/>
          <w:b/>
          <w:sz w:val="28"/>
        </w:rPr>
        <w:t>身高为什么容易表现出近似正态的形态</w:t>
      </w:r>
    </w:p>
    <w:p>
      <w:pPr>
        <w:pStyle w:val="b5"/>
      </w:pPr>
      <w:r>
        <w:t>人体身高不是由单一因素决定的。一个人的最终身高受到遗传、营养、疾病、生活环境、社会经济条件等多方面因素的共同影响。当大量相互作用的随机因素共同作用于同一个结果时，其总体分布在一定条件下可能呈现出接近正态的形态，这与中心极限定理所体现的思想相关</w:t>
      </w:r>
      <w:r>
        <w:rPr>
          <w:vertAlign w:val="superscript"/>
        </w:rPr>
        <w:t>[1]</w:t>
      </w:r>
      <w:r>
        <w:t>。</w:t>
      </w:r>
    </w:p>
    <w:p>
      <w:pPr>
        <w:pStyle w:val="b5"/>
      </w:pPr>
      <w:r>
        <w:t>必须强调的是，中心极限定理与多因素共同作用的思想具有一定联系，但不能作为人体身高正态性的直接证明。人体身高接近正态分布，在更大程度上是一种被反复观察到的经验性统计现象，而不是由某条定理直接推出的必然结论。Yokoyama对日本青年立姿身高正态性的专门研究即表明，身高数据在一定条件下与正态模型吻合良好，但这种吻合需要在具体样本上进行检验，而不能先验地假定成立</w:t>
      </w:r>
      <w:r>
        <w:rPr>
          <w:vertAlign w:val="superscript"/>
        </w:rPr>
        <w:t>[10]</w:t>
      </w:r>
      <w:r>
        <w:t>。</w:t>
      </w:r>
    </w:p>
    <w:p>
      <w:pPr>
        <w:pStyle w:val="b2"/>
        <w:outlineLvl w:val="1"/>
        <w:keepNext/>
      </w:pPr>
      <w:r>
        <w:rPr>
          <w:rFonts w:eastAsia="黑体" w:ascii="Times New Roman" w:hAnsi="Times New Roman"/>
          <w:b/>
          <w:sz w:val="28"/>
        </w:rPr>
        <w:t>研究总体的划分非常关键</w:t>
      </w:r>
    </w:p>
    <w:p>
      <w:pPr>
        <w:pStyle w:val="b5"/>
      </w:pPr>
      <w:r>
        <w:t>正态分布的两个参数μ与σ都是针对特定总体而言的。如果把若干差异明显的子总体混合在一起，混合后的数据未必还能用单一正态分布很好地描述。以中国成年人身高为例，性别、年龄与地区都会造成均值差异。若把男性与女性、青年与老年的身高数据直接合并，所得分布可能出现偏态甚至双峰形态，此时用一条正态曲线去拟合，解释力会明显下降。</w:t>
      </w:r>
    </w:p>
    <w:p>
      <w:pPr>
        <w:pStyle w:val="b5"/>
      </w:pPr>
      <w:r>
        <w:t>因此，在实际分析中，第一步往往不是套用某个公式，而是明确定义研究总体：是“20～24岁中国城镇男性”，还是“55～59岁中国农村女性”？总体定义得越清晰，正态模型的参数估计与概率解释就越有意义。</w:t>
      </w:r>
    </w:p>
    <w:p>
      <w:pPr>
        <w:pStyle w:val="b2"/>
        <w:outlineLvl w:val="1"/>
        <w:keepNext/>
      </w:pPr>
      <w:r>
        <w:rPr>
          <w:rFonts w:eastAsia="黑体" w:ascii="Times New Roman" w:hAnsi="Times New Roman"/>
          <w:b/>
          <w:sz w:val="28"/>
        </w:rPr>
        <w:t>统计模型是对现实的近似</w:t>
      </w:r>
    </w:p>
    <w:p>
      <w:pPr>
        <w:pStyle w:val="b5"/>
      </w:pPr>
      <w:r>
        <w:t>正态分布在数学上的取值范围是全体实数，而人体身高显然存在生理界限；理论正态分布甚至允许出现负值，而现实中的身高不可能为负。这说明统计分布模型是对现实的近似，而不是现实本身。正态分布之所以有用，是因为在合理的取值范围内，它能够较好地描述“多数人集中在平均水平附近、极端值较少”这一总体特征，并且只需要两个参数就能完成这种描述。</w:t>
      </w:r>
    </w:p>
    <w:p>
      <w:pPr>
        <w:pStyle w:val="b5"/>
      </w:pPr>
      <w:r>
        <w:t>承认模型的近似性质并不削弱其价值，反而有助于正确使用它：模型是否可用，取决于它在特定问题与特定数据条件下能否提供足够准确的描述，而不取决于它是否在数学上完全等同于现实。</w:t>
      </w:r>
    </w:p>
    <w:p>
      <w:pPr>
        <w:pStyle w:val="b1"/>
        <w:outlineLvl w:val="0"/>
        <w:keepNext/>
      </w:pPr>
      <w:r>
        <w:rPr>
          <w:rFonts w:eastAsia="黑体" w:ascii="Times New Roman" w:hAnsi="Times New Roman"/>
          <w:b/>
          <w:sz w:val="30"/>
        </w:rPr>
        <w:t>中国成年人身高数据的实证案例分析</w:t>
      </w:r>
    </w:p>
    <w:p>
      <w:pPr>
        <w:pStyle w:val="b5"/>
      </w:pPr>
      <w:r>
        <w:t>本章使用中国健康与营养调查（CHNS）的公开数据文件进行实证分析。CHNS是由美国北卡罗来纳大学教堂山分校卡罗来纳人口中心与中国疾病预防控制中心营养与食品安全所等单位合作开展的长期追踪调查，包含家庭层面与个人层面的人口学、经济、膳食与人体测量等信息</w:t>
      </w:r>
      <w:r>
        <w:rPr>
          <w:vertAlign w:val="superscript"/>
        </w:rPr>
        <w:t>[9]</w:t>
      </w:r>
      <w:r>
        <w:t>。本文使用其中的两个文件：pexam_00.sas7bdat人体测量文件，包含IDind（个体编号）、HEIGHT（身高，单位为厘米）与WAVE（调查年份）等变量；mast_pub_12.sas7bdat人口学文件，包含Idind（个体编号）、GENDER（性别）与WEST_DOB_Y（出生年份）等变量。两个文件均使用Python的pyreadstat库实际读取。本章所有统计量、检验结果与图形均由实际运行的程序计算生成，不使用任何估计值或推测值。</w:t>
      </w:r>
    </w:p>
    <w:p>
      <w:pPr>
        <w:pStyle w:val="b2"/>
        <w:outlineLvl w:val="1"/>
        <w:keepNext/>
      </w:pPr>
      <w:r>
        <w:rPr>
          <w:rFonts w:eastAsia="黑体" w:ascii="Times New Roman" w:hAnsi="Times New Roman"/>
          <w:b/>
          <w:sz w:val="28"/>
        </w:rPr>
        <w:t>数据基础与研究总体的确定</w:t>
      </w:r>
    </w:p>
    <w:p>
      <w:pPr>
        <w:pStyle w:val="b5"/>
      </w:pPr>
      <w:r>
        <w:t>两个数据文件首先按个体编号连接。pexam_00文件共包含110449条身高记录，mast_pub_12文件共包含39674条人口学记录且个体编号无重复，因此连接采用“多条身高记录对应一条人口学记录”的多对一方式。实际连接结果显示，110449条身高记录全部匹配到人口学信息，匹配率为100%，即不存在因编号无法匹配而被丢弃的身高记录。换言之，两个文件按个体编号成功匹配，110449条身高记录的ID匹配率为100%；年龄依据WAVE−WEST_DOB_Y计算，性别由GENDER变量确定。</w:t>
      </w:r>
    </w:p>
    <w:p>
      <w:pPr>
        <w:pStyle w:val="b5"/>
      </w:pPr>
      <w:r>
        <w:t>年龄由调查年份减去出生年份得到，即AGE=WAVE−WEST_DOB_Y。需要说明的是，由于CHNS公开文件只提供出生年份而不提供具体出生日期，这样得到的年龄是近似周岁，与按出生日期精确计算的周岁最多可能相差约1岁，本文在解释20～24岁这一年龄段时考虑了这一近似性。性别变量GENDER的取值为1表示男性、2表示女性。</w:t>
      </w:r>
    </w:p>
    <w:p>
      <w:pPr>
        <w:pStyle w:val="b5"/>
      </w:pPr>
      <w:r>
        <w:t>研究总体的确定遵循第4章的原则。性别与年龄会显著改变身高的平均水平，如果把不同性别、不同年龄的人混在一起去拟合一条正态曲线，混合后的分布未必还能用单一正态分布很好地描述。因此，本文把正式研究的总体明确限定为：2011年CHNS调查中年龄为20～24岁的成年人，并且按性别分别进行分析。本文选用2011年调查数据，是因为本研究实际使用的公开数据文件包含该调查轮次，并具备本文分析所需的人体测量与人口学变量；选择20～24岁，是因为该年龄段身高已基本停止增长，组内年龄差异对身高的影响较小，同时该年龄段可与《第五次国民体质监测公报》中20～24岁组的官方数据作量级上的对照（两者属于不同层次的数据，第7章将专门说明）。</w:t>
      </w:r>
    </w:p>
    <w:p>
      <w:pPr>
        <w:pStyle w:val="b5"/>
      </w:pPr>
      <w:r>
        <w:t>这里还应说明本文的一次探索性分析过程。在取得人口学文件之前，本文曾单独对pexam_00文件中的全部身高记录作过探索性统计：在剔除缺失身高并按100～220厘米筛选后得到99080条记录，其均值为156.2550厘米、标准差为14.8212厘米、偏度为-1.5350，呈明显左偏。这一探索性结果提示：不分年龄、不分性别的人体测量混合样本不宜用单一正态分布描述，这正是本文进一步引入人口学文件、把研究总体限定为上述分性别、分年龄样本的直接原因。必须强调，上述99080条记录的统计结果仅用于说明本文的研究思路，不作为本文的正式实证结论；本章以下报告的全部结果都来自2011年20～24岁样本。</w:t>
      </w:r>
    </w:p>
    <w:p>
      <w:pPr>
        <w:pStyle w:val="b2"/>
        <w:outlineLvl w:val="1"/>
        <w:keepNext/>
      </w:pPr>
      <w:r>
        <w:rPr>
          <w:rFonts w:eastAsia="黑体" w:ascii="Times New Roman" w:hAnsi="Times New Roman"/>
          <w:b/>
          <w:sz w:val="28"/>
        </w:rPr>
        <w:t>数据清洗与最终样本</w:t>
      </w:r>
    </w:p>
    <w:p>
      <w:pPr>
        <w:pStyle w:val="b5"/>
      </w:pPr>
      <w:r>
        <w:t>按上述总体定义，从连接后的数据中筛选WAVE等于2011且20≤AGE≤24的记录，共得到518条原始记录，其中男性246条、女性272条。</w:t>
      </w:r>
    </w:p>
    <w:p>
      <w:pPr>
        <w:pStyle w:val="b5"/>
      </w:pPr>
      <w:r>
        <w:t>清洗规则只有两条：第一，剔除HEIGHT字段缺失的记录；第二，保留身高取值在100～220厘米之间的记录。必须明确说明，100～220厘米是本文为剔除明显异常值而自行制定的数据质量筛选规则，它既不是CHNS官方的清洗规定，也不是“中国成年人正常身高范围”的定义，只是为保证后续统计计算合理而设定的技术性条件。</w:t>
      </w:r>
    </w:p>
    <w:p>
      <w:pPr>
        <w:pStyle w:val="b5"/>
      </w:pPr>
      <w:r>
        <w:t>实际清洗结果为：518条原始记录中，HEIGHT缺失45条；身高小于100厘米的记录为0条，大于220厘米的记录也为0条。也就是说，最终被排除的45条记录全部是因为身高字段缺失，没有任何记录是因为取值超出100～220厘米的范围而被删除。剔除后得到最终有效样本473条，其中男性220条、女性253条。本文不对有效样本内的任何观测值作“异常值删除”，所有观测值（包括女性样本中最小的134.9厘米）都保留在分析中。</w:t>
      </w:r>
    </w:p>
    <w:p>
      <w:pPr>
        <w:pStyle w:val="b2"/>
        <w:outlineLvl w:val="1"/>
        <w:keepNext/>
      </w:pPr>
      <w:r>
        <w:rPr>
          <w:rFonts w:eastAsia="黑体" w:ascii="Times New Roman" w:hAnsi="Times New Roman"/>
          <w:b/>
          <w:sz w:val="28"/>
        </w:rPr>
        <w:t>描述统计结果</w:t>
      </w:r>
    </w:p>
    <w:p>
      <w:pPr>
        <w:pStyle w:val="b5"/>
      </w:pPr>
      <w:r>
        <w:t>对最终样本按性别分别计算课程中常用的描述统计量。样本均值、样本方差与样本标准差分别为</w:t>
      </w:r>
    </w:p>
    <w:p>
      <w:pPr>
        <w:tabs>
          <w:tab w:val="right" w:pos="8504"/>
        </w:tabs>
        <w:spacing w:before="6" w:after="6" w:line="312" w:lineRule="auto"/>
        <w:ind w:left="567"/>
      </w:pPr>
      <m:oMathPara>
        <m:oMath>
          <m:bar>
            <m:barPr>
              <m:pos m:val="top"/>
            </m:barPr>
            <m:e>
              <m:r>
                <w:rPr>
                  <w:rFonts w:ascii="Cambria Math" w:hAnsi="Cambria Math" w:eastAsia="Cambria Math"/>
                </w:rPr>
                <m:t xml:space="preserve">x</m:t>
              </m:r>
            </m:e>
          </m:bar>
          <m:r>
            <w:rPr>
              <w:rFonts w:ascii="Cambria Math" w:hAnsi="Cambria Math" w:eastAsia="Cambria Math"/>
            </w:rPr>
            <m:t xml:space="preserve">=</m:t>
          </m:r>
          <m:f>
            <m:fPr>
              <m:type m:val="bar"/>
            </m:fPr>
            <m:num>
              <m:r>
                <w:rPr>
                  <w:rFonts w:ascii="Cambria Math" w:hAnsi="Cambria Math" w:eastAsia="Cambria Math"/>
                </w:rPr>
                <m:t xml:space="preserve">1</m:t>
              </m:r>
            </m:num>
            <m:den>
              <m:r>
                <w:rPr>
                  <w:rFonts w:ascii="Cambria Math" w:hAnsi="Cambria Math" w:eastAsia="Cambria Math"/>
                </w:rPr>
                <m:t xml:space="preserve">n</m:t>
              </m:r>
            </m:den>
          </m:f>
          <m:nary>
            <m:naryPr>
              <m:chr m:val="∑"/>
              <m:limLoc m:val="subSup"/>
            </m:naryPr>
            <m:sub>
              <m:r>
                <w:rPr>
                  <w:rFonts w:ascii="Cambria Math" w:hAnsi="Cambria Math" w:eastAsia="Cambria Math"/>
                </w:rPr>
                <m:t xml:space="preserve">i</m:t>
              </m:r>
              <m:r>
                <w:rPr>
                  <w:rFonts w:ascii="Cambria Math" w:hAnsi="Cambria Math" w:eastAsia="Cambria Math"/>
                </w:rPr>
                <m:t xml:space="preserve">=</m:t>
              </m:r>
              <m:r>
                <w:rPr>
                  <w:rFonts w:ascii="Cambria Math" w:hAnsi="Cambria Math" w:eastAsia="Cambria Math"/>
                </w:rPr>
                <m:t xml:space="preserve">1</m:t>
              </m:r>
            </m:sub>
            <m:sup>
              <m:r>
                <w:rPr>
                  <w:rFonts w:ascii="Cambria Math" w:hAnsi="Cambria Math" w:eastAsia="Cambria Math"/>
                </w:rPr>
                <m:t xml:space="preserve">n</m:t>
              </m:r>
            </m:sup>
            <m:e>
              <m:sSub>
                <m:e>
                  <m:r>
                    <w:rPr>
                      <w:rFonts w:ascii="Cambria Math" w:hAnsi="Cambria Math" w:eastAsia="Cambria Math"/>
                    </w:rPr>
                    <m:t xml:space="preserve">x</m:t>
                  </m:r>
                </m:e>
                <m:sub>
                  <m:r>
                    <w:rPr>
                      <w:rFonts w:ascii="Cambria Math" w:hAnsi="Cambria Math" w:eastAsia="Cambria Math"/>
                    </w:rPr>
                    <m:t xml:space="preserve">i</m:t>
                  </m:r>
                </m:sub>
              </m:sSub>
            </m:e>
          </m:nary>
        </m:oMath>
      </m:oMathPara>
      <w:r>
        <w:tab/>
      </w:r>
      <w:r>
        <w:rPr>
          <w:rFonts w:ascii="Times New Roman" w:hAnsi="Times New Roman"/>
          <w:sz w:val="24"/>
        </w:rPr>
        <w:t>(5-1)</w:t>
      </w:r>
    </w:p>
    <w:p>
      <w:pPr>
        <w:tabs>
          <w:tab w:val="right" w:pos="8504"/>
        </w:tabs>
        <w:spacing w:before="6" w:after="6" w:line="312" w:lineRule="auto"/>
        <w:ind w:left="567"/>
      </w:pPr>
      <m:oMathPara>
        <m:oMath>
          <m:sSup>
            <m:e>
              <m:r>
                <w:rPr>
                  <w:rFonts w:ascii="Cambria Math" w:hAnsi="Cambria Math" w:eastAsia="Cambria Math"/>
                </w:rPr>
                <m:t xml:space="preserve">s</m:t>
              </m:r>
            </m:e>
            <m:sup>
              <m:r>
                <w:rPr>
                  <w:rFonts w:ascii="Cambria Math" w:hAnsi="Cambria Math" w:eastAsia="Cambria Math"/>
                </w:rPr>
                <m:t xml:space="preserve">2</m:t>
              </m:r>
            </m:sup>
          </m:sSup>
          <m:r>
            <w:rPr>
              <w:rFonts w:ascii="Cambria Math" w:hAnsi="Cambria Math" w:eastAsia="Cambria Math"/>
            </w:rPr>
            <m:t xml:space="preserve">=</m:t>
          </m:r>
          <m:f>
            <m:fPr>
              <m:type m:val="bar"/>
            </m:fPr>
            <m:num>
              <m:r>
                <w:rPr>
                  <w:rFonts w:ascii="Cambria Math" w:hAnsi="Cambria Math" w:eastAsia="Cambria Math"/>
                </w:rPr>
                <m:t xml:space="preserve">1</m:t>
              </m:r>
            </m:num>
            <m:den>
              <m:d>
                <m:dPr>
                  <m:begChr m:val="("/>
                  <m:endChr m:val=")"/>
                </m:dPr>
                <m:e>
                  <m:r>
                    <w:rPr>
                      <w:rFonts w:ascii="Cambria Math" w:hAnsi="Cambria Math" w:eastAsia="Cambria Math"/>
                    </w:rPr>
                    <m:t xml:space="preserve">n</m:t>
                  </m:r>
                  <m:r>
                    <w:rPr>
                      <w:rFonts w:ascii="Cambria Math" w:hAnsi="Cambria Math" w:eastAsia="Cambria Math"/>
                    </w:rPr>
                    <m:t xml:space="preserve">−</m:t>
                  </m:r>
                  <m:r>
                    <w:rPr>
                      <w:rFonts w:ascii="Cambria Math" w:hAnsi="Cambria Math" w:eastAsia="Cambria Math"/>
                    </w:rPr>
                    <m:t xml:space="preserve">1</m:t>
                  </m:r>
                </m:e>
              </m:d>
            </m:den>
          </m:f>
          <m:nary>
            <m:naryPr>
              <m:chr m:val="∑"/>
              <m:limLoc m:val="subSup"/>
            </m:naryPr>
            <m:sub>
              <m:r>
                <w:rPr>
                  <w:rFonts w:ascii="Cambria Math" w:hAnsi="Cambria Math" w:eastAsia="Cambria Math"/>
                </w:rPr>
                <m:t xml:space="preserve">i</m:t>
              </m:r>
              <m:r>
                <w:rPr>
                  <w:rFonts w:ascii="Cambria Math" w:hAnsi="Cambria Math" w:eastAsia="Cambria Math"/>
                </w:rPr>
                <m:t xml:space="preserve">=</m:t>
              </m:r>
              <m:r>
                <w:rPr>
                  <w:rFonts w:ascii="Cambria Math" w:hAnsi="Cambria Math" w:eastAsia="Cambria Math"/>
                </w:rPr>
                <m:t xml:space="preserve">1</m:t>
              </m:r>
            </m:sub>
            <m:sup>
              <m:r>
                <w:rPr>
                  <w:rFonts w:ascii="Cambria Math" w:hAnsi="Cambria Math" w:eastAsia="Cambria Math"/>
                </w:rPr>
                <m:t xml:space="preserve">n</m:t>
              </m:r>
            </m:sup>
            <m:e>
              <m:sSup>
                <m:e>
                  <m:d>
                    <m:dPr>
                      <m:begChr m:val="("/>
                      <m:endChr m:val=")"/>
                    </m:dPr>
                    <m:e>
                      <m:sSub>
                        <m:e>
                          <m:r>
                            <w:rPr>
                              <w:rFonts w:ascii="Cambria Math" w:hAnsi="Cambria Math" w:eastAsia="Cambria Math"/>
                            </w:rPr>
                            <m:t xml:space="preserve">x</m:t>
                          </m:r>
                        </m:e>
                        <m:sub>
                          <m:r>
                            <w:rPr>
                              <w:rFonts w:ascii="Cambria Math" w:hAnsi="Cambria Math" w:eastAsia="Cambria Math"/>
                            </w:rPr>
                            <m:t xml:space="preserve">i</m:t>
                          </m:r>
                        </m:sub>
                      </m:sSub>
                      <m:r>
                        <w:rPr>
                          <w:rFonts w:ascii="Cambria Math" w:hAnsi="Cambria Math" w:eastAsia="Cambria Math"/>
                        </w:rPr>
                        <m:t xml:space="preserve">−</m:t>
                      </m:r>
                      <m:bar>
                        <m:barPr>
                          <m:pos m:val="top"/>
                        </m:barPr>
                        <m:e>
                          <m:r>
                            <w:rPr>
                              <w:rFonts w:ascii="Cambria Math" w:hAnsi="Cambria Math" w:eastAsia="Cambria Math"/>
                            </w:rPr>
                            <m:t xml:space="preserve">x</m:t>
                          </m:r>
                        </m:e>
                      </m:bar>
                    </m:e>
                  </m:d>
                </m:e>
                <m:sup>
                  <m:r>
                    <w:rPr>
                      <w:rFonts w:ascii="Cambria Math" w:hAnsi="Cambria Math" w:eastAsia="Cambria Math"/>
                    </w:rPr>
                    <m:t xml:space="preserve">2</m:t>
                  </m:r>
                </m:sup>
              </m:sSup>
            </m:e>
          </m:nary>
        </m:oMath>
      </m:oMathPara>
      <w:r>
        <w:tab/>
      </w:r>
      <w:r>
        <w:rPr>
          <w:rFonts w:ascii="Times New Roman" w:hAnsi="Times New Roman"/>
          <w:sz w:val="24"/>
        </w:rPr>
        <w:t>(5-2)</w:t>
      </w:r>
    </w:p>
    <w:p>
      <w:pPr>
        <w:tabs>
          <w:tab w:val="right" w:pos="8504"/>
        </w:tabs>
        <w:spacing w:before="6" w:after="6" w:line="312" w:lineRule="auto"/>
        <w:ind w:left="567"/>
      </w:pPr>
      <m:oMathPara>
        <m:oMath>
          <m:r>
            <w:rPr>
              <w:rFonts w:ascii="Cambria Math" w:hAnsi="Cambria Math" w:eastAsia="Cambria Math"/>
            </w:rPr>
            <m:t xml:space="preserve">s</m:t>
          </m:r>
          <m:r>
            <w:rPr>
              <w:rFonts w:ascii="Cambria Math" w:hAnsi="Cambria Math" w:eastAsia="Cambria Math"/>
            </w:rPr>
            <m:t xml:space="preserve">=</m:t>
          </m:r>
          <m:rad>
            <m:radPr>
              <m:degHide m:val="1"/>
            </m:radPr>
            <m:deg/>
            <m:e>
              <m:sSup>
                <m:e>
                  <m:r>
                    <w:rPr>
                      <w:rFonts w:ascii="Cambria Math" w:hAnsi="Cambria Math" w:eastAsia="Cambria Math"/>
                    </w:rPr>
                    <m:t xml:space="preserve">s</m:t>
                  </m:r>
                </m:e>
                <m:sup>
                  <m:r>
                    <w:rPr>
                      <w:rFonts w:ascii="Cambria Math" w:hAnsi="Cambria Math" w:eastAsia="Cambria Math"/>
                    </w:rPr>
                    <m:t xml:space="preserve">2</m:t>
                  </m:r>
                </m:sup>
              </m:sSup>
            </m:e>
          </m:rad>
        </m:oMath>
      </m:oMathPara>
      <w:r>
        <w:tab/>
      </w:r>
      <w:r>
        <w:rPr>
          <w:rFonts w:ascii="Times New Roman" w:hAnsi="Times New Roman"/>
          <w:sz w:val="24"/>
        </w:rPr>
        <w:t>(5-3)</w:t>
      </w:r>
    </w:p>
    <w:p>
      <w:pPr>
        <w:pStyle w:val="b5"/>
      </w:pPr>
      <w:r>
        <w:t>偏度与超额峰度则采用</w:t>
      </w:r>
    </w:p>
    <w:p>
      <w:pPr>
        <w:tabs>
          <w:tab w:val="right" w:pos="8504"/>
        </w:tabs>
        <w:spacing w:before="6" w:after="6" w:line="312" w:lineRule="auto"/>
        <w:ind w:left="567"/>
      </w:pPr>
      <m:oMathPara>
        <m:oMath>
          <m:sSub>
            <m:e>
              <m:r>
                <w:rPr>
                  <w:rFonts w:ascii="Cambria Math" w:hAnsi="Cambria Math" w:eastAsia="Cambria Math"/>
                </w:rPr>
                <m:t xml:space="preserve">g</m:t>
              </m:r>
            </m:e>
            <m:sub>
              <m:r>
                <w:rPr>
                  <w:rFonts w:ascii="Cambria Math" w:hAnsi="Cambria Math" w:eastAsia="Cambria Math"/>
                </w:rPr>
                <m:t xml:space="preserve">1</m:t>
              </m:r>
            </m:sub>
          </m:sSub>
          <m:r>
            <w:rPr>
              <w:rFonts w:ascii="Cambria Math" w:hAnsi="Cambria Math" w:eastAsia="Cambria Math"/>
            </w:rPr>
            <m:t xml:space="preserve">=</m:t>
          </m:r>
          <m:f>
            <m:fPr>
              <m:type m:val="bar"/>
            </m:fPr>
            <m:num>
              <m:f>
                <m:fPr>
                  <m:type m:val="bar"/>
                </m:fPr>
                <m:num>
                  <m:r>
                    <w:rPr>
                      <w:rFonts w:ascii="Cambria Math" w:hAnsi="Cambria Math" w:eastAsia="Cambria Math"/>
                    </w:rPr>
                    <m:t xml:space="preserve">1</m:t>
                  </m:r>
                </m:num>
                <m:den>
                  <m:r>
                    <w:rPr>
                      <w:rFonts w:ascii="Cambria Math" w:hAnsi="Cambria Math" w:eastAsia="Cambria Math"/>
                    </w:rPr>
                    <m:t xml:space="preserve">n</m:t>
                  </m:r>
                </m:den>
              </m:f>
              <m:nary>
                <m:naryPr>
                  <m:chr m:val="∑"/>
                  <m:limLoc m:val="subSup"/>
                </m:naryPr>
                <m:sub>
                  <m:r>
                    <w:rPr>
                      <w:rFonts w:ascii="Cambria Math" w:hAnsi="Cambria Math" w:eastAsia="Cambria Math"/>
                    </w:rPr>
                    <m:t xml:space="preserve">i</m:t>
                  </m:r>
                  <m:r>
                    <w:rPr>
                      <w:rFonts w:ascii="Cambria Math" w:hAnsi="Cambria Math" w:eastAsia="Cambria Math"/>
                    </w:rPr>
                    <m:t xml:space="preserve">=</m:t>
                  </m:r>
                  <m:r>
                    <w:rPr>
                      <w:rFonts w:ascii="Cambria Math" w:hAnsi="Cambria Math" w:eastAsia="Cambria Math"/>
                    </w:rPr>
                    <m:t xml:space="preserve">1</m:t>
                  </m:r>
                </m:sub>
                <m:sup>
                  <m:r>
                    <w:rPr>
                      <w:rFonts w:ascii="Cambria Math" w:hAnsi="Cambria Math" w:eastAsia="Cambria Math"/>
                    </w:rPr>
                    <m:t xml:space="preserve">n</m:t>
                  </m:r>
                </m:sup>
                <m:e>
                  <m:sSup>
                    <m:e>
                      <m:d>
                        <m:dPr>
                          <m:begChr m:val="("/>
                          <m:endChr m:val=")"/>
                        </m:dPr>
                        <m:e>
                          <m:sSub>
                            <m:e>
                              <m:r>
                                <w:rPr>
                                  <w:rFonts w:ascii="Cambria Math" w:hAnsi="Cambria Math" w:eastAsia="Cambria Math"/>
                                </w:rPr>
                                <m:t xml:space="preserve">x</m:t>
                              </m:r>
                            </m:e>
                            <m:sub>
                              <m:r>
                                <w:rPr>
                                  <w:rFonts w:ascii="Cambria Math" w:hAnsi="Cambria Math" w:eastAsia="Cambria Math"/>
                                </w:rPr>
                                <m:t xml:space="preserve">i</m:t>
                              </m:r>
                            </m:sub>
                          </m:sSub>
                          <m:r>
                            <w:rPr>
                              <w:rFonts w:ascii="Cambria Math" w:hAnsi="Cambria Math" w:eastAsia="Cambria Math"/>
                            </w:rPr>
                            <m:t xml:space="preserve">−</m:t>
                          </m:r>
                          <m:bar>
                            <m:barPr>
                              <m:pos m:val="top"/>
                            </m:barPr>
                            <m:e>
                              <m:r>
                                <w:rPr>
                                  <w:rFonts w:ascii="Cambria Math" w:hAnsi="Cambria Math" w:eastAsia="Cambria Math"/>
                                </w:rPr>
                                <m:t xml:space="preserve">x</m:t>
                              </m:r>
                            </m:e>
                          </m:bar>
                        </m:e>
                      </m:d>
                    </m:e>
                    <m:sup>
                      <m:r>
                        <w:rPr>
                          <w:rFonts w:ascii="Cambria Math" w:hAnsi="Cambria Math" w:eastAsia="Cambria Math"/>
                        </w:rPr>
                        <m:t xml:space="preserve">3</m:t>
                      </m:r>
                    </m:sup>
                  </m:sSup>
                </m:e>
              </m:nary>
            </m:num>
            <m:den>
              <m:sSup>
                <m:e>
                  <m:r>
                    <w:rPr>
                      <w:rFonts w:ascii="Cambria Math" w:hAnsi="Cambria Math" w:eastAsia="Cambria Math"/>
                    </w:rPr>
                    <m:t xml:space="preserve">s</m:t>
                  </m:r>
                </m:e>
                <m:sup>
                  <m:r>
                    <w:rPr>
                      <w:rFonts w:ascii="Cambria Math" w:hAnsi="Cambria Math" w:eastAsia="Cambria Math"/>
                    </w:rPr>
                    <m:t xml:space="preserve">3</m:t>
                  </m:r>
                </m:sup>
              </m:sSup>
            </m:den>
          </m:f>
        </m:oMath>
      </m:oMathPara>
      <w:r>
        <w:tab/>
      </w:r>
      <w:r>
        <w:rPr>
          <w:rFonts w:ascii="Times New Roman" w:hAnsi="Times New Roman"/>
          <w:sz w:val="24"/>
        </w:rPr>
        <w:t>(5-4)</w:t>
      </w:r>
    </w:p>
    <w:p>
      <w:pPr>
        <w:tabs>
          <w:tab w:val="right" w:pos="8504"/>
        </w:tabs>
        <w:spacing w:before="6" w:after="6" w:line="312" w:lineRule="auto"/>
        <w:ind w:left="567"/>
      </w:pPr>
      <m:oMathPara>
        <m:oMath>
          <m:sSub>
            <m:e>
              <m:r>
                <w:rPr>
                  <w:rFonts w:ascii="Cambria Math" w:hAnsi="Cambria Math" w:eastAsia="Cambria Math"/>
                </w:rPr>
                <m:t xml:space="preserve">g</m:t>
              </m:r>
            </m:e>
            <m:sub>
              <m:r>
                <w:rPr>
                  <w:rFonts w:ascii="Cambria Math" w:hAnsi="Cambria Math" w:eastAsia="Cambria Math"/>
                </w:rPr>
                <m:t xml:space="preserve">2</m:t>
              </m:r>
            </m:sub>
          </m:sSub>
          <m:r>
            <w:rPr>
              <w:rFonts w:ascii="Cambria Math" w:hAnsi="Cambria Math" w:eastAsia="Cambria Math"/>
            </w:rPr>
            <m:t xml:space="preserve">=</m:t>
          </m:r>
          <m:f>
            <m:fPr>
              <m:type m:val="bar"/>
            </m:fPr>
            <m:num>
              <m:f>
                <m:fPr>
                  <m:type m:val="bar"/>
                </m:fPr>
                <m:num>
                  <m:r>
                    <w:rPr>
                      <w:rFonts w:ascii="Cambria Math" w:hAnsi="Cambria Math" w:eastAsia="Cambria Math"/>
                    </w:rPr>
                    <m:t xml:space="preserve">1</m:t>
                  </m:r>
                </m:num>
                <m:den>
                  <m:r>
                    <w:rPr>
                      <w:rFonts w:ascii="Cambria Math" w:hAnsi="Cambria Math" w:eastAsia="Cambria Math"/>
                    </w:rPr>
                    <m:t xml:space="preserve">n</m:t>
                  </m:r>
                </m:den>
              </m:f>
              <m:nary>
                <m:naryPr>
                  <m:chr m:val="∑"/>
                  <m:limLoc m:val="subSup"/>
                </m:naryPr>
                <m:sub>
                  <m:r>
                    <w:rPr>
                      <w:rFonts w:ascii="Cambria Math" w:hAnsi="Cambria Math" w:eastAsia="Cambria Math"/>
                    </w:rPr>
                    <m:t xml:space="preserve">i</m:t>
                  </m:r>
                  <m:r>
                    <w:rPr>
                      <w:rFonts w:ascii="Cambria Math" w:hAnsi="Cambria Math" w:eastAsia="Cambria Math"/>
                    </w:rPr>
                    <m:t xml:space="preserve">=</m:t>
                  </m:r>
                  <m:r>
                    <w:rPr>
                      <w:rFonts w:ascii="Cambria Math" w:hAnsi="Cambria Math" w:eastAsia="Cambria Math"/>
                    </w:rPr>
                    <m:t xml:space="preserve">1</m:t>
                  </m:r>
                </m:sub>
                <m:sup>
                  <m:r>
                    <w:rPr>
                      <w:rFonts w:ascii="Cambria Math" w:hAnsi="Cambria Math" w:eastAsia="Cambria Math"/>
                    </w:rPr>
                    <m:t xml:space="preserve">n</m:t>
                  </m:r>
                </m:sup>
                <m:e>
                  <m:sSup>
                    <m:e>
                      <m:d>
                        <m:dPr>
                          <m:begChr m:val="("/>
                          <m:endChr m:val=")"/>
                        </m:dPr>
                        <m:e>
                          <m:sSub>
                            <m:e>
                              <m:r>
                                <w:rPr>
                                  <w:rFonts w:ascii="Cambria Math" w:hAnsi="Cambria Math" w:eastAsia="Cambria Math"/>
                                </w:rPr>
                                <m:t xml:space="preserve">x</m:t>
                              </m:r>
                            </m:e>
                            <m:sub>
                              <m:r>
                                <w:rPr>
                                  <w:rFonts w:ascii="Cambria Math" w:hAnsi="Cambria Math" w:eastAsia="Cambria Math"/>
                                </w:rPr>
                                <m:t xml:space="preserve">i</m:t>
                              </m:r>
                            </m:sub>
                          </m:sSub>
                          <m:r>
                            <w:rPr>
                              <w:rFonts w:ascii="Cambria Math" w:hAnsi="Cambria Math" w:eastAsia="Cambria Math"/>
                            </w:rPr>
                            <m:t xml:space="preserve">−</m:t>
                          </m:r>
                          <m:bar>
                            <m:barPr>
                              <m:pos m:val="top"/>
                            </m:barPr>
                            <m:e>
                              <m:r>
                                <w:rPr>
                                  <w:rFonts w:ascii="Cambria Math" w:hAnsi="Cambria Math" w:eastAsia="Cambria Math"/>
                                </w:rPr>
                                <m:t xml:space="preserve">x</m:t>
                              </m:r>
                            </m:e>
                          </m:bar>
                        </m:e>
                      </m:d>
                    </m:e>
                    <m:sup>
                      <m:r>
                        <w:rPr>
                          <w:rFonts w:ascii="Cambria Math" w:hAnsi="Cambria Math" w:eastAsia="Cambria Math"/>
                        </w:rPr>
                        <m:t xml:space="preserve">4</m:t>
                      </m:r>
                    </m:sup>
                  </m:sSup>
                </m:e>
              </m:nary>
            </m:num>
            <m:den>
              <m:sSup>
                <m:e>
                  <m:r>
                    <w:rPr>
                      <w:rFonts w:ascii="Cambria Math" w:hAnsi="Cambria Math" w:eastAsia="Cambria Math"/>
                    </w:rPr>
                    <m:t xml:space="preserve">s</m:t>
                  </m:r>
                </m:e>
                <m:sup>
                  <m:r>
                    <w:rPr>
                      <w:rFonts w:ascii="Cambria Math" w:hAnsi="Cambria Math" w:eastAsia="Cambria Math"/>
                    </w:rPr>
                    <m:t xml:space="preserve">4</m:t>
                  </m:r>
                </m:sup>
              </m:sSup>
            </m:den>
          </m:f>
          <m:r>
            <w:rPr>
              <w:rFonts w:ascii="Cambria Math" w:hAnsi="Cambria Math" w:eastAsia="Cambria Math"/>
            </w:rPr>
            <m:t xml:space="preserve">−</m:t>
          </m:r>
          <m:r>
            <w:rPr>
              <w:rFonts w:ascii="Cambria Math" w:hAnsi="Cambria Math" w:eastAsia="Cambria Math"/>
            </w:rPr>
            <m:t xml:space="preserve">3</m:t>
          </m:r>
        </m:oMath>
      </m:oMathPara>
      <w:r>
        <w:tab/>
      </w:r>
      <w:r>
        <w:rPr>
          <w:rFonts w:ascii="Times New Roman" w:hAnsi="Times New Roman"/>
          <w:sz w:val="24"/>
        </w:rPr>
        <w:t>(5-5)</w:t>
      </w:r>
    </w:p>
    <w:p>
      <w:pPr>
        <w:pStyle w:val="b5"/>
      </w:pPr>
      <w:r>
        <w:t>其中偏度刻画分布的不对称程度，超额峰度刻画分布尾部相对于正态分布的厚重程度；正态分布的偏度与超额峰度都等于0。实际计算结果见表5-1。</w:t>
      </w:r>
    </w:p>
    <w:p>
      <w:pPr>
        <w:pStyle w:val="b9"/>
        <w:outlineLvl w:val="9"/>
      </w:pPr>
      <w:r>
        <w:t>表5-1 2011年CHNS 20～24岁成年人身高描述统计量</w:t>
      </w:r>
    </w:p>
    <w:tbl>
      <w:tblPr>
        <w:tblW w:type="auto" w:w="0"/>
        <w:jc w:val="center"/>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835"/>
        <w:gridCol w:w="2835"/>
        <w:gridCol w:w="2835"/>
      </w:tblGrid>
      <w:tr>
        <w:tc>
          <w:tcPr>
            <w:tcW w:type="dxa" w:w="2835"/>
            <w:tcBorders>
              <w:bottom w:val="single" w:sz="8" w:space="0" w:color="000000"/>
            </w:tcBorders>
          </w:tcPr>
          <w:p>
            <w:pPr>
              <w:jc w:val="center"/>
            </w:pPr>
            <w:r/>
            <w:r>
              <w:rPr>
                <w:rFonts w:eastAsia="宋体" w:ascii="Times New Roman" w:hAnsi="Times New Roman"/>
                <w:b/>
                <w:sz w:val="21"/>
              </w:rPr>
              <w:t>统计量</w:t>
            </w:r>
          </w:p>
        </w:tc>
        <w:tc>
          <w:tcPr>
            <w:tcW w:type="dxa" w:w="2835"/>
            <w:tcBorders>
              <w:bottom w:val="single" w:sz="8" w:space="0" w:color="000000"/>
            </w:tcBorders>
          </w:tcPr>
          <w:p>
            <w:pPr>
              <w:jc w:val="center"/>
            </w:pPr>
            <w:r/>
            <w:r>
              <w:rPr>
                <w:rFonts w:eastAsia="宋体" w:ascii="Times New Roman" w:hAnsi="Times New Roman"/>
                <w:b/>
                <w:sz w:val="21"/>
              </w:rPr>
              <w:t>男性</w:t>
            </w:r>
          </w:p>
        </w:tc>
        <w:tc>
          <w:tcPr>
            <w:tcW w:type="dxa" w:w="2835"/>
            <w:tcBorders>
              <w:bottom w:val="single" w:sz="8" w:space="0" w:color="000000"/>
            </w:tcBorders>
          </w:tcPr>
          <w:p>
            <w:pPr>
              <w:jc w:val="center"/>
            </w:pPr>
            <w:r/>
            <w:r>
              <w:rPr>
                <w:rFonts w:eastAsia="宋体" w:ascii="Times New Roman" w:hAnsi="Times New Roman"/>
                <w:b/>
                <w:sz w:val="21"/>
              </w:rPr>
              <w:t>女性</w:t>
            </w:r>
          </w:p>
        </w:tc>
      </w:tr>
      <w:tr>
        <w:tc>
          <w:tcPr>
            <w:tcW w:type="dxa" w:w="2835"/>
          </w:tcPr>
          <w:p>
            <w:pPr>
              <w:jc w:val="center"/>
            </w:pPr>
            <w:r/>
            <w:r>
              <w:rPr>
                <w:rFonts w:eastAsia="宋体" w:ascii="Times New Roman" w:hAnsi="Times New Roman"/>
                <w:b w:val="0"/>
                <w:sz w:val="21"/>
              </w:rPr>
              <w:t>样本量 n</w:t>
            </w:r>
          </w:p>
        </w:tc>
        <w:tc>
          <w:tcPr>
            <w:tcW w:type="dxa" w:w="2835"/>
          </w:tcPr>
          <w:p>
            <w:pPr>
              <w:jc w:val="center"/>
            </w:pPr>
            <w:r/>
            <w:r>
              <w:rPr>
                <w:rFonts w:eastAsia="宋体" w:ascii="Times New Roman" w:hAnsi="Times New Roman"/>
                <w:b w:val="0"/>
                <w:sz w:val="21"/>
              </w:rPr>
              <w:t>220</w:t>
            </w:r>
          </w:p>
        </w:tc>
        <w:tc>
          <w:tcPr>
            <w:tcW w:type="dxa" w:w="2835"/>
          </w:tcPr>
          <w:p>
            <w:pPr>
              <w:jc w:val="center"/>
            </w:pPr>
            <w:r/>
            <w:r>
              <w:rPr>
                <w:rFonts w:eastAsia="宋体" w:ascii="Times New Roman" w:hAnsi="Times New Roman"/>
                <w:b w:val="0"/>
                <w:sz w:val="21"/>
              </w:rPr>
              <w:t>253</w:t>
            </w:r>
          </w:p>
        </w:tc>
      </w:tr>
      <w:tr>
        <w:tc>
          <w:tcPr>
            <w:tcW w:type="dxa" w:w="2835"/>
          </w:tcPr>
          <w:p>
            <w:pPr>
              <w:jc w:val="center"/>
            </w:pPr>
            <w:r/>
            <w:r>
              <w:rPr>
                <w:rFonts w:eastAsia="宋体" w:ascii="Times New Roman" w:hAnsi="Times New Roman"/>
                <w:b w:val="0"/>
                <w:sz w:val="21"/>
              </w:rPr>
              <w:t>均值（厘米）</w:t>
            </w:r>
          </w:p>
        </w:tc>
        <w:tc>
          <w:tcPr>
            <w:tcW w:type="dxa" w:w="2835"/>
          </w:tcPr>
          <w:p>
            <w:pPr>
              <w:jc w:val="center"/>
            </w:pPr>
            <w:r/>
            <w:r>
              <w:rPr>
                <w:rFonts w:eastAsia="宋体" w:ascii="Times New Roman" w:hAnsi="Times New Roman"/>
                <w:b w:val="0"/>
                <w:sz w:val="21"/>
              </w:rPr>
              <w:t>171.5614</w:t>
            </w:r>
          </w:p>
        </w:tc>
        <w:tc>
          <w:tcPr>
            <w:tcW w:type="dxa" w:w="2835"/>
          </w:tcPr>
          <w:p>
            <w:pPr>
              <w:jc w:val="center"/>
            </w:pPr>
            <w:r/>
            <w:r>
              <w:rPr>
                <w:rFonts w:eastAsia="宋体" w:ascii="Times New Roman" w:hAnsi="Times New Roman"/>
                <w:b w:val="0"/>
                <w:sz w:val="21"/>
              </w:rPr>
              <w:t>159.5917</w:t>
            </w:r>
          </w:p>
        </w:tc>
      </w:tr>
      <w:tr>
        <w:tc>
          <w:tcPr>
            <w:tcW w:type="dxa" w:w="2835"/>
          </w:tcPr>
          <w:p>
            <w:pPr>
              <w:jc w:val="center"/>
            </w:pPr>
            <w:r/>
            <w:r>
              <w:rPr>
                <w:rFonts w:eastAsia="宋体" w:ascii="Times New Roman" w:hAnsi="Times New Roman"/>
                <w:b w:val="0"/>
                <w:sz w:val="21"/>
              </w:rPr>
              <w:t>中位数（厘米）</w:t>
            </w:r>
          </w:p>
        </w:tc>
        <w:tc>
          <w:tcPr>
            <w:tcW w:type="dxa" w:w="2835"/>
          </w:tcPr>
          <w:p>
            <w:pPr>
              <w:jc w:val="center"/>
            </w:pPr>
            <w:r/>
            <w:r>
              <w:rPr>
                <w:rFonts w:eastAsia="宋体" w:ascii="Times New Roman" w:hAnsi="Times New Roman"/>
                <w:b w:val="0"/>
                <w:sz w:val="21"/>
              </w:rPr>
              <w:t>172.0000</w:t>
            </w:r>
          </w:p>
        </w:tc>
        <w:tc>
          <w:tcPr>
            <w:tcW w:type="dxa" w:w="2835"/>
          </w:tcPr>
          <w:p>
            <w:pPr>
              <w:jc w:val="center"/>
            </w:pPr>
            <w:r/>
            <w:r>
              <w:rPr>
                <w:rFonts w:eastAsia="宋体" w:ascii="Times New Roman" w:hAnsi="Times New Roman"/>
                <w:b w:val="0"/>
                <w:sz w:val="21"/>
              </w:rPr>
              <w:t>160.0000</w:t>
            </w:r>
          </w:p>
        </w:tc>
      </w:tr>
      <w:tr>
        <w:tc>
          <w:tcPr>
            <w:tcW w:type="dxa" w:w="2835"/>
          </w:tcPr>
          <w:p>
            <w:pPr>
              <w:jc w:val="center"/>
            </w:pPr>
            <w:r/>
            <w:r>
              <w:rPr>
                <w:rFonts w:eastAsia="宋体" w:ascii="Times New Roman" w:hAnsi="Times New Roman"/>
                <w:b w:val="0"/>
                <w:sz w:val="21"/>
              </w:rPr>
              <w:t>方差（平方厘米）</w:t>
            </w:r>
          </w:p>
        </w:tc>
        <w:tc>
          <w:tcPr>
            <w:tcW w:type="dxa" w:w="2835"/>
          </w:tcPr>
          <w:p>
            <w:pPr>
              <w:jc w:val="center"/>
            </w:pPr>
            <w:r/>
            <w:r>
              <w:rPr>
                <w:rFonts w:eastAsia="宋体" w:ascii="Times New Roman" w:hAnsi="Times New Roman"/>
                <w:b w:val="0"/>
                <w:sz w:val="21"/>
              </w:rPr>
              <w:t>46.5375</w:t>
            </w:r>
          </w:p>
        </w:tc>
        <w:tc>
          <w:tcPr>
            <w:tcW w:type="dxa" w:w="2835"/>
          </w:tcPr>
          <w:p>
            <w:pPr>
              <w:jc w:val="center"/>
            </w:pPr>
            <w:r/>
            <w:r>
              <w:rPr>
                <w:rFonts w:eastAsia="宋体" w:ascii="Times New Roman" w:hAnsi="Times New Roman"/>
                <w:b w:val="0"/>
                <w:sz w:val="21"/>
              </w:rPr>
              <w:t>36.9689</w:t>
            </w:r>
          </w:p>
        </w:tc>
      </w:tr>
      <w:tr>
        <w:tc>
          <w:tcPr>
            <w:tcW w:type="dxa" w:w="2835"/>
          </w:tcPr>
          <w:p>
            <w:pPr>
              <w:jc w:val="center"/>
            </w:pPr>
            <w:r/>
            <w:r>
              <w:rPr>
                <w:rFonts w:eastAsia="宋体" w:ascii="Times New Roman" w:hAnsi="Times New Roman"/>
                <w:b w:val="0"/>
                <w:sz w:val="21"/>
              </w:rPr>
              <w:t>标准差（厘米）</w:t>
            </w:r>
          </w:p>
        </w:tc>
        <w:tc>
          <w:tcPr>
            <w:tcW w:type="dxa" w:w="2835"/>
          </w:tcPr>
          <w:p>
            <w:pPr>
              <w:jc w:val="center"/>
            </w:pPr>
            <w:r/>
            <w:r>
              <w:rPr>
                <w:rFonts w:eastAsia="宋体" w:ascii="Times New Roman" w:hAnsi="Times New Roman"/>
                <w:b w:val="0"/>
                <w:sz w:val="21"/>
              </w:rPr>
              <w:t>6.8218</w:t>
            </w:r>
          </w:p>
        </w:tc>
        <w:tc>
          <w:tcPr>
            <w:tcW w:type="dxa" w:w="2835"/>
          </w:tcPr>
          <w:p>
            <w:pPr>
              <w:jc w:val="center"/>
            </w:pPr>
            <w:r/>
            <w:r>
              <w:rPr>
                <w:rFonts w:eastAsia="宋体" w:ascii="Times New Roman" w:hAnsi="Times New Roman"/>
                <w:b w:val="0"/>
                <w:sz w:val="21"/>
              </w:rPr>
              <w:t>6.0802</w:t>
            </w:r>
          </w:p>
        </w:tc>
      </w:tr>
      <w:tr>
        <w:tc>
          <w:tcPr>
            <w:tcW w:type="dxa" w:w="2835"/>
          </w:tcPr>
          <w:p>
            <w:pPr>
              <w:jc w:val="center"/>
            </w:pPr>
            <w:r/>
            <w:r>
              <w:rPr>
                <w:rFonts w:eastAsia="宋体" w:ascii="Times New Roman" w:hAnsi="Times New Roman"/>
                <w:b w:val="0"/>
                <w:sz w:val="21"/>
              </w:rPr>
              <w:t>偏度</w:t>
            </w:r>
          </w:p>
        </w:tc>
        <w:tc>
          <w:tcPr>
            <w:tcW w:type="dxa" w:w="2835"/>
          </w:tcPr>
          <w:p>
            <w:pPr>
              <w:jc w:val="center"/>
            </w:pPr>
            <w:r/>
            <w:r>
              <w:rPr>
                <w:rFonts w:eastAsia="宋体" w:ascii="Times New Roman" w:hAnsi="Times New Roman"/>
                <w:b w:val="0"/>
                <w:sz w:val="21"/>
              </w:rPr>
              <w:t>0.0107</w:t>
            </w:r>
          </w:p>
        </w:tc>
        <w:tc>
          <w:tcPr>
            <w:tcW w:type="dxa" w:w="2835"/>
          </w:tcPr>
          <w:p>
            <w:pPr>
              <w:jc w:val="center"/>
            </w:pPr>
            <w:r/>
            <w:r>
              <w:rPr>
                <w:rFonts w:eastAsia="宋体" w:ascii="Times New Roman" w:hAnsi="Times New Roman"/>
                <w:b w:val="0"/>
                <w:sz w:val="21"/>
              </w:rPr>
              <w:t>-0.3614</w:t>
            </w:r>
          </w:p>
        </w:tc>
      </w:tr>
      <w:tr>
        <w:tc>
          <w:tcPr>
            <w:tcW w:type="dxa" w:w="2835"/>
          </w:tcPr>
          <w:p>
            <w:pPr>
              <w:jc w:val="center"/>
            </w:pPr>
            <w:r/>
            <w:r>
              <w:rPr>
                <w:rFonts w:eastAsia="宋体" w:ascii="Times New Roman" w:hAnsi="Times New Roman"/>
                <w:b w:val="0"/>
                <w:sz w:val="21"/>
              </w:rPr>
              <w:t>超额峰度</w:t>
            </w:r>
          </w:p>
        </w:tc>
        <w:tc>
          <w:tcPr>
            <w:tcW w:type="dxa" w:w="2835"/>
          </w:tcPr>
          <w:p>
            <w:pPr>
              <w:jc w:val="center"/>
            </w:pPr>
            <w:r/>
            <w:r>
              <w:rPr>
                <w:rFonts w:eastAsia="宋体" w:ascii="Times New Roman" w:hAnsi="Times New Roman"/>
                <w:b w:val="0"/>
                <w:sz w:val="21"/>
              </w:rPr>
              <w:t>-0.0150</w:t>
            </w:r>
          </w:p>
        </w:tc>
        <w:tc>
          <w:tcPr>
            <w:tcW w:type="dxa" w:w="2835"/>
          </w:tcPr>
          <w:p>
            <w:pPr>
              <w:jc w:val="center"/>
            </w:pPr>
            <w:r/>
            <w:r>
              <w:rPr>
                <w:rFonts w:eastAsia="宋体" w:ascii="Times New Roman" w:hAnsi="Times New Roman"/>
                <w:b w:val="0"/>
                <w:sz w:val="21"/>
              </w:rPr>
              <w:t>0.5907</w:t>
            </w:r>
          </w:p>
        </w:tc>
      </w:tr>
      <w:tr>
        <w:tc>
          <w:tcPr>
            <w:tcW w:type="dxa" w:w="2835"/>
          </w:tcPr>
          <w:p>
            <w:pPr>
              <w:jc w:val="center"/>
            </w:pPr>
            <w:r/>
            <w:r>
              <w:rPr>
                <w:rFonts w:eastAsia="宋体" w:ascii="Times New Roman" w:hAnsi="Times New Roman"/>
                <w:b w:val="0"/>
                <w:sz w:val="21"/>
              </w:rPr>
              <w:t>最小值（厘米）</w:t>
            </w:r>
          </w:p>
        </w:tc>
        <w:tc>
          <w:tcPr>
            <w:tcW w:type="dxa" w:w="2835"/>
          </w:tcPr>
          <w:p>
            <w:pPr>
              <w:jc w:val="center"/>
            </w:pPr>
            <w:r/>
            <w:r>
              <w:rPr>
                <w:rFonts w:eastAsia="宋体" w:ascii="Times New Roman" w:hAnsi="Times New Roman"/>
                <w:b w:val="0"/>
                <w:sz w:val="21"/>
              </w:rPr>
              <w:t>155.0000</w:t>
            </w:r>
          </w:p>
        </w:tc>
        <w:tc>
          <w:tcPr>
            <w:tcW w:type="dxa" w:w="2835"/>
          </w:tcPr>
          <w:p>
            <w:pPr>
              <w:jc w:val="center"/>
            </w:pPr>
            <w:r/>
            <w:r>
              <w:rPr>
                <w:rFonts w:eastAsia="宋体" w:ascii="Times New Roman" w:hAnsi="Times New Roman"/>
                <w:b w:val="0"/>
                <w:sz w:val="21"/>
              </w:rPr>
              <w:t>134.9000</w:t>
            </w:r>
          </w:p>
        </w:tc>
      </w:tr>
      <w:tr>
        <w:tc>
          <w:tcPr>
            <w:tcW w:type="dxa" w:w="2835"/>
          </w:tcPr>
          <w:p>
            <w:pPr>
              <w:jc w:val="center"/>
            </w:pPr>
            <w:r/>
            <w:r>
              <w:rPr>
                <w:rFonts w:eastAsia="宋体" w:ascii="Times New Roman" w:hAnsi="Times New Roman"/>
                <w:b w:val="0"/>
                <w:sz w:val="21"/>
              </w:rPr>
              <w:t>最大值（厘米）</w:t>
            </w:r>
          </w:p>
        </w:tc>
        <w:tc>
          <w:tcPr>
            <w:tcW w:type="dxa" w:w="2835"/>
          </w:tcPr>
          <w:p>
            <w:pPr>
              <w:jc w:val="center"/>
            </w:pPr>
            <w:r/>
            <w:r>
              <w:rPr>
                <w:rFonts w:eastAsia="宋体" w:ascii="Times New Roman" w:hAnsi="Times New Roman"/>
                <w:b w:val="0"/>
                <w:sz w:val="21"/>
              </w:rPr>
              <w:t>192.0000</w:t>
            </w:r>
          </w:p>
        </w:tc>
        <w:tc>
          <w:tcPr>
            <w:tcW w:type="dxa" w:w="2835"/>
          </w:tcPr>
          <w:p>
            <w:pPr>
              <w:jc w:val="center"/>
            </w:pPr>
            <w:r/>
            <w:r>
              <w:rPr>
                <w:rFonts w:eastAsia="宋体" w:ascii="Times New Roman" w:hAnsi="Times New Roman"/>
                <w:b w:val="0"/>
                <w:sz w:val="21"/>
              </w:rPr>
              <w:t>174.0000</w:t>
            </w:r>
          </w:p>
        </w:tc>
      </w:tr>
    </w:tbl>
    <w:p>
      <w:pPr>
        <w:pStyle w:val="b5"/>
      </w:pPr>
    </w:p>
    <w:p>
      <w:pPr>
        <w:jc w:val="center"/>
        <w:spacing w:before="4" w:after="10" w:line="312" w:lineRule="auto"/>
      </w:pPr>
      <w:r>
        <w:rPr>
          <w:rFonts w:eastAsia="宋体" w:ascii="Times New Roman" w:hAnsi="Times New Roman"/>
          <w:sz w:val="21"/>
        </w:rPr>
        <w:t>数据来源：根据CHNS pexam_00与mast_pub_12文件按个体编号连接后实际计算得到；表中峰度为超额峰度。</w:t>
      </w:r>
    </w:p>
    <w:p>
      <w:pPr>
        <w:pStyle w:val="b5"/>
      </w:pPr>
      <w:r>
        <w:t>由表5-1可以看到三点。第一，性别差异明显：男性平均身高为171.5614厘米，女性为159.5917厘米，两者相差约11.97厘米；这与表3-1所示官方数据中20～24岁组男性172.6厘米、女性160.6厘米、相差约12厘米的量级是一致的，但如第7章所述，两者属于不同层次的数据，只能相互印证。第二，两组数据的均值与中位数都非常接近：男性均值为171.5614厘米、中位数为172.0000厘米，女性均值为159.5917厘米、中位数为160.0000厘米，说明两组分布都没有明显的单侧长尾。第三，男性样本的标准差为6.8218厘米，略大于女性样本的6.0802厘米，即男性组内的身高差异稍大。</w:t>
      </w:r>
    </w:p>
    <w:p>
      <w:pPr>
        <w:pStyle w:val="b5"/>
      </w:pPr>
      <w:r>
        <w:t>从偏度与超额峰度看，男性样本的偏度为0.0107、超额峰度为-0.0150，两者都非常接近0，形态上与正态分布的对称、尾部特征十分接近；女性样本的偏度为-0.3614、超额峰度为0.5907，存在一定程度的左偏与尾部偏厚。</w:t>
      </w:r>
    </w:p>
    <w:p>
      <w:pPr>
        <w:pStyle w:val="b5"/>
      </w:pPr>
      <w:r>
        <w:t>图5-1与图5-2分别给出男性与女性样本的直方图，并在同一坐标系中叠加以各组样本均值和样本标准差构造的理论正态密度曲线。</w:t>
      </w:r>
    </w:p>
    <w:p>
      <w:pPr>
        <w:jc w:val="center"/>
        <w:spacing w:before="6" w:after="6" w:line="240" w:lineRule="auto"/>
      </w:pPr>
      <w:r>
        <w:drawing>
          <wp:inline xmlns:a="http://schemas.openxmlformats.org/drawingml/2006/main" xmlns:pic="http://schemas.openxmlformats.org/drawingml/2006/picture">
            <wp:extent cx="4680000" cy="3098966"/>
            <wp:docPr id="1" name="Picture 1"/>
            <wp:cNvGraphicFramePr>
              <a:graphicFrameLocks noChangeAspect="1"/>
            </wp:cNvGraphicFramePr>
            <a:graphic>
              <a:graphicData uri="http://schemas.openxmlformats.org/drawingml/2006/picture">
                <pic:pic>
                  <pic:nvPicPr>
                    <pic:cNvPr id="0" name="fig5_1_CHNS_2011_Male_histogram.png"/>
                    <pic:cNvPicPr/>
                  </pic:nvPicPr>
                  <pic:blipFill>
                    <a:blip r:embed="rId53"/>
                    <a:stretch>
                      <a:fillRect/>
                    </a:stretch>
                  </pic:blipFill>
                  <pic:spPr>
                    <a:xfrm>
                      <a:off x="0" y="0"/>
                      <a:ext cx="4680000" cy="3098966"/>
                    </a:xfrm>
                    <a:prstGeom prst="rect"/>
                  </pic:spPr>
                </pic:pic>
              </a:graphicData>
            </a:graphic>
          </wp:inline>
        </w:drawing>
      </w:r>
    </w:p>
    <w:p>
      <w:pPr>
        <w:pStyle w:val="b8"/>
        <w:outlineLvl w:val="9"/>
      </w:pPr>
      <w:r>
        <w:t>图5-1 2011年CHNS 20～24岁男性身高直方图及理论正态曲线</w:t>
      </w:r>
    </w:p>
    <w:p>
      <w:pPr>
        <w:jc w:val="center"/>
        <w:spacing w:before="6" w:after="6" w:line="240" w:lineRule="auto"/>
      </w:pPr>
      <w:r>
        <w:drawing>
          <wp:inline xmlns:a="http://schemas.openxmlformats.org/drawingml/2006/main" xmlns:pic="http://schemas.openxmlformats.org/drawingml/2006/picture">
            <wp:extent cx="4680000" cy="3098966"/>
            <wp:docPr id="2" name="Picture 2"/>
            <wp:cNvGraphicFramePr>
              <a:graphicFrameLocks noChangeAspect="1"/>
            </wp:cNvGraphicFramePr>
            <a:graphic>
              <a:graphicData uri="http://schemas.openxmlformats.org/drawingml/2006/picture">
                <pic:pic>
                  <pic:nvPicPr>
                    <pic:cNvPr id="0" name="fig5_2_CHNS_2011_Female_histogram.png"/>
                    <pic:cNvPicPr/>
                  </pic:nvPicPr>
                  <pic:blipFill>
                    <a:blip r:embed="rId54"/>
                    <a:stretch>
                      <a:fillRect/>
                    </a:stretch>
                  </pic:blipFill>
                  <pic:spPr>
                    <a:xfrm>
                      <a:off x="0" y="0"/>
                      <a:ext cx="4680000" cy="3098966"/>
                    </a:xfrm>
                    <a:prstGeom prst="rect"/>
                  </pic:spPr>
                </pic:pic>
              </a:graphicData>
            </a:graphic>
          </wp:inline>
        </w:drawing>
      </w:r>
    </w:p>
    <w:p>
      <w:pPr>
        <w:pStyle w:val="b8"/>
        <w:outlineLvl w:val="9"/>
      </w:pPr>
      <w:r>
        <w:t>图5-2 2011年CHNS 20～24岁女性身高直方图及理论正态曲线</w:t>
      </w:r>
    </w:p>
    <w:p>
      <w:pPr>
        <w:pStyle w:val="b5"/>
      </w:pPr>
      <w:r>
        <w:t>需要强调，图中叠加的正态曲线只是以样本均值与标准差构造的比较用参考曲线，并不表示经过检验后可以认定数据服从该正态分布。从图5-1看，男性样本的直方图与理论曲线大体吻合，主峰（170～175厘米附近）比理论曲线更尖，两侧部分区间略低于理论曲线。从图5-2看，女性样本在159～161厘米附近有一根明显高于理论曲线的柱，说明观测值在均值附近相当集中；最左端约134.9厘米处存在一个孤立低值，该值在100～220厘米的筛选范围之内，按既定规则予以保留。</w:t>
      </w:r>
    </w:p>
    <w:p>
      <w:pPr>
        <w:pStyle w:val="b2"/>
        <w:outlineLvl w:val="1"/>
        <w:keepNext/>
      </w:pPr>
      <w:r>
        <w:rPr>
          <w:rFonts w:eastAsia="黑体" w:ascii="Times New Roman" w:hAnsi="Times New Roman"/>
          <w:b/>
          <w:sz w:val="28"/>
        </w:rPr>
        <w:t>正态性检验与3σ原则</w:t>
      </w:r>
    </w:p>
    <w:p>
      <w:pPr>
        <w:pStyle w:val="b5"/>
      </w:pPr>
      <w:r>
        <w:t>图5-3与图5-4分别给出男性与女性样本的Q-Q图。如果数据近似服从正态分布，图中的点应当大致落在一条直线上。</w:t>
      </w:r>
    </w:p>
    <w:p>
      <w:pPr>
        <w:jc w:val="center"/>
        <w:spacing w:before="6" w:after="6" w:line="240" w:lineRule="auto"/>
      </w:pPr>
      <w:r>
        <w:drawing>
          <wp:inline xmlns:a="http://schemas.openxmlformats.org/drawingml/2006/main" xmlns:pic="http://schemas.openxmlformats.org/drawingml/2006/picture">
            <wp:extent cx="3960000" cy="3960000"/>
            <wp:docPr id="3" name="Picture 3"/>
            <wp:cNvGraphicFramePr>
              <a:graphicFrameLocks noChangeAspect="1"/>
            </wp:cNvGraphicFramePr>
            <a:graphic>
              <a:graphicData uri="http://schemas.openxmlformats.org/drawingml/2006/picture">
                <pic:pic>
                  <pic:nvPicPr>
                    <pic:cNvPr id="0" name="fig5_3_CHNS_2011_Male_QQ.png"/>
                    <pic:cNvPicPr/>
                  </pic:nvPicPr>
                  <pic:blipFill>
                    <a:blip r:embed="rId55"/>
                    <a:stretch>
                      <a:fillRect/>
                    </a:stretch>
                  </pic:blipFill>
                  <pic:spPr>
                    <a:xfrm>
                      <a:off x="0" y="0"/>
                      <a:ext cx="3960000" cy="3960000"/>
                    </a:xfrm>
                    <a:prstGeom prst="rect"/>
                  </pic:spPr>
                </pic:pic>
              </a:graphicData>
            </a:graphic>
          </wp:inline>
        </w:drawing>
      </w:r>
    </w:p>
    <w:p>
      <w:pPr>
        <w:pStyle w:val="b8"/>
        <w:outlineLvl w:val="9"/>
      </w:pPr>
      <w:r>
        <w:t>图5-3 2011年CHNS 20～24岁男性身高Q-Q图</w:t>
      </w:r>
    </w:p>
    <w:p>
      <w:pPr>
        <w:jc w:val="center"/>
        <w:spacing w:before="6" w:after="6" w:line="240" w:lineRule="auto"/>
      </w:pPr>
      <w:r>
        <w:drawing>
          <wp:inline xmlns:a="http://schemas.openxmlformats.org/drawingml/2006/main" xmlns:pic="http://schemas.openxmlformats.org/drawingml/2006/picture">
            <wp:extent cx="3960000" cy="3960000"/>
            <wp:docPr id="4" name="Picture 4"/>
            <wp:cNvGraphicFramePr>
              <a:graphicFrameLocks noChangeAspect="1"/>
            </wp:cNvGraphicFramePr>
            <a:graphic>
              <a:graphicData uri="http://schemas.openxmlformats.org/drawingml/2006/picture">
                <pic:pic>
                  <pic:nvPicPr>
                    <pic:cNvPr id="0" name="fig5_4_CHNS_2011_Female_QQ.png"/>
                    <pic:cNvPicPr/>
                  </pic:nvPicPr>
                  <pic:blipFill>
                    <a:blip r:embed="rId56"/>
                    <a:stretch>
                      <a:fillRect/>
                    </a:stretch>
                  </pic:blipFill>
                  <pic:spPr>
                    <a:xfrm>
                      <a:off x="0" y="0"/>
                      <a:ext cx="3960000" cy="3960000"/>
                    </a:xfrm>
                    <a:prstGeom prst="rect"/>
                  </pic:spPr>
                </pic:pic>
              </a:graphicData>
            </a:graphic>
          </wp:inline>
        </w:drawing>
      </w:r>
    </w:p>
    <w:p>
      <w:pPr>
        <w:pStyle w:val="b8"/>
        <w:outlineLvl w:val="9"/>
      </w:pPr>
      <w:r>
        <w:t>图5-4 2011年CHNS 20～24岁女性身高Q-Q图</w:t>
      </w:r>
    </w:p>
    <w:p>
      <w:pPr>
        <w:pStyle w:val="b5"/>
      </w:pPr>
      <w:r>
        <w:t>从图5-3看，男性样本的点整体沿直线分布，只在两端有个别轻微偏离，整体形态与正态模型较为一致。从图5-4看，女性样本中部的点基本沿直线分布，但左下端有一个明显偏离直线的极端低值（即134.9厘米），且左侧若干点位于直线下方，这与偏度-0.3614、超额峰度0.5907所反映的轻微左偏与尾部偏厚是一致的。</w:t>
      </w:r>
    </w:p>
    <w:p>
      <w:pPr>
        <w:pStyle w:val="b5"/>
      </w:pPr>
      <w:r>
        <w:t>在统计检验方面，本文使用Shapiro-Wilk检验</w:t>
      </w:r>
      <w:r>
        <w:rPr>
          <w:vertAlign w:val="superscript"/>
        </w:rPr>
        <w:t>[11]</w:t>
      </w:r>
      <w:r>
        <w:t>。由于最终男性样本量为220、女性样本量为253，都在该检验的适用样本量范围内，因此直接对两组的全部观测值执行检验，不需要作任何抽样。检验的原假设是“样本来自正态分布总体”。检验结果连同3σ区间实际覆盖比例一并列入表5-2。</w:t>
      </w:r>
    </w:p>
    <w:p>
      <w:pPr>
        <w:pStyle w:val="b9"/>
        <w:outlineLvl w:val="9"/>
      </w:pPr>
      <w:r>
        <w:t>表5-2 2011年CHNS 20～24岁成年人身高正态性分析结果</w:t>
      </w:r>
    </w:p>
    <w:tbl>
      <w:tblPr>
        <w:tblW w:type="auto" w:w="0"/>
        <w:jc w:val="center"/>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126"/>
        <w:gridCol w:w="2126"/>
        <w:gridCol w:w="2126"/>
        <w:gridCol w:w="2126"/>
      </w:tblGrid>
      <w:tr>
        <w:tc>
          <w:tcPr>
            <w:tcW w:type="dxa" w:w="2126"/>
            <w:tcBorders>
              <w:bottom w:val="single" w:sz="8" w:space="0" w:color="000000"/>
            </w:tcBorders>
          </w:tcPr>
          <w:p>
            <w:pPr>
              <w:jc w:val="center"/>
            </w:pPr>
            <w:r/>
            <w:r>
              <w:rPr>
                <w:rFonts w:eastAsia="宋体" w:ascii="Times New Roman" w:hAnsi="Times New Roman"/>
                <w:b/>
                <w:sz w:val="21"/>
              </w:rPr>
              <w:t>项目</w:t>
            </w:r>
          </w:p>
        </w:tc>
        <w:tc>
          <w:tcPr>
            <w:tcW w:type="dxa" w:w="2126"/>
            <w:tcBorders>
              <w:bottom w:val="single" w:sz="8" w:space="0" w:color="000000"/>
            </w:tcBorders>
          </w:tcPr>
          <w:p>
            <w:pPr>
              <w:jc w:val="center"/>
            </w:pPr>
            <w:r/>
            <w:r>
              <w:rPr>
                <w:rFonts w:eastAsia="宋体" w:ascii="Times New Roman" w:hAnsi="Times New Roman"/>
                <w:b/>
                <w:sz w:val="21"/>
              </w:rPr>
              <w:t>男性</w:t>
            </w:r>
          </w:p>
        </w:tc>
        <w:tc>
          <w:tcPr>
            <w:tcW w:type="dxa" w:w="2126"/>
            <w:tcBorders>
              <w:bottom w:val="single" w:sz="8" w:space="0" w:color="000000"/>
            </w:tcBorders>
          </w:tcPr>
          <w:p>
            <w:pPr>
              <w:jc w:val="center"/>
            </w:pPr>
            <w:r/>
            <w:r>
              <w:rPr>
                <w:rFonts w:eastAsia="宋体" w:ascii="Times New Roman" w:hAnsi="Times New Roman"/>
                <w:b/>
                <w:sz w:val="21"/>
              </w:rPr>
              <w:t>女性</w:t>
            </w:r>
          </w:p>
        </w:tc>
        <w:tc>
          <w:tcPr>
            <w:tcW w:type="dxa" w:w="2126"/>
            <w:tcBorders>
              <w:bottom w:val="single" w:sz="8" w:space="0" w:color="000000"/>
            </w:tcBorders>
          </w:tcPr>
          <w:p>
            <w:pPr>
              <w:jc w:val="center"/>
            </w:pPr>
            <w:r/>
            <w:r>
              <w:rPr>
                <w:rFonts w:eastAsia="宋体" w:ascii="Times New Roman" w:hAnsi="Times New Roman"/>
                <w:b/>
                <w:sz w:val="21"/>
              </w:rPr>
              <w:t>正态理论值</w:t>
            </w:r>
          </w:p>
        </w:tc>
      </w:tr>
      <w:tr>
        <w:tc>
          <w:tcPr>
            <w:tcW w:type="dxa" w:w="2126"/>
          </w:tcPr>
          <w:p>
            <w:pPr>
              <w:jc w:val="center"/>
            </w:pPr>
            <w:r/>
            <w:r>
              <w:rPr>
                <w:rFonts w:eastAsia="宋体" w:ascii="Times New Roman" w:hAnsi="Times New Roman"/>
                <w:b w:val="0"/>
                <w:sz w:val="21"/>
              </w:rPr>
              <w:t>样本量 n</w:t>
            </w:r>
          </w:p>
        </w:tc>
        <w:tc>
          <w:tcPr>
            <w:tcW w:type="dxa" w:w="2126"/>
          </w:tcPr>
          <w:p>
            <w:pPr>
              <w:jc w:val="center"/>
            </w:pPr>
            <w:r/>
            <w:r>
              <w:rPr>
                <w:rFonts w:eastAsia="宋体" w:ascii="Times New Roman" w:hAnsi="Times New Roman"/>
                <w:b w:val="0"/>
                <w:sz w:val="21"/>
              </w:rPr>
              <w:t>220</w:t>
            </w:r>
          </w:p>
        </w:tc>
        <w:tc>
          <w:tcPr>
            <w:tcW w:type="dxa" w:w="2126"/>
          </w:tcPr>
          <w:p>
            <w:pPr>
              <w:jc w:val="center"/>
            </w:pPr>
            <w:r/>
            <w:r>
              <w:rPr>
                <w:rFonts w:eastAsia="宋体" w:ascii="Times New Roman" w:hAnsi="Times New Roman"/>
                <w:b w:val="0"/>
                <w:sz w:val="21"/>
              </w:rPr>
              <w:t>253</w:t>
            </w:r>
          </w:p>
        </w:tc>
        <w:tc>
          <w:tcPr>
            <w:tcW w:type="dxa" w:w="2126"/>
          </w:tcPr>
          <w:p>
            <w:pPr>
              <w:jc w:val="center"/>
            </w:pPr>
            <w:r/>
            <w:r>
              <w:rPr>
                <w:rFonts w:eastAsia="宋体" w:ascii="Times New Roman" w:hAnsi="Times New Roman"/>
                <w:b w:val="0"/>
                <w:sz w:val="21"/>
              </w:rPr>
              <w:t>—</w:t>
            </w:r>
          </w:p>
        </w:tc>
      </w:tr>
      <w:tr>
        <w:tc>
          <w:tcPr>
            <w:tcW w:type="dxa" w:w="2126"/>
          </w:tcPr>
          <w:p>
            <w:pPr>
              <w:jc w:val="center"/>
            </w:pPr>
            <w:r/>
            <w:r>
              <w:rPr>
                <w:rFonts w:eastAsia="宋体" w:ascii="Times New Roman" w:hAnsi="Times New Roman"/>
                <w:b w:val="0"/>
                <w:sz w:val="21"/>
              </w:rPr>
              <w:t>Shapiro-Wilk统计量 W</w:t>
            </w:r>
          </w:p>
        </w:tc>
        <w:tc>
          <w:tcPr>
            <w:tcW w:type="dxa" w:w="2126"/>
          </w:tcPr>
          <w:p>
            <w:pPr>
              <w:jc w:val="center"/>
            </w:pPr>
            <w:r/>
            <w:r>
              <w:rPr>
                <w:rFonts w:eastAsia="宋体" w:ascii="Times New Roman" w:hAnsi="Times New Roman"/>
                <w:b w:val="0"/>
                <w:sz w:val="21"/>
              </w:rPr>
              <w:t>0.992062</w:t>
            </w:r>
          </w:p>
        </w:tc>
        <w:tc>
          <w:tcPr>
            <w:tcW w:type="dxa" w:w="2126"/>
          </w:tcPr>
          <w:p>
            <w:pPr>
              <w:jc w:val="center"/>
            </w:pPr>
            <w:r/>
            <w:r>
              <w:rPr>
                <w:rFonts w:eastAsia="宋体" w:ascii="Times New Roman" w:hAnsi="Times New Roman"/>
                <w:b w:val="0"/>
                <w:sz w:val="21"/>
              </w:rPr>
              <w:t>0.987611</w:t>
            </w:r>
          </w:p>
        </w:tc>
        <w:tc>
          <w:tcPr>
            <w:tcW w:type="dxa" w:w="2126"/>
          </w:tcPr>
          <w:p>
            <w:pPr>
              <w:jc w:val="center"/>
            </w:pPr>
            <w:r/>
            <w:r>
              <w:rPr>
                <w:rFonts w:eastAsia="宋体" w:ascii="Times New Roman" w:hAnsi="Times New Roman"/>
                <w:b w:val="0"/>
                <w:sz w:val="21"/>
              </w:rPr>
              <w:t>—</w:t>
            </w:r>
          </w:p>
        </w:tc>
      </w:tr>
      <w:tr>
        <w:tc>
          <w:tcPr>
            <w:tcW w:type="dxa" w:w="2126"/>
          </w:tcPr>
          <w:p>
            <w:pPr>
              <w:jc w:val="center"/>
            </w:pPr>
            <w:r/>
            <w:r>
              <w:rPr>
                <w:rFonts w:eastAsia="宋体" w:ascii="Times New Roman" w:hAnsi="Times New Roman"/>
                <w:b w:val="0"/>
                <w:sz w:val="21"/>
              </w:rPr>
              <w:t>Shapiro-Wilk检验 P值</w:t>
            </w:r>
          </w:p>
        </w:tc>
        <w:tc>
          <w:tcPr>
            <w:tcW w:type="dxa" w:w="2126"/>
          </w:tcPr>
          <w:p>
            <w:pPr>
              <w:jc w:val="center"/>
            </w:pPr>
            <w:r/>
            <w:r>
              <w:rPr>
                <w:rFonts w:eastAsia="宋体" w:ascii="Times New Roman" w:hAnsi="Times New Roman"/>
                <w:b w:val="0"/>
                <w:sz w:val="21"/>
              </w:rPr>
              <w:t>0.2799</w:t>
            </w:r>
          </w:p>
        </w:tc>
        <w:tc>
          <w:tcPr>
            <w:tcW w:type="dxa" w:w="2126"/>
          </w:tcPr>
          <w:p>
            <w:pPr>
              <w:jc w:val="center"/>
            </w:pPr>
            <w:r/>
            <w:r>
              <w:rPr>
                <w:rFonts w:eastAsia="宋体" w:ascii="Times New Roman" w:hAnsi="Times New Roman"/>
                <w:b w:val="0"/>
                <w:sz w:val="21"/>
              </w:rPr>
              <w:t>0.0281</w:t>
            </w:r>
          </w:p>
        </w:tc>
        <w:tc>
          <w:tcPr>
            <w:tcW w:type="dxa" w:w="2126"/>
          </w:tcPr>
          <w:p>
            <w:pPr>
              <w:jc w:val="center"/>
            </w:pPr>
            <w:r/>
            <w:r>
              <w:rPr>
                <w:rFonts w:eastAsia="宋体" w:ascii="Times New Roman" w:hAnsi="Times New Roman"/>
                <w:b w:val="0"/>
                <w:sz w:val="21"/>
              </w:rPr>
              <w:t>—</w:t>
            </w:r>
          </w:p>
        </w:tc>
      </w:tr>
      <w:tr>
        <w:tc>
          <w:tcPr>
            <w:tcW w:type="dxa" w:w="2126"/>
          </w:tcPr>
          <w:p>
            <w:pPr>
              <w:jc w:val="center"/>
            </w:pPr>
            <w:r/>
            <w:r>
              <w:rPr>
                <w:rFonts w:eastAsia="宋体" w:ascii="Times New Roman" w:hAnsi="Times New Roman"/>
                <w:b w:val="0"/>
                <w:sz w:val="21"/>
              </w:rPr>
              <w:t>μ±1σ 实际覆盖比例</w:t>
            </w:r>
          </w:p>
        </w:tc>
        <w:tc>
          <w:tcPr>
            <w:tcW w:type="dxa" w:w="2126"/>
          </w:tcPr>
          <w:p>
            <w:pPr>
              <w:jc w:val="center"/>
            </w:pPr>
            <w:r/>
            <w:r>
              <w:rPr>
                <w:rFonts w:eastAsia="宋体" w:ascii="Times New Roman" w:hAnsi="Times New Roman"/>
                <w:b w:val="0"/>
                <w:sz w:val="21"/>
              </w:rPr>
              <w:t>70.00%</w:t>
            </w:r>
          </w:p>
        </w:tc>
        <w:tc>
          <w:tcPr>
            <w:tcW w:type="dxa" w:w="2126"/>
          </w:tcPr>
          <w:p>
            <w:pPr>
              <w:jc w:val="center"/>
            </w:pPr>
            <w:r/>
            <w:r>
              <w:rPr>
                <w:rFonts w:eastAsia="宋体" w:ascii="Times New Roman" w:hAnsi="Times New Roman"/>
                <w:b w:val="0"/>
                <w:sz w:val="21"/>
              </w:rPr>
              <w:t>68.77%</w:t>
            </w:r>
          </w:p>
        </w:tc>
        <w:tc>
          <w:tcPr>
            <w:tcW w:type="dxa" w:w="2126"/>
          </w:tcPr>
          <w:p>
            <w:pPr>
              <w:jc w:val="center"/>
            </w:pPr>
            <w:r/>
            <w:r>
              <w:rPr>
                <w:rFonts w:eastAsia="宋体" w:ascii="Times New Roman" w:hAnsi="Times New Roman"/>
                <w:b w:val="0"/>
                <w:sz w:val="21"/>
              </w:rPr>
              <w:t>68.27%</w:t>
            </w:r>
          </w:p>
        </w:tc>
      </w:tr>
      <w:tr>
        <w:tc>
          <w:tcPr>
            <w:tcW w:type="dxa" w:w="2126"/>
          </w:tcPr>
          <w:p>
            <w:pPr>
              <w:jc w:val="center"/>
            </w:pPr>
            <w:r/>
            <w:r>
              <w:rPr>
                <w:rFonts w:eastAsia="宋体" w:ascii="Times New Roman" w:hAnsi="Times New Roman"/>
                <w:b w:val="0"/>
                <w:sz w:val="21"/>
              </w:rPr>
              <w:t>μ±2σ 实际覆盖比例</w:t>
            </w:r>
          </w:p>
        </w:tc>
        <w:tc>
          <w:tcPr>
            <w:tcW w:type="dxa" w:w="2126"/>
          </w:tcPr>
          <w:p>
            <w:pPr>
              <w:jc w:val="center"/>
            </w:pPr>
            <w:r/>
            <w:r>
              <w:rPr>
                <w:rFonts w:eastAsia="宋体" w:ascii="Times New Roman" w:hAnsi="Times New Roman"/>
                <w:b w:val="0"/>
                <w:sz w:val="21"/>
              </w:rPr>
              <w:t>95.91%</w:t>
            </w:r>
          </w:p>
        </w:tc>
        <w:tc>
          <w:tcPr>
            <w:tcW w:type="dxa" w:w="2126"/>
          </w:tcPr>
          <w:p>
            <w:pPr>
              <w:jc w:val="center"/>
            </w:pPr>
            <w:r/>
            <w:r>
              <w:rPr>
                <w:rFonts w:eastAsia="宋体" w:ascii="Times New Roman" w:hAnsi="Times New Roman"/>
                <w:b w:val="0"/>
                <w:sz w:val="21"/>
              </w:rPr>
              <w:t>96.05%</w:t>
            </w:r>
          </w:p>
        </w:tc>
        <w:tc>
          <w:tcPr>
            <w:tcW w:type="dxa" w:w="2126"/>
          </w:tcPr>
          <w:p>
            <w:pPr>
              <w:jc w:val="center"/>
            </w:pPr>
            <w:r/>
            <w:r>
              <w:rPr>
                <w:rFonts w:eastAsia="宋体" w:ascii="Times New Roman" w:hAnsi="Times New Roman"/>
                <w:b w:val="0"/>
                <w:sz w:val="21"/>
              </w:rPr>
              <w:t>95.45%</w:t>
            </w:r>
          </w:p>
        </w:tc>
      </w:tr>
      <w:tr>
        <w:tc>
          <w:tcPr>
            <w:tcW w:type="dxa" w:w="2126"/>
          </w:tcPr>
          <w:p>
            <w:pPr>
              <w:jc w:val="center"/>
            </w:pPr>
            <w:r/>
            <w:r>
              <w:rPr>
                <w:rFonts w:eastAsia="宋体" w:ascii="Times New Roman" w:hAnsi="Times New Roman"/>
                <w:b w:val="0"/>
                <w:sz w:val="21"/>
              </w:rPr>
              <w:t>μ±3σ 实际覆盖比例</w:t>
            </w:r>
          </w:p>
        </w:tc>
        <w:tc>
          <w:tcPr>
            <w:tcW w:type="dxa" w:w="2126"/>
          </w:tcPr>
          <w:p>
            <w:pPr>
              <w:jc w:val="center"/>
            </w:pPr>
            <w:r/>
            <w:r>
              <w:rPr>
                <w:rFonts w:eastAsia="宋体" w:ascii="Times New Roman" w:hAnsi="Times New Roman"/>
                <w:b w:val="0"/>
                <w:sz w:val="21"/>
              </w:rPr>
              <w:t>100.00%</w:t>
            </w:r>
          </w:p>
        </w:tc>
        <w:tc>
          <w:tcPr>
            <w:tcW w:type="dxa" w:w="2126"/>
          </w:tcPr>
          <w:p>
            <w:pPr>
              <w:jc w:val="center"/>
            </w:pPr>
            <w:r/>
            <w:r>
              <w:rPr>
                <w:rFonts w:eastAsia="宋体" w:ascii="Times New Roman" w:hAnsi="Times New Roman"/>
                <w:b w:val="0"/>
                <w:sz w:val="21"/>
              </w:rPr>
              <w:t>99.60%</w:t>
            </w:r>
          </w:p>
        </w:tc>
        <w:tc>
          <w:tcPr>
            <w:tcW w:type="dxa" w:w="2126"/>
          </w:tcPr>
          <w:p>
            <w:pPr>
              <w:jc w:val="center"/>
            </w:pPr>
            <w:r/>
            <w:r>
              <w:rPr>
                <w:rFonts w:eastAsia="宋体" w:ascii="Times New Roman" w:hAnsi="Times New Roman"/>
                <w:b w:val="0"/>
                <w:sz w:val="21"/>
              </w:rPr>
              <w:t>99.73%</w:t>
            </w:r>
          </w:p>
        </w:tc>
      </w:tr>
      <w:tr>
        <w:tc>
          <w:tcPr>
            <w:tcW w:type="dxa" w:w="2126"/>
          </w:tcPr>
          <w:p>
            <w:pPr>
              <w:jc w:val="center"/>
            </w:pPr>
            <w:r/>
            <w:r>
              <w:rPr>
                <w:rFonts w:eastAsia="宋体" w:ascii="Times New Roman" w:hAnsi="Times New Roman"/>
                <w:b w:val="0"/>
                <w:sz w:val="21"/>
              </w:rPr>
              <w:t>5%显著性水平下的结论</w:t>
            </w:r>
          </w:p>
        </w:tc>
        <w:tc>
          <w:tcPr>
            <w:tcW w:type="dxa" w:w="2126"/>
          </w:tcPr>
          <w:p>
            <w:pPr>
              <w:jc w:val="center"/>
            </w:pPr>
            <w:r/>
            <w:r>
              <w:rPr>
                <w:rFonts w:eastAsia="宋体" w:ascii="Times New Roman" w:hAnsi="Times New Roman"/>
                <w:b w:val="0"/>
                <w:sz w:val="21"/>
              </w:rPr>
              <w:t>不能拒绝正态性原假设</w:t>
            </w:r>
          </w:p>
        </w:tc>
        <w:tc>
          <w:tcPr>
            <w:tcW w:type="dxa" w:w="2126"/>
          </w:tcPr>
          <w:p>
            <w:pPr>
              <w:jc w:val="center"/>
            </w:pPr>
            <w:r/>
            <w:r>
              <w:rPr>
                <w:rFonts w:eastAsia="宋体" w:ascii="Times New Roman" w:hAnsi="Times New Roman"/>
                <w:b w:val="0"/>
                <w:sz w:val="21"/>
              </w:rPr>
              <w:t>拒绝正态性原假设</w:t>
            </w:r>
          </w:p>
        </w:tc>
        <w:tc>
          <w:tcPr>
            <w:tcW w:type="dxa" w:w="2126"/>
          </w:tcPr>
          <w:p>
            <w:pPr>
              <w:jc w:val="center"/>
            </w:pPr>
            <w:r/>
            <w:r>
              <w:rPr>
                <w:rFonts w:eastAsia="宋体" w:ascii="Times New Roman" w:hAnsi="Times New Roman"/>
                <w:b w:val="0"/>
                <w:sz w:val="21"/>
              </w:rPr>
              <w:t>—</w:t>
            </w:r>
          </w:p>
        </w:tc>
      </w:tr>
    </w:tbl>
    <w:p>
      <w:pPr>
        <w:pStyle w:val="b5"/>
      </w:pPr>
    </w:p>
    <w:p>
      <w:pPr>
        <w:jc w:val="center"/>
        <w:spacing w:before="4" w:after="10" w:line="312" w:lineRule="auto"/>
      </w:pPr>
      <w:r>
        <w:rPr>
          <w:rFonts w:eastAsia="宋体" w:ascii="Times New Roman" w:hAnsi="Times New Roman"/>
          <w:sz w:val="21"/>
        </w:rPr>
        <w:t>数据来源：根据CHNS实际数据计算得到；3σ实际覆盖比例按各组样本均值与样本标准差划定区间后统计，理论值一列为正态模型下的对应概率。</w:t>
      </w:r>
    </w:p>
    <w:p>
      <w:pPr>
        <w:pStyle w:val="b5"/>
      </w:pPr>
      <w:r>
        <w:t>表5-2的结果需要分性别分别解释。</w:t>
      </w:r>
    </w:p>
    <w:p>
      <w:pPr>
        <w:pStyle w:val="b5"/>
      </w:pPr>
      <w:r>
        <w:t>男性：Shapiro-Wilk统计量W=0.992062，P=0.2799。由于P&gt;0.05，在5%显著性水平下不能拒绝正态性原假设。结合直方图（图5-1）、Q-Q图（图5-3）以及偏度0.0107、超额峰度-0.0150都接近0的结果，可以认为男性样本与正态分布具有较好的近似一致性。同时，男性样本μ±1σ、μ±2σ、μ±3σ区间的实际覆盖比例分别为70.00%、95.91%、100.00%，与理论值68.27%、95.45%、99.73%较为接近。</w:t>
      </w:r>
    </w:p>
    <w:p>
      <w:pPr>
        <w:pStyle w:val="b5"/>
      </w:pPr>
      <w:r>
        <w:t>女性：Shapiro-Wilk统计量W=0.987611，P=0.0281。由于P&lt;0.05，在5%显著性水平下拒绝正态性原假设，说明女性样本存在统计上可检测的正态性偏离。这一偏离在描述统计与图形证据上都有对应表现：偏度为-0.3614、超额峰度为0.5907，Q-Q图（图5-4）的下尾存在可见偏离。</w:t>
      </w:r>
    </w:p>
    <w:p>
      <w:pPr>
        <w:pStyle w:val="b5"/>
      </w:pPr>
      <w:r>
        <w:t>但是，对女性样本的结果必须作出两点限定。第一，P&lt;0.05并不意味着“正态分布完全不能使用”。从表5-2可以看到，女性样本μ±1σ、μ±2σ、μ±3σ区间的实际覆盖比例分别为68.77%、96.05%、99.60%，与理论值68.27%、95.45%、99.73%的差距都很小，其中μ±1σ的实际比例与理论值只相差约0.5个百分点。这说明即使检验拒绝了严格的正态性假设，正态模型给出的区间结论在实际数据上仍然大致成立。第二，女性样本的偏离幅度并不大：W=0.987611，与1十分接近，因此更恰当的表述是“女性样本与正态分布存在轻微但统计上可检测的偏离”，而不是“女性身高完全不服从正态分布”。</w:t>
      </w:r>
    </w:p>
    <w:p>
      <w:pPr>
        <w:pStyle w:val="b5"/>
      </w:pPr>
      <w:r>
        <w:t>反过来，对男性样本的P&gt;0.05也必须正确理解：它只能说明“本次检验没有发现显著偏离”，而不能证明男性身高一定严格服从正态分布</w:t>
      </w:r>
      <w:r>
        <w:rPr>
          <w:vertAlign w:val="superscript"/>
        </w:rPr>
        <w:t>[12-13]</w:t>
      </w:r>
      <w:r>
        <w:t>。统计检验的结论总是与样本量、显著性水平和数据本身相联系，不能把“不能拒绝原假设”当作“已经证明原假设成立”。</w:t>
      </w:r>
    </w:p>
    <w:p>
      <w:pPr>
        <w:pStyle w:val="b5"/>
      </w:pPr>
      <w:r>
        <w:t>综合本章结果，本文的表述是：在明确限定调查年份（2011年）、年龄段（20～24岁）与性别之后，CHNS男性样本与正态分布具有较好的近似一致性，女性样本则存在统计上可检测但幅度轻微的偏离；两组样本的3σ区间实际覆盖比例都与正态模型的理论值较为接近。这一结果支持“正态分布可以作为特定同质子人群身高的近似模型”，但不支持“任意一批身高数据都可以直接当作正态总体处理”。</w:t>
      </w:r>
    </w:p>
    <w:p>
      <w:pPr>
        <w:pStyle w:val="b1"/>
        <w:outlineLvl w:val="0"/>
        <w:keepNext/>
      </w:pPr>
      <w:r>
        <w:rPr>
          <w:rFonts w:eastAsia="黑体" w:ascii="Times New Roman" w:hAnsi="Times New Roman"/>
          <w:b/>
          <w:sz w:val="30"/>
        </w:rPr>
        <w:t>正态分布模型的实际应用价值</w:t>
      </w:r>
    </w:p>
    <w:p>
      <w:pPr>
        <w:pStyle w:val="b2"/>
        <w:outlineLvl w:val="1"/>
        <w:keepNext/>
      </w:pPr>
      <w:r>
        <w:rPr>
          <w:rFonts w:eastAsia="黑体" w:ascii="Times New Roman" w:hAnsi="Times New Roman"/>
          <w:b/>
          <w:sz w:val="28"/>
        </w:rPr>
        <w:t>描述总体特征</w:t>
      </w:r>
    </w:p>
    <w:p>
      <w:pPr>
        <w:pStyle w:val="b5"/>
      </w:pPr>
      <w:r>
        <w:t>正态分布最直接的价值是把一批复杂的数据压缩为两个可解释的参数：均值μ与标准差σ。均值回答“这一人群的典型水平是多少”，标准差回答“个体之间的差异有多大”。对于中国成年人身高而言，只要明确了性别、年龄与地区范围，就可以用这两个参数对该人群的身高特征作出简明而有效的描述。</w:t>
      </w:r>
    </w:p>
    <w:p>
      <w:pPr>
        <w:pStyle w:val="b2"/>
        <w:outlineLvl w:val="1"/>
        <w:keepNext/>
      </w:pPr>
      <w:r>
        <w:rPr>
          <w:rFonts w:eastAsia="黑体" w:ascii="Times New Roman" w:hAnsi="Times New Roman"/>
          <w:b/>
          <w:sz w:val="28"/>
        </w:rPr>
        <w:t>标准化与个体相对位置判断</w:t>
      </w:r>
    </w:p>
    <w:p>
      <w:pPr>
        <w:pStyle w:val="b5"/>
      </w:pPr>
      <w:r>
        <w:t>通过式（2-2）的标准化变换，可以把原始身高换算为Z分数，从而直接判断个体在总体中的相对位置。这在体质评价、体检筛查与生长监测中具有实际意义：一个Z=2.0的个体明显高于平均水平，而一个Z=−0.3的个体基本处于正常范围。标准化的另一个好处是跨群体可比：不同性别或不同年龄组的身高水平不同，但换算为Z分数之后，可以在同一尺度上进行比较。</w:t>
      </w:r>
    </w:p>
    <w:p>
      <w:pPr>
        <w:pStyle w:val="b2"/>
        <w:outlineLvl w:val="1"/>
        <w:keepNext/>
      </w:pPr>
      <w:r>
        <w:rPr>
          <w:rFonts w:eastAsia="黑体" w:ascii="Times New Roman" w:hAnsi="Times New Roman"/>
          <w:b/>
          <w:sz w:val="28"/>
        </w:rPr>
        <w:t>人体工程学与产品设计</w:t>
      </w:r>
    </w:p>
    <w:p>
      <w:pPr>
        <w:pStyle w:val="b5"/>
      </w:pPr>
      <w:r>
        <w:t>人体尺寸数据具有直接的工程价值。桌椅高度、交通工具座椅、公共设施、服装号型与工作空间的设计，都需要了解目标人群的人体尺寸分布。GB/T 10000—2023本身就以百分位数等形式给出人体尺寸的统计数值，以便设计人员覆盖目标人群中的绝大多数个体</w:t>
      </w:r>
      <w:r>
        <w:rPr>
          <w:vertAlign w:val="superscript"/>
        </w:rPr>
        <w:t>[4]</w:t>
      </w:r>
      <w:r>
        <w:t>。由此可见，概率统计并不只是用于“计算平均数”，它还能为产品设计与公共设施设计提供定量依据；而正态分布与百分位数之间的对应关系，正是这种定量依据的理论基础。</w:t>
      </w:r>
    </w:p>
    <w:p>
      <w:pPr>
        <w:pStyle w:val="b1"/>
        <w:outlineLvl w:val="0"/>
        <w:keepNext/>
      </w:pPr>
      <w:r>
        <w:rPr>
          <w:rFonts w:eastAsia="黑体" w:ascii="Times New Roman" w:hAnsi="Times New Roman"/>
          <w:b/>
          <w:sz w:val="30"/>
        </w:rPr>
        <w:t>局限性与讨论</w:t>
      </w:r>
    </w:p>
    <w:p>
      <w:pPr>
        <w:pStyle w:val="b2"/>
        <w:outlineLvl w:val="1"/>
        <w:keepNext/>
      </w:pPr>
      <w:r>
        <w:rPr>
          <w:rFonts w:eastAsia="黑体" w:ascii="Times New Roman" w:hAnsi="Times New Roman"/>
          <w:b/>
          <w:sz w:val="28"/>
        </w:rPr>
        <w:t>样本代表性与外推的局限</w:t>
      </w:r>
    </w:p>
    <w:p>
      <w:pPr>
        <w:pStyle w:val="b5"/>
      </w:pPr>
      <w:r>
        <w:t>第一，本文的正式实证结果只对应“2011年CHNS调查中年龄为20～24岁的473名受访者”，不能直接外推为“中国20～24岁成年人”或“中国成年人”的身高分布参数。CHNS是覆盖部分省份的追踪调查，其抽样设计并非以全国代表性为目标</w:t>
      </w:r>
      <w:r>
        <w:rPr>
          <w:vertAlign w:val="superscript"/>
        </w:rPr>
        <w:t>[9]</w:t>
      </w:r>
      <w:r>
        <w:t>，因此表5-1、表5-2中的均值、标准差等统计量只是这一样本自身的数字特征。</w:t>
      </w:r>
    </w:p>
    <w:p>
      <w:pPr>
        <w:pStyle w:val="b5"/>
      </w:pPr>
      <w:r>
        <w:t>第二，本文结果与《第五次国民体质监测公报》等官方数据属于不同层次的数据：官方公报是基于全国范围抽样监测并经汇总得到的总体层面统计量，而本文结果是CHNS原始个体记录的样本统计量。两者数值接近（20～24岁组男性：公报为172.6厘米，本文样本为171.5614厘米；女性：公报为160.6厘米，本文样本为159.5917厘米）只能作为相互印证，不能互相替代，更不能把本文的样本标准差直接当作全国总体的标准差使用。</w:t>
      </w:r>
    </w:p>
    <w:p>
      <w:pPr>
        <w:pStyle w:val="b5"/>
      </w:pPr>
      <w:r>
        <w:t>第三，本文只分析了2011年一轮调查，没有比较不同调查年份之间的差异，因此本文不报告、也不推断中国成年人身高随年代的变化趋势。</w:t>
      </w:r>
    </w:p>
    <w:p>
      <w:pPr>
        <w:pStyle w:val="b2"/>
        <w:outlineLvl w:val="1"/>
        <w:keepNext/>
      </w:pPr>
      <w:r>
        <w:rPr>
          <w:rFonts w:eastAsia="黑体" w:ascii="Times New Roman" w:hAnsi="Times New Roman"/>
          <w:b/>
          <w:sz w:val="28"/>
        </w:rPr>
        <w:t>性别与年龄分组的重要性</w:t>
      </w:r>
    </w:p>
    <w:p>
      <w:pPr>
        <w:pStyle w:val="b5"/>
      </w:pPr>
      <w:r>
        <w:t>第5章的结果本身已经说明了分组的必要性：男性与女性的平均身高相差约11.97厘米，如果把473条记录合并为一个样本，相当于把两个均值相差接近2个标准差的分布叠加在一起，得到的混合分布自然会偏离单一正态形态。</w:t>
      </w:r>
    </w:p>
    <w:p>
      <w:pPr>
        <w:pStyle w:val="b5"/>
      </w:pPr>
      <w:r>
        <w:t>本文在引入人口学文件之前，对不分年龄、不分性别的大规模人体测量记录所作的探索性统计（偏度-1.5350，明显左偏）也提供了同方向的证据：总体混合是造成分布偏离正态的重要原因之一。这说明，当我们讨论“身高是否可以看作正态分布”时，首先需要回答的问题其实是“讨论的是哪一个总体”。</w:t>
      </w:r>
    </w:p>
    <w:p>
      <w:pPr>
        <w:pStyle w:val="b5"/>
      </w:pPr>
      <w:r>
        <w:t>同时应当承认，即使在“2011年、20～24岁、按性别分组”这一已经比较严格的限定之下，组内仍然存在年龄（20～24岁共5个年龄）、地区、城乡与社会经济条件等方面的差异。这些未被完全控制的因素，可能是女性样本出现轻微正态性偏离的原因之一。限于课程论文的工作量，本文不再作更细的分层分析。</w:t>
      </w:r>
    </w:p>
    <w:p>
      <w:pPr>
        <w:pStyle w:val="b2"/>
        <w:outlineLvl w:val="1"/>
        <w:keepNext/>
      </w:pPr>
      <w:r>
        <w:rPr>
          <w:rFonts w:eastAsia="黑体" w:ascii="Times New Roman" w:hAnsi="Times New Roman"/>
          <w:b/>
          <w:sz w:val="28"/>
        </w:rPr>
        <w:t>Shapiro-Wilk检验与实际拟合的关系</w:t>
      </w:r>
    </w:p>
    <w:p>
      <w:pPr>
        <w:pStyle w:val="b5"/>
      </w:pPr>
      <w:r>
        <w:t>本文第5章得到了男性P=0.2799、女性P=0.0281两个方向相反的检验结果，这恰好说明正态性检验的结论必须被谨慎解释。</w:t>
      </w:r>
    </w:p>
    <w:p>
      <w:pPr>
        <w:pStyle w:val="b5"/>
      </w:pPr>
      <w:r>
        <w:t>第一，检验的“拒绝”与“不拒绝”都不是对现实的完整判决。P&gt;0.05表示在本次检验中没有发现足以拒绝正态性假设的证据，不等于证明数据严格服从正态分布；P&lt;0.05表示存在统计上可检测的偏离，也不等于正态模型在所有应用中都失效</w:t>
      </w:r>
      <w:r>
        <w:rPr>
          <w:vertAlign w:val="superscript"/>
        </w:rPr>
        <w:t>[12-13]</w:t>
      </w:r>
      <w:r>
        <w:t>。</w:t>
      </w:r>
    </w:p>
    <w:p>
      <w:pPr>
        <w:pStyle w:val="b5"/>
      </w:pPr>
      <w:r>
        <w:t>第二，检验结果高度依赖样本量。样本量很大时，即使很微小的偏离也可能产生很小的P值；样本量较小时，即使明显偏离也可能检验不出来。因此检验必须与直方图、Q-Q图、偏度、峰度等描述性证据结合使用，而不能只看一个P值。</w:t>
      </w:r>
    </w:p>
    <w:p>
      <w:pPr>
        <w:pStyle w:val="b5"/>
      </w:pPr>
      <w:r>
        <w:t>第三，模型是否“够用”取决于应用目的。如果只是用均值与标准差对人群身高作概括描述，或用3σ原则给出覆盖多数个体的区间，那么即使女性样本被检验出轻微偏离，正态模型给出的结果与实际情况仍然相当接近（见表5-2）；但如果要用正态模型去估计极端分位数或小概率事件，这种偏离的影响会被放大，此时应改用其他分布模型或直接使用经验分位数。</w:t>
      </w:r>
    </w:p>
    <w:p>
      <w:pPr>
        <w:pStyle w:val="b1"/>
        <w:outlineLvl w:val="0"/>
        <w:keepNext/>
      </w:pPr>
      <w:r>
        <w:rPr>
          <w:rFonts w:eastAsia="黑体" w:ascii="Times New Roman" w:hAnsi="Times New Roman"/>
          <w:b/>
          <w:sz w:val="30"/>
        </w:rPr>
        <w:t>结论</w:t>
      </w:r>
    </w:p>
    <w:p>
      <w:pPr>
        <w:pStyle w:val="b5"/>
      </w:pPr>
      <w:r>
        <w:t>第一，人体身高可以作为正态分布的现实候选案例，但前提是研究总体被清楚定义：必须先说明性别、年龄以及数据来源与调查年份。在明确限定条件之后，只需均值与标准差两个参数，就可以对该人群的身高特征作出简明描述。</w:t>
      </w:r>
    </w:p>
    <w:p>
      <w:pPr>
        <w:pStyle w:val="b5"/>
      </w:pPr>
      <w:r>
        <w:t>第二，研究总体的定义非常重要。官方统计资料显示，中国成年人身高在性别与年龄之间存在明显差异（表3-1：20～24岁组男性平均172.6厘米、女性平均160.6厘米），相关体质人类学研究也显示地区之间存在差异。因此关于身高分布的任何概率陈述，都必须先说明其所指的总体范围。</w:t>
      </w:r>
    </w:p>
    <w:p>
      <w:pPr>
        <w:pStyle w:val="b5"/>
      </w:pPr>
      <w:r>
        <w:t>第三，本文对2011年CHNS 20～24岁样本的实际分析表明：有效样本共473人，其中男性220人、女性253人，被排除的45条记录全部因身高缺失，无任何记录因异常值被删除。男性样本均值为171.5614厘米、标准差为6.8218厘米，偏度为0.0107、超额峰度为-0.0150，Shapiro-Wilk检验W=0.992062、P=0.2799，在5%显著性水平下不能拒绝正态性原假设；女性样本均值为159.5917厘米、标准差为6.0802厘米，偏度为-0.3614、超额峰度为0.5907，Shapiro-Wilk检验W=0.987611、P=0.0281，在5%显著性水平下拒绝正态性原假设，说明女性样本存在统计上可检测的正态性偏离。</w:t>
      </w:r>
    </w:p>
    <w:p>
      <w:pPr>
        <w:pStyle w:val="b5"/>
      </w:pPr>
      <w:r>
        <w:t>第四，女性样本的检验结果不能被解读为“正态分布完全不能使用”。该样本μ±1σ、μ±2σ、μ±3σ区间的实际覆盖比例为68.77%、96.05%、99.60%，与理论值68.27%、95.45%、99.73%十分接近；同样，男性样本的P&gt;0.05也只说明本次检验未发现显著偏离，并不构成对正态性的证明。</w:t>
      </w:r>
    </w:p>
    <w:p>
      <w:pPr>
        <w:pStyle w:val="b5"/>
      </w:pPr>
      <w:r>
        <w:t>第五，本文结果只适用于“2011年CHNS 20～24岁受访者”这一特定样本，不能外推为中国成年人总体的身高参数；本文样本统计量与官方公报的全国汇总统计量属于不同层次的数据，只能相互印证，不能互相替代。</w:t>
      </w:r>
    </w:p>
    <w:p>
      <w:pPr>
        <w:pStyle w:val="b5"/>
      </w:pPr>
      <w:r>
        <w:t>第六，正态分布的实际价值，在于对适当定义的人群进行近似描述、标准化和概率推断。通过标准化变换Z=(X−μ)/σ可以判断个体在总体中的相对位置，借助3σ原则可以给出覆盖多数个体的区间；但这些结论的可靠性，始终取决于总体定义是否清晰、模型偏离是否被充分检查。</w:t>
      </w:r>
    </w:p>
    <w:p>
      <w:pPr>
        <w:pStyle w:val="b1"/>
        <w:outlineLvl w:val="0"/>
        <w:keepNext/>
      </w:pPr>
      <w:r>
        <w:rPr>
          <w:rFonts w:eastAsia="黑体" w:ascii="Times New Roman" w:hAnsi="Times New Roman"/>
          <w:b/>
          <w:sz w:val="30"/>
        </w:rPr>
        <w:t>总结与个人体会</w:t>
      </w:r>
    </w:p>
    <w:p>
      <w:pPr>
        <w:pStyle w:val="b5"/>
      </w:pPr>
      <w:r>
        <w:t>完成这次作业之前，“平均身高”对我来说只是一个数字。学习正态分布之后，我开始能够进一步追问：这个平均值意味着什么？身高的波动有多大？大多数人集中在什么范围？一个明显高于平均值的身高有多罕见？这些问题都可以用均值、方差、标准差和标准化来描述。</w:t>
      </w:r>
    </w:p>
    <w:p>
      <w:pPr>
        <w:pStyle w:val="b5"/>
      </w:pPr>
      <w:r>
        <w:t>这次真正读取CHNS数据、把人体测量文件与人口学文件按个体编号连接起来并按性别分开分析，让我对课堂知识有了新的体会。一方面，课本上的正态曲线确实能帮我们把一大堆数据压缩成两个参数；另一方面，男性样本与正态曲线吻合较好，而女性样本虽然整体形态也很接近，却在Shapiro-Wilk检验中被检测出轻微偏离。真实数据不会自动长得和课本插图完全一样，统计模型是用来描述现实的工具，而不是现实本身。</w:t>
      </w:r>
    </w:p>
    <w:p>
      <w:pPr>
        <w:pStyle w:val="b5"/>
      </w:pPr>
      <w:r>
        <w:t>我也体会到，做数据分析时最重要的步骤往往不是套公式，而是先想清楚“我在研究谁”。如果不分性别、不分年龄地把数据混在一起，就会得到明显左偏的混合分布；把总体限定为2011年20～24岁并按性别分组之后，数据才呈现出接近正态的形态。因此，“人体身高服从正态分布”这句话，更准确的说法应该是：在明确限定的特定人群中，身高可以作为正态分布的近似建模对象，而这种近似是否成立，最终要靠数据检验来说话。</w:t>
      </w:r>
    </w:p>
    <w:p>
      <w:pPr>
        <w:sectPr>
          <w:type w:val="nextPage"/>
          <w:pgNumType w:fmt="decimal" w:start="1"/>
          <w:headerReference w:type="default" r:id="rId59"/>
          <w:footerReference w:type="default" r:id="rId60"/>
          <w:footnotePr>
            <w:numRestart w:val="eachPage"/>
          </w:footnotePr>
          <w:pgSz w:w="11906" w:h="16838"/>
          <w:pgMar w:top="1701" w:right="1701" w:bottom="1134" w:left="1701" w:header="850" w:footer="992" w:gutter="567"/>
          <w:cols w:space="720"/>
          <w:docGrid w:linePitch="272"/>
        </w:sectPr>
      </w:pPr>
    </w:p>
    <w:p>
      <w:pPr>
        <w:pStyle w:val="b7"/>
        <w:outlineLvl w:val="0"/>
      </w:pPr>
      <w:r>
        <w:t>参考文献</w:t>
      </w:r>
    </w:p>
    <w:p>
      <w:pPr>
        <w:pStyle w:val="b0"/>
      </w:pPr>
      <w:r>
        <w:t>浙江大学 盛骤, 谢式千, 潘承毅．概率论与数理统计[M]．4版．北京：高等教育出版社，2008．</w:t>
      </w:r>
    </w:p>
    <w:p>
      <w:pPr>
        <w:pStyle w:val="b0"/>
      </w:pPr>
      <w:r>
        <w:t>A’HEARN B, PERACCHI F, VECCHI G．Height and the normal distribution: evidence from Italian military data[J]．Demography，2009，46(1)：1-25．DOI:10.1353/dem.0.0049．</w:t>
      </w:r>
    </w:p>
    <w:p>
      <w:pPr>
        <w:pStyle w:val="b0"/>
      </w:pPr>
      <w:r>
        <w:t>NCD Risk Factor Collaboration (NCD-RisC)．A century of trends in adult human height[J]．eLife，2016，5：e13410．DOI:10.7554/eLife.13410．</w:t>
      </w:r>
    </w:p>
    <w:p>
      <w:pPr>
        <w:pStyle w:val="b0"/>
      </w:pPr>
      <w:r>
        <w:t>国家市场监督管理总局，国家标准化管理委员会．GB/T 10000—2023 中国成年人人体尺寸[S]．北京：中国标准出版社，2023．</w:t>
      </w:r>
    </w:p>
    <w:p>
      <w:pPr>
        <w:pStyle w:val="b0"/>
      </w:pPr>
      <w:r>
        <w:t>国家体育总局，国家国民体质监测中心．第五次国民体质监测公报[R]．北京：国家体育总局，2021．</w:t>
      </w:r>
    </w:p>
    <w:p>
      <w:pPr>
        <w:pStyle w:val="b0"/>
      </w:pPr>
      <w:r>
        <w:t>ZHANG X H, WEI Y, ZHENG L B, et al．Estimation of stature by using the dimensions of the right hand and right foot in Han Chinese adults[J]．Science China Life Sciences，2017，60(1)：81-90．DOI:10.1007/s11427-016-0051-8．</w:t>
      </w:r>
    </w:p>
    <w:p>
      <w:pPr>
        <w:pStyle w:val="b0"/>
      </w:pPr>
      <w:r>
        <w:t>李咏兰．中国乡村汉族男性体部指标的多元分析[J]．解剖学报，2018，49(2)：240-245．DOI:10.16098/j.issn.0529-1356.2018.02.017．</w:t>
      </w:r>
    </w:p>
    <w:p>
      <w:pPr>
        <w:pStyle w:val="b0"/>
      </w:pPr>
      <w:r>
        <w:t>YUAN Y, ZHOU B, WANG S N, et al．Adult body height and cardiometabolic disease risk: the China National Health Survey in Shaanxi[J]．Frontiers in Endocrinology，2020，11：587616．DOI:10.3389/fendo.2020.587616．</w:t>
      </w:r>
    </w:p>
    <w:p>
      <w:pPr>
        <w:pStyle w:val="b0"/>
      </w:pPr>
      <w:r>
        <w:t>POPKIN B M, DU S F, ZHAI F Y, et al．Cohort profile: the China Health and Nutrition Survey—monitoring and understanding socio-economic and health change in China, 1989-2011[J]．International Journal of Epidemiology，2010，39(6)：1435-1440．DOI:10.1093/ije/dyp322．</w:t>
      </w:r>
    </w:p>
    <w:p>
      <w:pPr>
        <w:pStyle w:val="b0"/>
      </w:pPr>
      <w:r>
        <w:t>YOKOYAMA Y．A study on normality of the standing height in the Japanese youth[J]．Journal of the Anthropological Society of Nippon，1978，86(4)：313-320．DOI:10.1537/ase1911.86.313．</w:t>
      </w:r>
    </w:p>
    <w:p>
      <w:pPr>
        <w:pStyle w:val="b0"/>
      </w:pPr>
      <w:r>
        <w:t>SHAPIRO S S, WILK M B．An analysis of variance test for normality (complete samples)[J]．Biometrika，1965，52(3-4)：591-611．DOI:10.1093/biomet/52.3-4.591．</w:t>
      </w:r>
    </w:p>
    <w:p>
      <w:pPr>
        <w:pStyle w:val="b0"/>
      </w:pPr>
      <w:r>
        <w:t>GHASEMI A, ZAHEDIASL S．Normality tests for statistical analysis: a guide for non-statisticians[J]．International Journal of Endocrinology and Metabolism，2012，10(2)：486-489．DOI:10.5812/ijem.3505．</w:t>
      </w:r>
    </w:p>
    <w:p>
      <w:pPr>
        <w:pStyle w:val="b0"/>
      </w:pPr>
      <w:r>
        <w:t>MISHRA P, PANDEY C M, SINGH U, et al．Descriptive statistics and normality tests for statistical data[J]．Annals of Cardiac Anaesthesia，2019，22(1)：67-72．DOI:10.4103/aca.ACA_157_18．</w:t>
      </w:r>
    </w:p>
    <w:p>
      <w:pPr>
        <w:sectPr>
          <w:type w:val="nextPage"/>
          <w:pgNumType w:fmt="decimal"/>
          <w:headerReference w:type="default" r:id="rId61"/>
          <w:footerReference w:type="default" r:id="rId62"/>
          <w:footnotePr>
            <w:numRestart w:val="eachPage"/>
          </w:footnotePr>
          <w:pgSz w:w="11906" w:h="16838"/>
          <w:pgMar w:top="1701" w:right="1701" w:bottom="1134" w:left="1701" w:header="850" w:footer="992" w:gutter="567"/>
          <w:cols w:space="720"/>
          <w:docGrid w:linePitch="272"/>
        </w:sectPr>
      </w:pPr>
    </w:p>
    <w:p>
      <w:pPr>
        <w:pStyle w:val="b"/>
        <w:outlineLvl w:val="0"/>
      </w:pPr>
      <w:r>
        <w:t>附录A 数据分析流程与核心程序</w:t>
      </w:r>
    </w:p>
    <w:p>
      <w:pPr>
        <w:pStyle w:val="b5"/>
      </w:pPr>
      <w:r>
        <w:t>本文实证分析所用程序均以 Python 编写并实际运行，数据来自中国健康与营养调查（CHNS）公开数据文件。下面先给出完整的处理步骤，再给出其中最核心的程序片段；完整源代码作为电子附件随文保存。</w:t>
      </w:r>
    </w:p>
    <w:p>
      <w:pPr>
        <w:pStyle w:val="b5"/>
        <w:spacing w:before="8" w:after="4"/>
      </w:pPr>
      <w:r>
        <w:rPr>
          <w:rFonts w:eastAsia="黑体" w:ascii="Times New Roman" w:hAnsi="Times New Roman"/>
          <w:b/>
          <w:sz w:val="22"/>
        </w:rPr>
        <w:t>1 数据处理与计算步骤</w:t>
      </w:r>
    </w:p>
    <w:p>
      <w:pPr>
        <w:pStyle w:val="b5"/>
      </w:pPr>
      <w:r>
        <w:t>（1）读取人体测量文件 pexam_00.sas7bdat（含 IDind、HEIGHT、WAVE）与人口学文件 mast_pub_12.sas7bdat（含 Idind、GENDER、WEST_DOB_Y），均使用 pyreadstat 读取；</w:t>
        <w:br/>
        <w:t>（2）以个体编号为键，将身高记录与人口学信息按“多对一”方式连接，连接后 110449 条身高记录的匹配率为 100%；</w:t>
        <w:br/>
        <w:t>（3）按 AGE = WAVE - WEST_DOB_Y 计算年龄（近似周岁）；</w:t>
        <w:br/>
        <w:t>（4）筛选 WAVE = 2011 且 20 &lt;= AGE &lt;= 24 的记录，并剔除 HEIGHT 缺失或超出 100～220 厘米的记录，得到正式样本；</w:t>
        <w:br/>
        <w:t>（5）按性别（GENDER：1=男，2=女）分组，分别计算描述统计量（均值、方差、标准差、中位数、偏度、超额峰度）；</w:t>
        <w:br/>
        <w:t>（6）绘制各组直方图并叠加理论正态密度曲线，以及 Q-Q 图；</w:t>
        <w:br/>
        <w:t>（7）对两组样本执行 Shapiro-Wilk 正态性检验；</w:t>
        <w:br/>
        <w:t>（8）计算 mu±1σ、mu±2σ、mu±3σ 区间的实际覆盖比例，并与正态理论值比较。</w:t>
      </w:r>
    </w:p>
    <w:p>
      <w:pPr>
        <w:pStyle w:val="b2"/>
        <w:outlineLvl w:val="1"/>
      </w:pPr>
      <w:r>
        <w:t>2 核心程序片段</w:t>
      </w:r>
    </w:p>
    <w:p>
      <w:pPr>
        <w:pStyle w:val="b5"/>
      </w:pPr>
      <w:r>
        <w:t>以下片段摘自实际运行的程序，给出上述步骤中最关键的实现（变量名与正文、表5-1、表5-2、图5-1至图5-4保持一致）。</w:t>
      </w:r>
    </w:p>
    <w:p>
      <w:pPr>
        <w:pStyle w:val="b5"/>
        <w:spacing w:before="8" w:after="4"/>
      </w:pPr>
      <w:r>
        <w:rPr>
          <w:rFonts w:eastAsia="黑体" w:ascii="Times New Roman" w:hAnsi="Times New Roman"/>
          <w:b/>
          <w:sz w:val="22"/>
        </w:rPr>
        <w:t>片段1：数据读取与个体编号匹配</w:t>
      </w:r>
    </w:p>
    <w:p>
      <w:pPr>
        <w:ind w:left="0" w:firstLine="0"/>
        <w:spacing w:before="0" w:after="0" w:line="240" w:lineRule="auto"/>
      </w:pPr>
      <w:r>
        <w:rPr>
          <w:rFonts w:eastAsia="Consolas" w:ascii="Consolas" w:hAnsi="Consolas"/>
          <w:sz w:val="17"/>
        </w:rPr>
        <w:t>import pyreadstat</w:t>
      </w:r>
    </w:p>
    <w:p>
      <w:pPr>
        <w:ind w:left="0" w:firstLine="0"/>
        <w:spacing w:before="0" w:after="0" w:line="240" w:lineRule="auto"/>
      </w:pPr>
      <w:r>
        <w:rPr>
          <w:rFonts w:eastAsia="Consolas" w:ascii="Consolas" w:hAnsi="Consolas"/>
          <w:sz w:val="17"/>
        </w:rPr>
        <w:t>import pandas as pd</w:t>
      </w:r>
    </w:p>
    <w:p>
      <w:pPr>
        <w:ind w:left="0" w:firstLine="0"/>
        <w:spacing w:before="0" w:after="0" w:line="240" w:lineRule="auto"/>
      </w:pPr>
    </w:p>
    <w:p>
      <w:pPr>
        <w:ind w:left="0" w:firstLine="0"/>
        <w:spacing w:before="0" w:after="0" w:line="240" w:lineRule="auto"/>
      </w:pPr>
      <w:r>
        <w:rPr>
          <w:rFonts w:eastAsia="Consolas" w:ascii="Consolas" w:hAnsi="Consolas"/>
          <w:sz w:val="17"/>
        </w:rPr>
        <w:t>height = pyreadstat.read_sas7bdat(</w:t>
      </w:r>
    </w:p>
    <w:p>
      <w:pPr>
        <w:ind w:left="0" w:firstLine="0"/>
        <w:spacing w:before="0" w:after="0" w:line="240" w:lineRule="auto"/>
      </w:pPr>
      <w:r>
        <w:rPr>
          <w:rFonts w:eastAsia="Consolas" w:ascii="Consolas" w:hAnsi="Consolas"/>
          <w:sz w:val="17"/>
        </w:rPr>
        <w:t xml:space="preserve">    "data/pexam_00.sas7bdat",</w:t>
      </w:r>
    </w:p>
    <w:p>
      <w:pPr>
        <w:ind w:left="0" w:firstLine="0"/>
        <w:spacing w:before="0" w:after="0" w:line="240" w:lineRule="auto"/>
      </w:pPr>
      <w:r>
        <w:t xml:space="preserve">    usecols=["IDind", "HEIGHT", "WAVE"])</w:t>
      </w:r>
      <w:r>
        <w:rPr>
          <w:vertAlign w:val="superscript"/>
        </w:rPr>
        <w:t>[0]</w:t>
      </w:r>
    </w:p>
    <w:p>
      <w:pPr>
        <w:ind w:left="0" w:firstLine="0"/>
        <w:spacing w:before="0" w:after="0" w:line="240" w:lineRule="auto"/>
      </w:pPr>
      <w:r>
        <w:rPr>
          <w:rFonts w:eastAsia="Consolas" w:ascii="Consolas" w:hAnsi="Consolas"/>
          <w:sz w:val="17"/>
        </w:rPr>
        <w:t>master = pyreadstat.read_sas7bdat(</w:t>
      </w:r>
    </w:p>
    <w:p>
      <w:pPr>
        <w:ind w:left="0" w:firstLine="0"/>
        <w:spacing w:before="0" w:after="0" w:line="240" w:lineRule="auto"/>
      </w:pPr>
      <w:r>
        <w:rPr>
          <w:rFonts w:eastAsia="Consolas" w:ascii="Consolas" w:hAnsi="Consolas"/>
          <w:sz w:val="17"/>
        </w:rPr>
        <w:t xml:space="preserve">    "data/mast_pub_12.sas7bdat",</w:t>
      </w:r>
    </w:p>
    <w:p>
      <w:pPr>
        <w:ind w:left="0" w:firstLine="0"/>
        <w:spacing w:before="0" w:after="0" w:line="240" w:lineRule="auto"/>
      </w:pPr>
      <w:r>
        <w:t xml:space="preserve">    usecols=["Idind", "GENDER", "WEST_DOB_Y"])</w:t>
      </w:r>
      <w:r>
        <w:rPr>
          <w:vertAlign w:val="superscript"/>
        </w:rPr>
        <w:t>[0]</w:t>
      </w:r>
    </w:p>
    <w:p>
      <w:pPr>
        <w:ind w:left="0" w:firstLine="0"/>
        <w:spacing w:before="0" w:after="0" w:line="240" w:lineRule="auto"/>
      </w:pPr>
    </w:p>
    <w:p>
      <w:pPr>
        <w:ind w:left="0" w:firstLine="0"/>
        <w:spacing w:before="0" w:after="0" w:line="240" w:lineRule="auto"/>
      </w:pPr>
      <w:r>
        <w:rPr>
          <w:rFonts w:eastAsia="Consolas" w:ascii="Consolas" w:hAnsi="Consolas"/>
          <w:sz w:val="17"/>
        </w:rPr>
        <w:t># 列名统一为大写，便于按 ID 连接</w:t>
      </w:r>
    </w:p>
    <w:p>
      <w:pPr>
        <w:ind w:left="0" w:firstLine="0"/>
        <w:spacing w:before="0" w:after="0" w:line="240" w:lineRule="auto"/>
      </w:pPr>
      <w:r>
        <w:rPr>
          <w:rFonts w:eastAsia="Consolas" w:ascii="Consolas" w:hAnsi="Consolas"/>
          <w:sz w:val="17"/>
        </w:rPr>
        <w:t>height.columns = [c.upper() for c in height.columns]</w:t>
      </w:r>
    </w:p>
    <w:p>
      <w:pPr>
        <w:ind w:left="0" w:firstLine="0"/>
        <w:spacing w:before="0" w:after="0" w:line="240" w:lineRule="auto"/>
      </w:pPr>
      <w:r>
        <w:rPr>
          <w:rFonts w:eastAsia="Consolas" w:ascii="Consolas" w:hAnsi="Consolas"/>
          <w:sz w:val="17"/>
        </w:rPr>
        <w:t>master.columns = [c.upper() for c in master.columns]</w:t>
      </w:r>
    </w:p>
    <w:p>
      <w:pPr>
        <w:ind w:left="0" w:firstLine="0"/>
        <w:spacing w:before="0" w:after="0" w:line="240" w:lineRule="auto"/>
      </w:pPr>
    </w:p>
    <w:p>
      <w:pPr>
        <w:ind w:left="0" w:firstLine="0"/>
        <w:spacing w:before="0" w:after="0" w:line="240" w:lineRule="auto"/>
      </w:pPr>
      <w:r>
        <w:rPr>
          <w:rFonts w:eastAsia="Consolas" w:ascii="Consolas" w:hAnsi="Consolas"/>
          <w:sz w:val="17"/>
        </w:rPr>
        <w:t>merged = height.merge(</w:t>
      </w:r>
    </w:p>
    <w:p>
      <w:pPr>
        <w:ind w:left="0" w:firstLine="0"/>
        <w:spacing w:before="0" w:after="0" w:line="240" w:lineRule="auto"/>
      </w:pPr>
      <w:r>
        <w:rPr>
          <w:rFonts w:eastAsia="Consolas" w:ascii="Consolas" w:hAnsi="Consolas"/>
          <w:sz w:val="17"/>
        </w:rPr>
        <w:t xml:space="preserve">    master[["ID", "GENDER", "WEST_DOB_Y"]],</w:t>
      </w:r>
    </w:p>
    <w:p>
      <w:pPr>
        <w:ind w:left="0" w:firstLine="0"/>
        <w:spacing w:before="0" w:after="0" w:line="240" w:lineRule="auto"/>
      </w:pPr>
      <w:r>
        <w:rPr>
          <w:rFonts w:eastAsia="Consolas" w:ascii="Consolas" w:hAnsi="Consolas"/>
          <w:sz w:val="17"/>
        </w:rPr>
        <w:t xml:space="preserve">    on="ID", how="left", validate="many_to_one")</w:t>
      </w:r>
    </w:p>
    <w:p>
      <w:pPr>
        <w:ind w:left="0" w:firstLine="0"/>
        <w:spacing w:before="0" w:after="0" w:line="240" w:lineRule="auto"/>
      </w:pPr>
      <w:r>
        <w:rPr>
          <w:rFonts w:eastAsia="Consolas" w:ascii="Consolas" w:hAnsi="Consolas"/>
          <w:sz w:val="17"/>
        </w:rPr>
        <w:t>merged["AGE"] = merged["WAVE"] - merged["WEST_DOB_Y"]   # 年龄 = 调查年 - 出生年</w:t>
      </w:r>
    </w:p>
    <w:p>
      <w:pPr>
        <w:pStyle w:val="b5"/>
        <w:spacing w:before="8" w:after="4"/>
      </w:pPr>
      <w:r>
        <w:rPr>
          <w:rFonts w:eastAsia="黑体" w:ascii="Times New Roman" w:hAnsi="Times New Roman"/>
          <w:b/>
          <w:sz w:val="22"/>
        </w:rPr>
        <w:t>片段2：样本筛选与按性别分组</w:t>
      </w:r>
    </w:p>
    <w:p>
      <w:pPr>
        <w:ind w:left="0" w:firstLine="0"/>
        <w:spacing w:before="0" w:after="0" w:line="240" w:lineRule="auto"/>
      </w:pPr>
      <w:r>
        <w:rPr>
          <w:rFonts w:eastAsia="Consolas" w:ascii="Consolas" w:hAnsi="Consolas"/>
          <w:sz w:val="17"/>
        </w:rPr>
        <w:t>sub = merged[(merged["WAVE"] == 2011) &amp;</w:t>
      </w:r>
    </w:p>
    <w:p>
      <w:pPr>
        <w:ind w:left="0" w:firstLine="0"/>
        <w:spacing w:before="0" w:after="0" w:line="240" w:lineRule="auto"/>
      </w:pPr>
      <w:r>
        <w:rPr>
          <w:rFonts w:eastAsia="Consolas" w:ascii="Consolas" w:hAnsi="Consolas"/>
          <w:sz w:val="17"/>
        </w:rPr>
        <w:t xml:space="preserve">            (merged["AGE"].between(20, 24)) &amp;</w:t>
      </w:r>
    </w:p>
    <w:p>
      <w:pPr>
        <w:ind w:left="0" w:firstLine="0"/>
        <w:spacing w:before="0" w:after="0" w:line="240" w:lineRule="auto"/>
      </w:pPr>
      <w:r>
        <w:rPr>
          <w:rFonts w:eastAsia="Consolas" w:ascii="Consolas" w:hAnsi="Consolas"/>
          <w:sz w:val="17"/>
        </w:rPr>
        <w:t xml:space="preserve">            (merged["HEIGHT"].notna()) &amp;</w:t>
      </w:r>
    </w:p>
    <w:p>
      <w:pPr>
        <w:ind w:left="0" w:firstLine="0"/>
        <w:spacing w:before="0" w:after="0" w:line="240" w:lineRule="auto"/>
      </w:pPr>
      <w:r>
        <w:rPr>
          <w:rFonts w:eastAsia="Consolas" w:ascii="Consolas" w:hAnsi="Consolas"/>
          <w:sz w:val="17"/>
        </w:rPr>
        <w:t xml:space="preserve">            (merged["HEIGHT"].between(100, 220))].copy()</w:t>
      </w:r>
    </w:p>
    <w:p>
      <w:pPr>
        <w:ind w:left="0" w:firstLine="0"/>
        <w:spacing w:before="0" w:after="0" w:line="240" w:lineRule="auto"/>
      </w:pPr>
      <w:r>
        <w:rPr>
          <w:rFonts w:eastAsia="Consolas" w:ascii="Consolas" w:hAnsi="Consolas"/>
          <w:sz w:val="17"/>
        </w:rPr>
        <w:t>groups = {g: sub[sub["GENDER"] == g] for g in (1, 2)}   # 1=男, 2=女</w:t>
      </w:r>
    </w:p>
    <w:p>
      <w:pPr>
        <w:pStyle w:val="b5"/>
        <w:spacing w:before="8" w:after="4"/>
      </w:pPr>
      <w:r>
        <w:rPr>
          <w:rFonts w:eastAsia="黑体" w:ascii="Times New Roman" w:hAnsi="Times New Roman"/>
          <w:b/>
          <w:sz w:val="22"/>
        </w:rPr>
        <w:t>片段3：描述统计、偏度、峰度与 Shapiro-Wilk 检验</w:t>
      </w:r>
    </w:p>
    <w:p>
      <w:pPr>
        <w:ind w:left="0" w:firstLine="0"/>
        <w:spacing w:before="0" w:after="0" w:line="240" w:lineRule="auto"/>
      </w:pPr>
      <w:r>
        <w:rPr>
          <w:rFonts w:eastAsia="Consolas" w:ascii="Consolas" w:hAnsi="Consolas"/>
          <w:sz w:val="17"/>
        </w:rPr>
        <w:t>import scipy.stats as stats</w:t>
      </w:r>
    </w:p>
    <w:p>
      <w:pPr>
        <w:ind w:left="0" w:firstLine="0"/>
        <w:spacing w:before="0" w:after="0" w:line="240" w:lineRule="auto"/>
      </w:pPr>
    </w:p>
    <w:p>
      <w:pPr>
        <w:ind w:left="0" w:firstLine="0"/>
        <w:spacing w:before="0" w:after="0" w:line="240" w:lineRule="auto"/>
      </w:pPr>
      <w:r>
        <w:rPr>
          <w:rFonts w:eastAsia="Consolas" w:ascii="Consolas" w:hAnsi="Consolas"/>
          <w:sz w:val="17"/>
        </w:rPr>
        <w:t>def describe(x):</w:t>
      </w:r>
    </w:p>
    <w:p>
      <w:pPr>
        <w:ind w:left="0" w:firstLine="0"/>
        <w:spacing w:before="0" w:after="0" w:line="240" w:lineRule="auto"/>
      </w:pPr>
      <w:r>
        <w:rPr>
          <w:rFonts w:eastAsia="Consolas" w:ascii="Consolas" w:hAnsi="Consolas"/>
          <w:sz w:val="17"/>
        </w:rPr>
        <w:t xml:space="preserve">    n = len(x)</w:t>
      </w:r>
    </w:p>
    <w:p>
      <w:pPr>
        <w:ind w:left="0" w:firstLine="0"/>
        <w:spacing w:before="0" w:after="0" w:line="240" w:lineRule="auto"/>
      </w:pPr>
      <w:r>
        <w:rPr>
          <w:rFonts w:eastAsia="Consolas" w:ascii="Consolas" w:hAnsi="Consolas"/>
          <w:sz w:val="17"/>
        </w:rPr>
        <w:t xml:space="preserve">    mean = x.mean()</w:t>
      </w:r>
    </w:p>
    <w:p>
      <w:pPr>
        <w:ind w:left="0" w:firstLine="0"/>
        <w:spacing w:before="0" w:after="0" w:line="240" w:lineRule="auto"/>
      </w:pPr>
      <w:r>
        <w:rPr>
          <w:rFonts w:eastAsia="Consolas" w:ascii="Consolas" w:hAnsi="Consolas"/>
          <w:sz w:val="17"/>
        </w:rPr>
        <w:t xml:space="preserve">    var = x.var(ddof=1)            # 样本方差</w:t>
      </w:r>
    </w:p>
    <w:p>
      <w:pPr>
        <w:ind w:left="0" w:firstLine="0"/>
        <w:spacing w:before="0" w:after="0" w:line="240" w:lineRule="auto"/>
      </w:pPr>
      <w:r>
        <w:rPr>
          <w:rFonts w:eastAsia="Consolas" w:ascii="Consolas" w:hAnsi="Consolas"/>
          <w:sz w:val="17"/>
        </w:rPr>
        <w:t xml:space="preserve">    std = x.std(ddof=1)            # 样本标准差</w:t>
      </w:r>
    </w:p>
    <w:p>
      <w:pPr>
        <w:ind w:left="0" w:firstLine="0"/>
        <w:spacing w:before="0" w:after="0" w:line="240" w:lineRule="auto"/>
      </w:pPr>
      <w:r>
        <w:rPr>
          <w:rFonts w:eastAsia="Consolas" w:ascii="Consolas" w:hAnsi="Consolas"/>
          <w:sz w:val="17"/>
        </w:rPr>
        <w:t xml:space="preserve">    skew = stats.skew(x, bias=False)        # 偏度</w:t>
      </w:r>
    </w:p>
    <w:p>
      <w:pPr>
        <w:ind w:left="0" w:firstLine="0"/>
        <w:spacing w:before="0" w:after="0" w:line="240" w:lineRule="auto"/>
      </w:pPr>
      <w:r>
        <w:rPr>
          <w:rFonts w:eastAsia="Consolas" w:ascii="Consolas" w:hAnsi="Consolas"/>
          <w:sz w:val="17"/>
        </w:rPr>
        <w:t xml:space="preserve">    kurt = stats.kurtosis(x, bias=False)    # 超额峰度</w:t>
      </w:r>
    </w:p>
    <w:p>
      <w:pPr>
        <w:ind w:left="0" w:firstLine="0"/>
        <w:spacing w:before="0" w:after="0" w:line="240" w:lineRule="auto"/>
      </w:pPr>
      <w:r>
        <w:rPr>
          <w:rFonts w:eastAsia="Consolas" w:ascii="Consolas" w:hAnsi="Consolas"/>
          <w:sz w:val="17"/>
        </w:rPr>
        <w:t xml:space="preserve">    W, p = stats.shapiro(x)        # Shapiro-Wilk 正态性检验</w:t>
      </w:r>
    </w:p>
    <w:p>
      <w:pPr>
        <w:ind w:left="0" w:firstLine="0"/>
        <w:spacing w:before="0" w:after="0" w:line="240" w:lineRule="auto"/>
      </w:pPr>
      <w:r>
        <w:rPr>
          <w:rFonts w:eastAsia="Consolas" w:ascii="Consolas" w:hAnsi="Consolas"/>
          <w:sz w:val="17"/>
        </w:rPr>
        <w:t xml:space="preserve">    return n, mean, var, std, skew, kurt, W, p</w:t>
      </w:r>
    </w:p>
    <w:p>
      <w:pPr>
        <w:pStyle w:val="b5"/>
        <w:spacing w:before="8" w:after="4"/>
      </w:pPr>
      <w:r>
        <w:rPr>
          <w:rFonts w:eastAsia="黑体" w:ascii="Times New Roman" w:hAnsi="Times New Roman"/>
          <w:b/>
          <w:sz w:val="22"/>
        </w:rPr>
        <w:t>片段4：3σ 实际覆盖比例、图形与结果输出</w:t>
      </w:r>
    </w:p>
    <w:p>
      <w:pPr>
        <w:ind w:left="0" w:firstLine="0"/>
        <w:spacing w:before="0" w:after="0" w:line="240" w:lineRule="auto"/>
      </w:pPr>
      <w:r>
        <w:rPr>
          <w:rFonts w:eastAsia="Consolas" w:ascii="Consolas" w:hAnsi="Consolas"/>
          <w:sz w:val="17"/>
        </w:rPr>
        <w:t>cov = {k: float(((x &gt;= mean - k * std) &amp;</w:t>
      </w:r>
    </w:p>
    <w:p>
      <w:pPr>
        <w:ind w:left="0" w:firstLine="0"/>
        <w:spacing w:before="0" w:after="0" w:line="240" w:lineRule="auto"/>
      </w:pPr>
      <w:r>
        <w:rPr>
          <w:rFonts w:eastAsia="Consolas" w:ascii="Consolas" w:hAnsi="Consolas"/>
          <w:sz w:val="17"/>
        </w:rPr>
        <w:t xml:space="preserve">               (x &lt;= mean + k * std)).mean())</w:t>
      </w:r>
    </w:p>
    <w:p>
      <w:pPr>
        <w:ind w:left="0" w:firstLine="0"/>
        <w:spacing w:before="0" w:after="0" w:line="240" w:lineRule="auto"/>
      </w:pPr>
      <w:r>
        <w:rPr>
          <w:rFonts w:eastAsia="Consolas" w:ascii="Consolas" w:hAnsi="Consolas"/>
          <w:sz w:val="17"/>
        </w:rPr>
        <w:t xml:space="preserve">         for k in (1, 2, 3)}        # mu±kσ 实际覆盖比例</w:t>
      </w:r>
    </w:p>
    <w:p>
      <w:pPr>
        <w:ind w:left="0" w:firstLine="0"/>
        <w:spacing w:before="0" w:after="0" w:line="240" w:lineRule="auto"/>
      </w:pPr>
    </w:p>
    <w:p>
      <w:pPr>
        <w:ind w:left="0" w:firstLine="0"/>
        <w:spacing w:before="0" w:after="0" w:line="240" w:lineRule="auto"/>
      </w:pPr>
      <w:r>
        <w:rPr>
          <w:rFonts w:eastAsia="Consolas" w:ascii="Consolas" w:hAnsi="Consolas"/>
          <w:sz w:val="17"/>
        </w:rPr>
        <w:t>import matplotlib.pyplot as plt</w:t>
      </w:r>
    </w:p>
    <w:p>
      <w:pPr>
        <w:ind w:left="0" w:firstLine="0"/>
        <w:spacing w:before="0" w:after="0" w:line="240" w:lineRule="auto"/>
      </w:pPr>
      <w:r>
        <w:rPr>
          <w:rFonts w:eastAsia="Consolas" w:ascii="Consolas" w:hAnsi="Consolas"/>
          <w:sz w:val="17"/>
        </w:rPr>
        <w:t>plt.hist(x, bins=15, density=True)</w:t>
      </w:r>
    </w:p>
    <w:p>
      <w:pPr>
        <w:ind w:left="0" w:firstLine="0"/>
        <w:spacing w:before="0" w:after="0" w:line="240" w:lineRule="auto"/>
      </w:pPr>
      <w:r>
        <w:rPr>
          <w:rFonts w:eastAsia="Consolas" w:ascii="Consolas" w:hAnsi="Consolas"/>
          <w:sz w:val="17"/>
        </w:rPr>
        <w:t>xs = np.linspace(x.min(), x.max(), 200)</w:t>
      </w:r>
    </w:p>
    <w:p>
      <w:pPr>
        <w:ind w:left="0" w:firstLine="0"/>
        <w:spacing w:before="0" w:after="0" w:line="240" w:lineRule="auto"/>
      </w:pPr>
      <w:r>
        <w:rPr>
          <w:rFonts w:eastAsia="Consolas" w:ascii="Consolas" w:hAnsi="Consolas"/>
          <w:sz w:val="17"/>
        </w:rPr>
        <w:t>plt.plot(xs, stats.norm.pdf(xs, mean, std))   # 叠加理论正态曲线</w:t>
      </w:r>
    </w:p>
    <w:p>
      <w:pPr>
        <w:ind w:left="0" w:firstLine="0"/>
        <w:spacing w:before="0" w:after="0" w:line="240" w:lineRule="auto"/>
      </w:pPr>
      <w:r>
        <w:rPr>
          <w:rFonts w:eastAsia="Consolas" w:ascii="Consolas" w:hAnsi="Consolas"/>
          <w:sz w:val="17"/>
        </w:rPr>
        <w:t>stats.probplot(x, dist="norm", plot=plt)      # 绘制 Q-Q 图</w:t>
      </w:r>
    </w:p>
    <w:p>
      <w:pPr>
        <w:ind w:left="0" w:firstLine="0"/>
        <w:spacing w:before="0" w:after="0" w:line="240" w:lineRule="auto"/>
      </w:pPr>
    </w:p>
    <w:p>
      <w:pPr>
        <w:ind w:left="0" w:firstLine="0"/>
        <w:spacing w:before="0" w:after="0" w:line="240" w:lineRule="auto"/>
      </w:pPr>
      <w:r>
        <w:rPr>
          <w:rFonts w:eastAsia="Consolas" w:ascii="Consolas" w:hAnsi="Consolas"/>
          <w:sz w:val="17"/>
        </w:rPr>
        <w:t>rows.append({"gender": g, "n": n, "mean_cm": mean})</w:t>
      </w:r>
    </w:p>
    <w:p>
      <w:pPr>
        <w:ind w:left="0" w:firstLine="0"/>
        <w:spacing w:before="0" w:after="0" w:line="240" w:lineRule="auto"/>
      </w:pPr>
      <w:r>
        <w:rPr>
          <w:rFonts w:eastAsia="Consolas" w:ascii="Consolas" w:hAnsi="Consolas"/>
          <w:sz w:val="17"/>
        </w:rPr>
        <w:t>out = pd.DataFrame(rows)</w:t>
      </w:r>
    </w:p>
    <w:p>
      <w:pPr>
        <w:ind w:left="0" w:firstLine="0"/>
        <w:spacing w:before="0" w:after="0" w:line="240" w:lineRule="auto"/>
      </w:pPr>
      <w:r>
        <w:rPr>
          <w:rFonts w:eastAsia="Consolas" w:ascii="Consolas" w:hAnsi="Consolas"/>
          <w:sz w:val="17"/>
        </w:rPr>
        <w:t>out.to_csv("outputs/table5_1_2_CHNS_2011_normality.csv",</w:t>
      </w:r>
    </w:p>
    <w:p>
      <w:pPr>
        <w:ind w:left="0" w:firstLine="0"/>
        <w:spacing w:before="0" w:after="0" w:line="240" w:lineRule="auto"/>
      </w:pPr>
      <w:r>
        <w:rPr>
          <w:rFonts w:eastAsia="Consolas" w:ascii="Consolas" w:hAnsi="Consolas"/>
          <w:sz w:val="17"/>
        </w:rPr>
        <w:t xml:space="preserve">           index=False, encoding="utf-8-sig")</w:t>
      </w:r>
    </w:p>
    <w:p>
      <w:pPr>
        <w:pStyle w:val="b5"/>
        <w:spacing w:before="8" w:after="4"/>
      </w:pPr>
      <w:r>
        <w:rPr>
          <w:rFonts w:eastAsia="黑体" w:ascii="Times New Roman" w:hAnsi="Times New Roman"/>
          <w:b/>
          <w:sz w:val="22"/>
        </w:rPr>
        <w:t>3 说明</w:t>
      </w:r>
    </w:p>
    <w:p>
      <w:pPr>
        <w:pStyle w:val="b5"/>
      </w:pPr>
      <w:r>
        <w:t>本文完整数据分析程序均已实际运行，完整 Python 源代码已保存在课程论文项目文件夹及项目代码仓库中，并与论文中的表5-1、表5-2及图5-1至图5-4保持一致。三个程序文件分别为：analyze_height_2011_normality.py（第5章统计量、检验与图形）、audit_2011_sample.py（样本清洗审计）与 analyze_height_demographic.py（性别与年龄分组补充核查）。四张图分别保存为 fig5_1_CHNS_2011_Male_histogram.png、fig5_2_CHNS_2011_Female_histogram.png、fig5_3_CHNS_2011_Male_QQ.png 与 fig5_4_CHNS_2011_Female_QQ.png。项目仓库地址：https://github.com/ChangGuanDaoRen/myrepot.git</w:t>
      </w:r>
    </w:p>
    <w:p>
      <w:pPr>
        <w:sectPr>
          <w:type w:val="nextPage"/>
          <w:pgNumType w:fmt="decimal"/>
          <w:headerReference w:type="default" r:id="rId63"/>
          <w:footerReference w:type="default" r:id="rId64"/>
          <w:footnotePr>
            <w:numRestart w:val="eachPage"/>
          </w:footnotePr>
          <w:pgSz w:w="11906" w:h="16838"/>
          <w:pgMar w:top="1701" w:right="1701" w:bottom="1134" w:left="1701" w:header="850" w:footer="992" w:gutter="567"/>
          <w:cols w:space="720"/>
          <w:docGrid w:linePitch="272"/>
        </w:sectPr>
      </w:pPr>
    </w:p>
    <w:p>
      <w:pPr>
        <w:pStyle w:val="b7"/>
        <w:outlineLvl w:val="0"/>
      </w:pPr>
      <w:r>
        <w:t>致 谢</w:t>
      </w:r>
    </w:p>
    <w:p>
      <w:pPr>
        <w:pStyle w:val="b5"/>
      </w:pPr>
      <w:r>
        <w:t>感谢老师在《概率论与数理统计》课程中的讲授，以及在本次课程论文报告写作过程中给予的选题建议、结构指导和修改意见，使本文得以逐步完善。</w:t>
      </w:r>
    </w:p>
    <w:p>
      <w:pPr>
        <w:pStyle w:val="b5"/>
      </w:pPr>
      <w:r>
        <w:t>本文使用了国家标准化管理委员会、国家体育总局等机构公开发布的中国成年人人体尺寸标准与国民体质监测资料，也使用了中国健康与营养调查（CHNS）公开的人体测量数据文件，在此一并致谢。限于本人的学识水平，文中难免存在不足之处，恳请老师批评指正。</w:t>
      </w:r>
    </w:p>
    <w:sectPr w:rsidR="00D47FAA" w:rsidSect="000017F7">
      <w:type w:val="nextPage"/>
      <w:pgNumType w:fmt="decimal"/>
      <w:headerReference w:type="default" r:id="rId65"/>
      <w:footerReference w:type="default" r:id="rId66"/>
      <w:footnotePr>
        <w:numRestart w:val="eachPage"/>
      </w:footnotePr>
      <w:pgSz w:w="11906" w:h="16838"/>
      <w:pgMar w:top="1701" w:right="1701" w:bottom="1134" w:left="1701" w:header="850" w:footer="992"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0DA5" w:rsidRDefault="00E00DA5">
      <w:r>
        <w:separator/>
      </w:r>
    </w:p>
  </w:endnote>
  <w:endnote w:type="continuationSeparator" w:id="0">
    <w:p w:rsidR="00E00DA5" w:rsidRDefault="00E0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魏碑简体">
    <w:altName w:val="宋体"/>
    <w:charset w:val="86"/>
    <w:family w:val="auto"/>
    <w:pitch w:val="variable"/>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A70C7D">
    <w:pPr>
      <w:pStyle w:val="a7"/>
      <w:widowControl w:val="0"/>
      <w:rPr>
        <w:kern w:val="2"/>
        <w:sz w:val="21"/>
        <w:szCs w:val="21"/>
      </w:rPr>
    </w:pPr>
    <w:r w:rsidRPr="00A70C7D">
      <w:rPr>
        <w:kern w:val="2"/>
        <w:sz w:val="21"/>
        <w:szCs w:val="21"/>
      </w:rPr>
      <w:t xml:space="preserve">- </w:t>
    </w:r>
    <w:r w:rsidRPr="00A70C7D">
      <w:rPr>
        <w:kern w:val="2"/>
        <w:sz w:val="21"/>
        <w:szCs w:val="21"/>
      </w:rPr>
      <w:fldChar w:fldCharType="begin"/>
    </w:r>
    <w:r w:rsidRPr="00A70C7D">
      <w:rPr>
        <w:kern w:val="2"/>
        <w:sz w:val="21"/>
        <w:szCs w:val="21"/>
      </w:rPr>
      <w:instrText xml:space="preserve"> PAGE </w:instrText>
    </w:r>
    <w:r w:rsidRPr="00A70C7D">
      <w:rPr>
        <w:kern w:val="2"/>
        <w:sz w:val="21"/>
        <w:szCs w:val="21"/>
      </w:rPr>
      <w:fldChar w:fldCharType="separate"/>
    </w:r>
    <w:r w:rsidR="00FD1A39">
      <w:rPr>
        <w:noProof/>
        <w:kern w:val="2"/>
        <w:sz w:val="21"/>
        <w:szCs w:val="21"/>
      </w:rPr>
      <w:t>I</w:t>
    </w:r>
    <w:r w:rsidRPr="00A70C7D">
      <w:rPr>
        <w:kern w:val="2"/>
        <w:sz w:val="21"/>
        <w:szCs w:val="21"/>
      </w:rPr>
      <w:fldChar w:fldCharType="end"/>
    </w:r>
    <w:r w:rsidRPr="00A70C7D">
      <w:rPr>
        <w:kern w:val="2"/>
        <w:sz w:val="21"/>
        <w:szCs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A70C7D">
    <w:pPr>
      <w:pStyle w:val="a7"/>
      <w:widowControl w:val="0"/>
      <w:rPr>
        <w:kern w:val="2"/>
        <w:sz w:val="21"/>
        <w:szCs w:val="21"/>
      </w:rPr>
    </w:pPr>
    <w:r w:rsidRPr="00A70C7D">
      <w:rPr>
        <w:kern w:val="2"/>
        <w:sz w:val="21"/>
        <w:szCs w:val="21"/>
      </w:rPr>
      <w:t xml:space="preserve">- </w:t>
    </w:r>
    <w:r w:rsidRPr="00A70C7D">
      <w:rPr>
        <w:kern w:val="2"/>
        <w:sz w:val="21"/>
        <w:szCs w:val="21"/>
      </w:rPr>
      <w:fldChar w:fldCharType="begin"/>
    </w:r>
    <w:r w:rsidRPr="00A70C7D">
      <w:rPr>
        <w:kern w:val="2"/>
        <w:sz w:val="21"/>
        <w:szCs w:val="21"/>
      </w:rPr>
      <w:instrText xml:space="preserve"> PAGE </w:instrText>
    </w:r>
    <w:r w:rsidRPr="00A70C7D">
      <w:rPr>
        <w:kern w:val="2"/>
        <w:sz w:val="21"/>
        <w:szCs w:val="21"/>
      </w:rPr>
      <w:fldChar w:fldCharType="separate"/>
    </w:r>
    <w:r w:rsidR="00FD1A39">
      <w:rPr>
        <w:noProof/>
        <w:kern w:val="2"/>
        <w:sz w:val="21"/>
        <w:szCs w:val="21"/>
      </w:rPr>
      <w:t>III</w:t>
    </w:r>
    <w:r w:rsidRPr="00A70C7D">
      <w:rPr>
        <w:kern w:val="2"/>
        <w:sz w:val="21"/>
        <w:szCs w:val="21"/>
      </w:rPr>
      <w:fldChar w:fldCharType="end"/>
    </w:r>
    <w:r w:rsidRPr="00A70C7D">
      <w:rPr>
        <w:kern w:val="2"/>
        <w:sz w:val="21"/>
        <w:szCs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A70C7D">
    <w:pPr>
      <w:pStyle w:val="a7"/>
      <w:widowControl w:val="0"/>
      <w:rPr>
        <w:kern w:val="2"/>
        <w:sz w:val="21"/>
        <w:szCs w:val="21"/>
      </w:rPr>
    </w:pPr>
    <w:r w:rsidRPr="00A70C7D">
      <w:rPr>
        <w:kern w:val="2"/>
        <w:sz w:val="21"/>
        <w:szCs w:val="21"/>
      </w:rPr>
      <w:t xml:space="preserve">- </w:t>
    </w:r>
    <w:r w:rsidRPr="00A70C7D">
      <w:rPr>
        <w:kern w:val="2"/>
        <w:sz w:val="21"/>
        <w:szCs w:val="21"/>
      </w:rPr>
      <w:fldChar w:fldCharType="begin"/>
    </w:r>
    <w:r w:rsidRPr="00A70C7D">
      <w:rPr>
        <w:kern w:val="2"/>
        <w:sz w:val="21"/>
        <w:szCs w:val="21"/>
      </w:rPr>
      <w:instrText xml:space="preserve"> PAGE </w:instrText>
    </w:r>
    <w:r w:rsidRPr="00A70C7D">
      <w:rPr>
        <w:kern w:val="2"/>
        <w:sz w:val="21"/>
        <w:szCs w:val="21"/>
      </w:rPr>
      <w:fldChar w:fldCharType="separate"/>
    </w:r>
    <w:r w:rsidR="00FD1A39">
      <w:rPr>
        <w:noProof/>
        <w:kern w:val="2"/>
        <w:sz w:val="21"/>
        <w:szCs w:val="21"/>
      </w:rPr>
      <w:t>V</w:t>
    </w:r>
    <w:r w:rsidRPr="00A70C7D">
      <w:rPr>
        <w:kern w:val="2"/>
        <w:sz w:val="21"/>
        <w:szCs w:val="21"/>
      </w:rPr>
      <w:fldChar w:fldCharType="end"/>
    </w:r>
    <w:r w:rsidRPr="00A70C7D">
      <w:rPr>
        <w:kern w:val="2"/>
        <w:sz w:val="21"/>
        <w:szCs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A70C7D">
    <w:pPr>
      <w:pStyle w:val="a7"/>
      <w:widowControl w:val="0"/>
      <w:rPr>
        <w:kern w:val="2"/>
        <w:sz w:val="21"/>
        <w:szCs w:val="21"/>
      </w:rPr>
    </w:pPr>
    <w:r w:rsidRPr="00A70C7D">
      <w:rPr>
        <w:kern w:val="2"/>
        <w:sz w:val="21"/>
        <w:szCs w:val="21"/>
      </w:rPr>
      <w:t xml:space="preserve">- </w:t>
    </w:r>
    <w:r w:rsidRPr="00A70C7D">
      <w:rPr>
        <w:kern w:val="2"/>
        <w:sz w:val="21"/>
        <w:szCs w:val="21"/>
      </w:rPr>
      <w:fldChar w:fldCharType="begin"/>
    </w:r>
    <w:r w:rsidRPr="00A70C7D">
      <w:rPr>
        <w:kern w:val="2"/>
        <w:sz w:val="21"/>
        <w:szCs w:val="21"/>
      </w:rPr>
      <w:instrText xml:space="preserve"> PAGE </w:instrText>
    </w:r>
    <w:r w:rsidRPr="00A70C7D">
      <w:rPr>
        <w:kern w:val="2"/>
        <w:sz w:val="21"/>
        <w:szCs w:val="21"/>
      </w:rPr>
      <w:fldChar w:fldCharType="separate"/>
    </w:r>
    <w:r w:rsidR="00FD1A39">
      <w:rPr>
        <w:noProof/>
        <w:kern w:val="2"/>
        <w:sz w:val="21"/>
        <w:szCs w:val="21"/>
      </w:rPr>
      <w:t>VII</w:t>
    </w:r>
    <w:r w:rsidRPr="00A70C7D">
      <w:rPr>
        <w:kern w:val="2"/>
        <w:sz w:val="21"/>
        <w:szCs w:val="21"/>
      </w:rPr>
      <w:fldChar w:fldCharType="end"/>
    </w:r>
    <w:r w:rsidRPr="00A70C7D">
      <w:rPr>
        <w:kern w:val="2"/>
        <w:sz w:val="21"/>
        <w:szCs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A70C7D">
    <w:pPr>
      <w:pStyle w:val="a7"/>
      <w:widowControl w:val="0"/>
      <w:rPr>
        <w:kern w:val="2"/>
        <w:sz w:val="21"/>
        <w:szCs w:val="21"/>
      </w:rPr>
    </w:pPr>
    <w:r w:rsidRPr="00A70C7D">
      <w:rPr>
        <w:kern w:val="2"/>
        <w:sz w:val="21"/>
        <w:szCs w:val="21"/>
      </w:rPr>
      <w:t xml:space="preserve">- </w:t>
    </w:r>
    <w:r w:rsidRPr="00A70C7D">
      <w:rPr>
        <w:kern w:val="2"/>
        <w:sz w:val="21"/>
        <w:szCs w:val="21"/>
      </w:rPr>
      <w:fldChar w:fldCharType="begin"/>
    </w:r>
    <w:r w:rsidRPr="00A70C7D">
      <w:rPr>
        <w:kern w:val="2"/>
        <w:sz w:val="21"/>
        <w:szCs w:val="21"/>
      </w:rPr>
      <w:instrText xml:space="preserve"> PAGE </w:instrText>
    </w:r>
    <w:r w:rsidRPr="00A70C7D">
      <w:rPr>
        <w:kern w:val="2"/>
        <w:sz w:val="21"/>
        <w:szCs w:val="21"/>
      </w:rPr>
      <w:fldChar w:fldCharType="separate"/>
    </w:r>
    <w:r w:rsidR="00FD1A39">
      <w:rPr>
        <w:noProof/>
        <w:kern w:val="2"/>
        <w:sz w:val="21"/>
        <w:szCs w:val="21"/>
      </w:rPr>
      <w:t>IX</w:t>
    </w:r>
    <w:r w:rsidRPr="00A70C7D">
      <w:rPr>
        <w:kern w:val="2"/>
        <w:sz w:val="21"/>
        <w:szCs w:val="21"/>
      </w:rPr>
      <w:fldChar w:fldCharType="end"/>
    </w:r>
    <w:r w:rsidRPr="00A70C7D">
      <w:rPr>
        <w:kern w:val="2"/>
        <w:sz w:val="21"/>
        <w:szCs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A70C7D">
    <w:pPr>
      <w:pStyle w:val="a7"/>
      <w:widowControl w:val="0"/>
      <w:rPr>
        <w:kern w:val="2"/>
        <w:sz w:val="21"/>
        <w:szCs w:val="21"/>
      </w:rPr>
    </w:pPr>
    <w:r w:rsidRPr="00A70C7D">
      <w:rPr>
        <w:kern w:val="2"/>
        <w:sz w:val="21"/>
        <w:szCs w:val="21"/>
      </w:rPr>
      <w:t xml:space="preserve">- </w:t>
    </w:r>
    <w:r w:rsidRPr="00A70C7D">
      <w:rPr>
        <w:kern w:val="2"/>
        <w:sz w:val="21"/>
        <w:szCs w:val="21"/>
      </w:rPr>
      <w:fldChar w:fldCharType="begin"/>
    </w:r>
    <w:r w:rsidRPr="00A70C7D">
      <w:rPr>
        <w:kern w:val="2"/>
        <w:sz w:val="21"/>
        <w:szCs w:val="21"/>
      </w:rPr>
      <w:instrText xml:space="preserve"> PAGE </w:instrText>
    </w:r>
    <w:r w:rsidRPr="00A70C7D">
      <w:rPr>
        <w:kern w:val="2"/>
        <w:sz w:val="21"/>
        <w:szCs w:val="21"/>
      </w:rPr>
      <w:fldChar w:fldCharType="separate"/>
    </w:r>
    <w:r w:rsidR="00FD1A39">
      <w:rPr>
        <w:noProof/>
        <w:kern w:val="2"/>
        <w:sz w:val="21"/>
        <w:szCs w:val="21"/>
      </w:rPr>
      <w:t>13</w:t>
    </w:r>
    <w:r w:rsidRPr="00A70C7D">
      <w:rPr>
        <w:kern w:val="2"/>
        <w:sz w:val="21"/>
        <w:szCs w:val="21"/>
      </w:rPr>
      <w:fldChar w:fldCharType="end"/>
    </w:r>
    <w:r w:rsidRPr="00A70C7D">
      <w:rPr>
        <w:kern w:val="2"/>
        <w:sz w:val="21"/>
        <w:szCs w:val="21"/>
      </w:rPr>
      <w:t xml:space="preserve"> -</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
      <w:rPr>
        <w:rFonts w:eastAsia="宋体" w:ascii="Times New Roman" w:hAnsi="Times New Roman"/>
        <w:sz w:val="21"/>
      </w:rPr>
      <w:t xml:space="preserve">— </w:t>
    </w:r>
    <w:r>
      <w:fldChar w:fldCharType="begin"/>
    </w:r>
    <w:r>
      <w:instrText xml:space="preserve">PAGE</w:instrText>
    </w:r>
    <w:r>
      <w:fldChar w:fldCharType="separate"/>
    </w:r>
    <w:r>
      <w:t>1</w:t>
    </w:r>
    <w:r>
      <w:fldChar w:fldCharType="end"/>
    </w:r>
    <w:r>
      <w:rPr>
        <w:rFonts w:eastAsia="宋体" w:ascii="Times New Roman" w:hAnsi="Times New Roman"/>
        <w:sz w:val="21"/>
      </w:rPr>
      <w:t xml:space="preserve"> —</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
      <w:rPr>
        <w:rFonts w:eastAsia="宋体" w:ascii="Times New Roman" w:hAnsi="Times New Roman"/>
        <w:sz w:val="21"/>
      </w:rPr>
      <w:t xml:space="preserve">— </w:t>
    </w:r>
    <w:r>
      <w:fldChar w:fldCharType="begin"/>
    </w:r>
    <w:r>
      <w:instrText xml:space="preserve">PAGE</w:instrText>
    </w:r>
    <w:r>
      <w:fldChar w:fldCharType="separate"/>
    </w:r>
    <w:r>
      <w:t>1</w:t>
    </w:r>
    <w:r>
      <w:fldChar w:fldCharType="end"/>
    </w:r>
    <w:r>
      <w:rPr>
        <w:rFonts w:eastAsia="宋体" w:ascii="Times New Roman" w:hAnsi="Times New Roman"/>
        <w:sz w:val="21"/>
      </w:rPr>
      <w:t xml:space="preserve"> —</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
      <w:rPr>
        <w:rFonts w:eastAsia="宋体" w:ascii="Times New Roman" w:hAnsi="Times New Roman"/>
        <w:sz w:val="21"/>
      </w:rPr>
      <w:t xml:space="preserve">— </w:t>
    </w:r>
    <w:r>
      <w:fldChar w:fldCharType="begin"/>
    </w:r>
    <w:r>
      <w:instrText xml:space="preserve">PAGE</w:instrText>
    </w:r>
    <w:r>
      <w:fldChar w:fldCharType="separate"/>
    </w:r>
    <w:r>
      <w:t>1</w:t>
    </w:r>
    <w:r>
      <w:fldChar w:fldCharType="end"/>
    </w:r>
    <w:r>
      <w:rPr>
        <w:rFonts w:eastAsia="宋体" w:ascii="Times New Roman" w:hAnsi="Times New Roman"/>
        <w:sz w:val="21"/>
      </w:rPr>
      <w:t xml:space="preserve"> —</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
      <w:rPr>
        <w:rFonts w:eastAsia="宋体" w:ascii="Times New Roman" w:hAnsi="Times New Roman"/>
        <w:sz w:val="21"/>
      </w:rPr>
      <w:t xml:space="preserve">— </w:t>
    </w:r>
    <w:r>
      <w:fldChar w:fldCharType="begin"/>
    </w:r>
    <w:r>
      <w:instrText xml:space="preserve">PAGE</w:instrText>
    </w:r>
    <w:r>
      <w:fldChar w:fldCharType="separate"/>
    </w:r>
    <w:r>
      <w:t>1</w:t>
    </w:r>
    <w:r>
      <w:fldChar w:fldCharType="end"/>
    </w:r>
    <w:r>
      <w:rPr>
        <w:rFonts w:eastAsia="宋体" w:ascii="Times New Roman" w:hAnsi="Times New Roman"/>
        <w:sz w:val="21"/>
      </w:rPr>
      <w:t xml:space="preserve"> —</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
      <w:rPr>
        <w:rFonts w:eastAsia="宋体" w:ascii="Times New Roman" w:hAnsi="Times New Roman"/>
        <w:sz w:val="21"/>
      </w:rPr>
      <w:t xml:space="preserve">— </w:t>
    </w:r>
    <w:r>
      <w:fldChar w:fldCharType="begin"/>
    </w:r>
    <w:r>
      <w:instrText xml:space="preserve">PAGE</w:instrText>
    </w:r>
    <w:r>
      <w:fldChar w:fldCharType="separate"/>
    </w:r>
    <w:r>
      <w:t>1</w:t>
    </w:r>
    <w:r>
      <w:fldChar w:fldCharType="end"/>
    </w:r>
    <w:r>
      <w:rPr>
        <w:rFonts w:eastAsia="宋体" w:ascii="Times New Roman" w:hAnsi="Times New Roman"/>
        <w:sz w:val="21"/>
      </w:rPr>
      <w:t xml:space="preserve"> —</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
      <w:rPr>
        <w:rFonts w:eastAsia="宋体" w:ascii="Times New Roman" w:hAnsi="Times New Roman"/>
        <w:sz w:val="21"/>
      </w:rPr>
      <w:t xml:space="preserve">— </w:t>
    </w:r>
    <w:r>
      <w:fldChar w:fldCharType="begin"/>
    </w:r>
    <w:r>
      <w:instrText xml:space="preserve">PAGE</w:instrText>
    </w:r>
    <w:r>
      <w:fldChar w:fldCharType="separate"/>
    </w:r>
    <w:r>
      <w:t>1</w:t>
    </w:r>
    <w:r>
      <w:fldChar w:fldCharType="end"/>
    </w:r>
    <w:r>
      <w:rPr>
        <w:rFonts w:eastAsia="宋体" w:ascii="Times New Roman" w:hAnsi="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0DA5" w:rsidRDefault="00E00DA5">
      <w:r>
        <w:separator/>
      </w:r>
    </w:p>
  </w:footnote>
  <w:footnote w:type="continuationSeparator" w:id="0">
    <w:p w:rsidR="00E00DA5" w:rsidRDefault="00E0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A70C7D">
    <w:pPr>
      <w:pStyle w:val="a6"/>
      <w:pBdr>
        <w:bottom w:val="none" w:sz="0" w:space="0" w:color="auto"/>
      </w:pBdr>
    </w:pPr>
    <w:r>
      <w:rPr>
        <w:noProof/>
      </w:rPr>
      <w:pict>
        <v:shapetype id="_x0000_t202" coordsize="21600,21600" o:spt="202" path="m,l,21600r21600,l21600,xe">
          <v:stroke joinstyle="miter"/>
          <v:path gradientshapeok="t" o:connecttype="rect"/>
        </v:shapetype>
        <v:shape id="_x0000_s1027" type="#_x0000_t202" style="position:absolute;left:0;text-align:left;margin-left:-65pt;margin-top:-27.65pt;width:519.75pt;height:39pt;z-index:251651072" stroked="f">
          <v:textbox style="mso-next-textbox:#_x0000_s1027">
            <w:txbxContent>
              <w:p w:rsidR="00FA63EC" w:rsidRPr="008064A8" w:rsidRDefault="00FA63EC" w:rsidP="00EA62C3">
                <w:pPr>
                  <w:rPr>
                    <w:rFonts w:hint="eastAsia"/>
                    <w:vanish/>
                    <w:color w:val="0000FF"/>
                  </w:rPr>
                </w:pPr>
                <w:r w:rsidRPr="008064A8">
                  <w:rPr>
                    <w:rFonts w:hint="eastAsia"/>
                    <w:vanish/>
                    <w:color w:val="0000FF"/>
                  </w:rPr>
                  <w:t>本页为“</w:t>
                </w:r>
                <w:r>
                  <w:rPr>
                    <w:rFonts w:hint="eastAsia"/>
                    <w:vanish/>
                    <w:color w:val="FF0000"/>
                  </w:rPr>
                  <w:t>1</w:t>
                </w:r>
                <w:r>
                  <w:rPr>
                    <w:rFonts w:hint="eastAsia"/>
                    <w:vanish/>
                    <w:color w:val="FF0000"/>
                  </w:rPr>
                  <w:t>毕业论文封面</w:t>
                </w:r>
                <w:r w:rsidRPr="008064A8">
                  <w:rPr>
                    <w:rFonts w:hint="eastAsia"/>
                    <w:vanish/>
                    <w:color w:val="FF0000"/>
                  </w:rPr>
                  <w:t>（共</w:t>
                </w:r>
                <w:r w:rsidRPr="008064A8">
                  <w:rPr>
                    <w:rFonts w:hint="eastAsia"/>
                    <w:vanish/>
                    <w:color w:val="FF0000"/>
                  </w:rPr>
                  <w:t>1</w:t>
                </w:r>
                <w:r w:rsidRPr="008064A8">
                  <w:rPr>
                    <w:rFonts w:hint="eastAsia"/>
                    <w:vanish/>
                    <w:color w:val="FF0000"/>
                  </w:rPr>
                  <w:t>页）</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r>
                  <w:rPr>
                    <w:rFonts w:hint="eastAsia"/>
                    <w:vanish/>
                    <w:color w:val="0000FF"/>
                  </w:rPr>
                  <w:t>(</w:t>
                </w:r>
                <w:r>
                  <w:rPr>
                    <w:rFonts w:hint="eastAsia"/>
                    <w:vanish/>
                    <w:color w:val="0000FF"/>
                  </w:rPr>
                  <w:t>本行右侧的红色</w:t>
                </w:r>
                <w:r w:rsidRPr="003711F4">
                  <w:rPr>
                    <w:rFonts w:hint="eastAsia"/>
                    <w:vanish/>
                    <w:color w:val="FF0000"/>
                  </w:rPr>
                  <w:t>顺序编码制</w:t>
                </w:r>
                <w:r>
                  <w:rPr>
                    <w:rFonts w:hint="eastAsia"/>
                    <w:vanish/>
                    <w:color w:val="0000FF"/>
                  </w:rPr>
                  <w:t>几个字也是</w:t>
                </w:r>
                <w:r w:rsidRPr="003711F4">
                  <w:rPr>
                    <w:rFonts w:hint="eastAsia"/>
                    <w:vanish/>
                    <w:color w:val="FF0000"/>
                  </w:rPr>
                  <w:t>非打印信息</w:t>
                </w:r>
                <w:r>
                  <w:rPr>
                    <w:rFonts w:hint="eastAsia"/>
                    <w:vanish/>
                    <w:color w:val="0000FF"/>
                  </w:rPr>
                  <w:t>)</w:t>
                </w:r>
              </w:p>
              <w:p w:rsidR="00FA63EC" w:rsidRPr="00EA62C3" w:rsidRDefault="00FA63EC" w:rsidP="00C66A26">
                <w:pPr>
                  <w:rPr>
                    <w:rFonts w:hint="eastAsia"/>
                    <w:vanish/>
                    <w:color w:val="0000FF"/>
                  </w:rPr>
                </w:pPr>
              </w:p>
            </w:txbxContent>
          </v:textbox>
        </v:shape>
      </w:pict>
    </w:r>
    <w:r>
      <w:rPr>
        <w:noProof/>
      </w:rPr>
      <w:pict>
        <v:shape id="_x0000_s1048" type="#_x0000_t202" style="position:absolute;left:0;text-align:left;margin-left:381.75pt;margin-top:-16.8pt;width:93.3pt;height:23.4pt;z-index:251665408" filled="f" stroked="f">
          <v:textbox>
            <w:txbxContent>
              <w:p w:rsidR="00FA63EC" w:rsidRPr="00AB7D80" w:rsidRDefault="00FA63EC" w:rsidP="00EA4217">
                <w:pPr>
                  <w:jc w:val="center"/>
                  <w:rPr>
                    <w:rFonts w:ascii="黑体" w:eastAsia="黑体" w:hAnsi="黑体" w:hint="eastAsia"/>
                    <w:b/>
                    <w:vanish/>
                    <w:color w:val="FF0000"/>
                    <w:sz w:val="30"/>
                    <w:szCs w:val="30"/>
                  </w:rPr>
                </w:pPr>
                <w:r w:rsidRPr="00AB7D80">
                  <w:rPr>
                    <w:rFonts w:ascii="黑体" w:eastAsia="黑体" w:hAnsi="黑体" w:hint="eastAsia"/>
                    <w:b/>
                    <w:vanish/>
                    <w:color w:val="FF0000"/>
                    <w:sz w:val="30"/>
                    <w:szCs w:val="30"/>
                  </w:rPr>
                  <w:t>顺序编码制</w:t>
                </w:r>
              </w:p>
              <w:p w:rsidR="00FA63EC" w:rsidRDefault="00FA63EC"/>
            </w:txbxContent>
          </v:textbox>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A70C7D">
    <w:pPr>
      <w:pStyle w:val="a6"/>
      <w:pBdr>
        <w:bottom w:val="none" w:sz="0" w:space="0" w:color="auto"/>
      </w:pBdr>
    </w:pPr>
    <w:r>
      <w:rPr>
        <w:noProof/>
      </w:rPr>
      <w:pict>
        <v:shapetype id="_x0000_t202" coordsize="21600,21600" o:spt="202" path="m,l,21600r21600,l21600,xe">
          <v:stroke joinstyle="miter"/>
          <v:path gradientshapeok="t" o:connecttype="rect"/>
        </v:shapetype>
        <v:shape id="_x0000_s1035" type="#_x0000_t202" style="position:absolute;left:0;text-align:left;margin-left:-36.75pt;margin-top:-26.4pt;width:519.75pt;height:39pt;z-index:251656192" stroked="f">
          <v:textbox style="mso-next-textbox:#_x0000_s1035">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2</w:t>
                </w:r>
                <w:r>
                  <w:rPr>
                    <w:rFonts w:hint="eastAsia"/>
                    <w:vanish/>
                    <w:color w:val="FF0000"/>
                  </w:rPr>
                  <w:t>毕业论文扉页</w:t>
                </w:r>
                <w:r w:rsidRPr="008064A8">
                  <w:rPr>
                    <w:rFonts w:hint="eastAsia"/>
                    <w:vanish/>
                    <w:color w:val="FF0000"/>
                  </w:rPr>
                  <w:t>（共</w:t>
                </w:r>
                <w:r w:rsidRPr="008064A8">
                  <w:rPr>
                    <w:rFonts w:hint="eastAsia"/>
                    <w:vanish/>
                    <w:color w:val="FF0000"/>
                  </w:rPr>
                  <w:t>1</w:t>
                </w:r>
                <w:r w:rsidRPr="008064A8">
                  <w:rPr>
                    <w:rFonts w:hint="eastAsia"/>
                    <w:vanish/>
                    <w:color w:val="FF0000"/>
                  </w:rPr>
                  <w:t>页）</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0359F7">
    <w:pPr>
      <w:pStyle w:val="b6"/>
    </w:pPr>
    <w:r>
      <w:rPr>
        <w:noProof/>
      </w:rPr>
      <w:pict>
        <v:shapetype id="_x0000_t202" coordsize="21600,21600" o:spt="202" path="m,l,21600r21600,l21600,xe">
          <v:stroke joinstyle="miter"/>
          <v:path gradientshapeok="t" o:connecttype="rect"/>
        </v:shapetype>
        <v:shape id="_x0000_s1034" type="#_x0000_t202" style="position:absolute;left:0;text-align:left;margin-left:-50pt;margin-top:-27.65pt;width:519.75pt;height:39pt;z-index:251655168" filled="f" stroked="f">
          <v:textbox style="mso-next-textbox:#_x0000_s1034">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3</w:t>
                </w:r>
                <w:r>
                  <w:rPr>
                    <w:rFonts w:hint="eastAsia"/>
                    <w:vanish/>
                    <w:color w:val="FF0000"/>
                  </w:rPr>
                  <w:t>毕业论文声明页</w:t>
                </w:r>
                <w:r w:rsidRPr="008064A8">
                  <w:rPr>
                    <w:rFonts w:hint="eastAsia"/>
                    <w:vanish/>
                    <w:color w:val="FF0000"/>
                  </w:rPr>
                  <w:t>（共</w:t>
                </w:r>
                <w:r w:rsidRPr="008064A8">
                  <w:rPr>
                    <w:rFonts w:hint="eastAsia"/>
                    <w:vanish/>
                    <w:color w:val="FF0000"/>
                  </w:rPr>
                  <w:t>1</w:t>
                </w:r>
                <w:r w:rsidRPr="008064A8">
                  <w:rPr>
                    <w:rFonts w:hint="eastAsia"/>
                    <w:vanish/>
                    <w:color w:val="FF0000"/>
                  </w:rPr>
                  <w:t>页）</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noProof/>
      </w:rPr>
      <w:t>北京科技大学本科生毕业设计</w:t>
    </w:r>
    <w:r w:rsidRPr="00A70C7D">
      <w:rPr>
        <w:rFonts w:hint="eastAsia"/>
        <w:noProof/>
      </w:rPr>
      <w:t>(</w:t>
    </w:r>
    <w:r w:rsidRPr="00A70C7D">
      <w:rPr>
        <w:rFonts w:hint="eastAsia"/>
        <w:noProof/>
      </w:rPr>
      <w:t>论</w:t>
    </w:r>
    <w:r w:rsidRPr="00A70C7D">
      <w:rPr>
        <w:rFonts w:hint="eastAsia"/>
      </w:rPr>
      <w:t>文</w:t>
    </w:r>
    <w:r w:rsidRPr="00A70C7D">
      <w:rPr>
        <w:rFonts w:hint="eastAsia"/>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Pr="00A70C7D" w:rsidRDefault="00FA63EC" w:rsidP="00745A5C">
    <w:pPr>
      <w:pStyle w:val="b6"/>
      <w:pBdr>
        <w:bottom w:val="none" w:sz="0" w:space="0" w:color="auto"/>
      </w:pBdr>
      <w:rPr>
        <w:noProof/>
      </w:rPr>
    </w:pPr>
    <w:r>
      <w:rPr>
        <w:noProof/>
      </w:rPr>
      <w:pict>
        <v:shapetype id="_x0000_t202" coordsize="21600,21600" o:spt="202" path="m,l,21600r21600,l21600,xe">
          <v:stroke joinstyle="miter"/>
          <v:path gradientshapeok="t" o:connecttype="rect"/>
        </v:shapetype>
        <v:shape id="_x0000_s1033" type="#_x0000_t202" style="position:absolute;left:0;text-align:left;margin-left:-36.75pt;margin-top:-26.4pt;width:519.75pt;height:39pt;z-index:251654144" filled="f" stroked="f">
          <v:textbox style="mso-next-textbox:#_x0000_s1033">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4</w:t>
                </w:r>
                <w:r>
                  <w:rPr>
                    <w:rFonts w:hint="eastAsia"/>
                    <w:vanish/>
                    <w:color w:val="FF0000"/>
                  </w:rPr>
                  <w:t>毕业论文任务书</w:t>
                </w:r>
                <w:r w:rsidRPr="008064A8">
                  <w:rPr>
                    <w:rFonts w:hint="eastAsia"/>
                    <w:vanish/>
                    <w:color w:val="FF0000"/>
                  </w:rPr>
                  <w:t>（共</w:t>
                </w:r>
                <w:r w:rsidRPr="008064A8">
                  <w:rPr>
                    <w:rFonts w:hint="eastAsia"/>
                    <w:vanish/>
                    <w:color w:val="FF0000"/>
                  </w:rPr>
                  <w:t>1</w:t>
                </w:r>
                <w:r>
                  <w:rPr>
                    <w:rFonts w:hint="eastAsia"/>
                    <w:vanish/>
                    <w:color w:val="FF0000"/>
                  </w:rPr>
                  <w:t>页或</w:t>
                </w:r>
                <w:r>
                  <w:rPr>
                    <w:rFonts w:hint="eastAsia"/>
                    <w:vanish/>
                    <w:color w:val="FF0000"/>
                  </w:rPr>
                  <w:t>2</w:t>
                </w:r>
                <w:r w:rsidRPr="008064A8">
                  <w:rPr>
                    <w:rFonts w:hint="eastAsia"/>
                    <w:vanish/>
                    <w:color w:val="FF0000"/>
                  </w:rPr>
                  <w:t>页）</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26" type="#_x0000_t202" style="position:absolute;left:0;text-align:left;margin-left:-24.75pt;margin-top:-34.2pt;width:519.75pt;height:39pt;z-index:251650048" filled="f" stroked="f">
          <v:textbox style="mso-next-textbox:#_x0000_s1026">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5</w:t>
                </w:r>
                <w:r>
                  <w:rPr>
                    <w:rFonts w:hint="eastAsia"/>
                    <w:vanish/>
                    <w:color w:val="FF0000"/>
                  </w:rPr>
                  <w:t>毕业论文摘要</w:t>
                </w:r>
                <w:r w:rsidRPr="008064A8">
                  <w:rPr>
                    <w:rFonts w:hint="eastAsia"/>
                    <w:vanish/>
                    <w:color w:val="FF0000"/>
                  </w:rPr>
                  <w:t>（</w:t>
                </w:r>
                <w:r w:rsidRPr="008064A8">
                  <w:rPr>
                    <w:rFonts w:hint="eastAsia"/>
                    <w:vanish/>
                    <w:color w:val="FF0000"/>
                  </w:rPr>
                  <w:t>1</w:t>
                </w:r>
                <w:r w:rsidRPr="008064A8">
                  <w:rPr>
                    <w:rFonts w:hint="eastAsia"/>
                    <w:vanish/>
                    <w:color w:val="FF0000"/>
                  </w:rPr>
                  <w:t>页</w:t>
                </w:r>
                <w:r>
                  <w:rPr>
                    <w:rFonts w:hint="eastAsia"/>
                    <w:vanish/>
                    <w:color w:val="FF0000"/>
                  </w:rPr>
                  <w:t>或</w:t>
                </w:r>
                <w:r>
                  <w:rPr>
                    <w:rFonts w:hint="eastAsia"/>
                    <w:vanish/>
                    <w:color w:val="FF0000"/>
                  </w:rPr>
                  <w:t>2</w:t>
                </w:r>
                <w:r>
                  <w:rPr>
                    <w:rFonts w:hint="eastAsia"/>
                    <w:vanish/>
                    <w:color w:val="FF0000"/>
                  </w:rPr>
                  <w:t>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36" type="#_x0000_t202" style="position:absolute;left:0;text-align:left;margin-left:-24.75pt;margin-top:-34.2pt;width:519.75pt;height:39pt;z-index:251657216" filled="f" stroked="f">
          <v:textbox style="mso-next-textbox:#_x0000_s1036">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6</w:t>
                </w:r>
                <w:r>
                  <w:rPr>
                    <w:rFonts w:hint="eastAsia"/>
                    <w:vanish/>
                    <w:color w:val="FF0000"/>
                  </w:rPr>
                  <w:t>毕业论文</w:t>
                </w:r>
                <w:r>
                  <w:rPr>
                    <w:rFonts w:hint="eastAsia"/>
                    <w:vanish/>
                    <w:color w:val="FF0000"/>
                  </w:rPr>
                  <w:t>Abstract</w:t>
                </w:r>
                <w:r w:rsidRPr="008064A8">
                  <w:rPr>
                    <w:rFonts w:hint="eastAsia"/>
                    <w:vanish/>
                    <w:color w:val="FF0000"/>
                  </w:rPr>
                  <w:t>（</w:t>
                </w:r>
                <w:r w:rsidRPr="008064A8">
                  <w:rPr>
                    <w:rFonts w:hint="eastAsia"/>
                    <w:vanish/>
                    <w:color w:val="FF0000"/>
                  </w:rPr>
                  <w:t>1</w:t>
                </w:r>
                <w:r w:rsidRPr="008064A8">
                  <w:rPr>
                    <w:rFonts w:hint="eastAsia"/>
                    <w:vanish/>
                    <w:color w:val="FF0000"/>
                  </w:rPr>
                  <w:t>页</w:t>
                </w:r>
                <w:r>
                  <w:rPr>
                    <w:rFonts w:hint="eastAsia"/>
                    <w:vanish/>
                    <w:color w:val="FF0000"/>
                  </w:rPr>
                  <w:t>或</w:t>
                </w:r>
                <w:r>
                  <w:rPr>
                    <w:rFonts w:hint="eastAsia"/>
                    <w:vanish/>
                    <w:color w:val="FF0000"/>
                  </w:rPr>
                  <w:t>2</w:t>
                </w:r>
                <w:r>
                  <w:rPr>
                    <w:rFonts w:hint="eastAsia"/>
                    <w:vanish/>
                    <w:color w:val="FF0000"/>
                  </w:rPr>
                  <w:t>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37" type="#_x0000_t202" style="position:absolute;left:0;text-align:left;margin-left:-24.75pt;margin-top:-34.2pt;width:519.75pt;height:39pt;z-index:251658240" filled="f" stroked="f">
          <v:textbox style="mso-next-textbox:#_x0000_s1037">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7</w:t>
                </w:r>
                <w:r>
                  <w:rPr>
                    <w:rFonts w:hint="eastAsia"/>
                    <w:vanish/>
                    <w:color w:val="FF0000"/>
                  </w:rPr>
                  <w:t>毕业论文目录</w:t>
                </w:r>
                <w:r w:rsidRPr="008064A8">
                  <w:rPr>
                    <w:rFonts w:hint="eastAsia"/>
                    <w:vanish/>
                    <w:color w:val="FF0000"/>
                  </w:rPr>
                  <w:t>（</w:t>
                </w:r>
                <w:r w:rsidRPr="008064A8">
                  <w:rPr>
                    <w:rFonts w:hint="eastAsia"/>
                    <w:vanish/>
                    <w:color w:val="FF0000"/>
                  </w:rPr>
                  <w:t>1</w:t>
                </w:r>
                <w:r w:rsidRPr="008064A8">
                  <w:rPr>
                    <w:rFonts w:hint="eastAsia"/>
                    <w:vanish/>
                    <w:color w:val="FF0000"/>
                  </w:rPr>
                  <w:t>页</w:t>
                </w:r>
                <w:r>
                  <w:rPr>
                    <w:rFonts w:hint="eastAsia"/>
                    <w:vanish/>
                    <w:color w:val="FF0000"/>
                  </w:rPr>
                  <w:t>或若干页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39" type="#_x0000_t202" style="position:absolute;left:0;text-align:left;margin-left:-24.75pt;margin-top:-34.2pt;width:519.75pt;height:39pt;z-index:251659264" filled="f" stroked="f">
          <v:textbox style="mso-next-textbox:#_x0000_s1039">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8</w:t>
                </w:r>
                <w:r>
                  <w:rPr>
                    <w:rFonts w:hint="eastAsia"/>
                    <w:vanish/>
                    <w:color w:val="FF0000"/>
                  </w:rPr>
                  <w:t>毕业论文图表清单页</w:t>
                </w:r>
                <w:r w:rsidRPr="008064A8">
                  <w:rPr>
                    <w:rFonts w:hint="eastAsia"/>
                    <w:vanish/>
                    <w:color w:val="FF0000"/>
                  </w:rPr>
                  <w:t>（</w:t>
                </w:r>
                <w:r>
                  <w:rPr>
                    <w:rFonts w:hint="eastAsia"/>
                    <w:vanish/>
                    <w:color w:val="FF0000"/>
                  </w:rPr>
                  <w:t>可选，</w:t>
                </w:r>
                <w:r w:rsidRPr="008064A8">
                  <w:rPr>
                    <w:rFonts w:hint="eastAsia"/>
                    <w:vanish/>
                    <w:color w:val="FF0000"/>
                  </w:rPr>
                  <w:t>1</w:t>
                </w:r>
                <w:r w:rsidRPr="008064A8">
                  <w:rPr>
                    <w:rFonts w:hint="eastAsia"/>
                    <w:vanish/>
                    <w:color w:val="FF0000"/>
                  </w:rPr>
                  <w:t>页</w:t>
                </w:r>
                <w:r>
                  <w:rPr>
                    <w:rFonts w:hint="eastAsia"/>
                    <w:vanish/>
                    <w:color w:val="FF0000"/>
                  </w:rPr>
                  <w:t>或若干页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40" type="#_x0000_t202" style="position:absolute;left:0;text-align:left;margin-left:-24.75pt;margin-top:-34.2pt;width:519.75pt;height:39pt;z-index:251660288" filled="f" stroked="f">
          <v:textbox style="mso-next-textbox:#_x0000_s1040">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9</w:t>
                </w:r>
                <w:r>
                  <w:rPr>
                    <w:rFonts w:hint="eastAsia"/>
                    <w:vanish/>
                    <w:color w:val="FF0000"/>
                  </w:rPr>
                  <w:t>毕业论文注释说明清单页</w:t>
                </w:r>
                <w:r w:rsidRPr="008064A8">
                  <w:rPr>
                    <w:rFonts w:hint="eastAsia"/>
                    <w:vanish/>
                    <w:color w:val="FF0000"/>
                  </w:rPr>
                  <w:t>（</w:t>
                </w:r>
                <w:r>
                  <w:rPr>
                    <w:rFonts w:hint="eastAsia"/>
                    <w:vanish/>
                    <w:color w:val="FF0000"/>
                  </w:rPr>
                  <w:t>可选，</w:t>
                </w:r>
                <w:r w:rsidRPr="008064A8">
                  <w:rPr>
                    <w:rFonts w:hint="eastAsia"/>
                    <w:vanish/>
                    <w:color w:val="FF0000"/>
                  </w:rPr>
                  <w:t>1</w:t>
                </w:r>
                <w:r w:rsidRPr="008064A8">
                  <w:rPr>
                    <w:rFonts w:hint="eastAsia"/>
                    <w:vanish/>
                    <w:color w:val="FF0000"/>
                  </w:rPr>
                  <w:t>页</w:t>
                </w:r>
                <w:r>
                  <w:rPr>
                    <w:rFonts w:hint="eastAsia"/>
                    <w:vanish/>
                    <w:color w:val="FF0000"/>
                  </w:rPr>
                  <w:t>或若干页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42" type="#_x0000_t202" style="position:absolute;left:0;text-align:left;margin-left:-24.75pt;margin-top:-34.2pt;width:519.75pt;height:39pt;z-index:251661312" filled="f" stroked="f">
          <v:textbox style="mso-next-textbox:#_x0000_s1042">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10</w:t>
                </w:r>
                <w:r>
                  <w:rPr>
                    <w:rFonts w:hint="eastAsia"/>
                    <w:vanish/>
                    <w:color w:val="FF0000"/>
                  </w:rPr>
                  <w:t>毕业论文正文页</w:t>
                </w:r>
                <w:r w:rsidRPr="008064A8">
                  <w:rPr>
                    <w:rFonts w:hint="eastAsia"/>
                    <w:vanish/>
                    <w:color w:val="FF0000"/>
                  </w:rPr>
                  <w:t>（</w:t>
                </w:r>
                <w:r>
                  <w:rPr>
                    <w:rFonts w:hint="eastAsia"/>
                    <w:vanish/>
                    <w:color w:val="FF0000"/>
                  </w:rPr>
                  <w:t>若干页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32" type="#_x0000_t202" style="position:absolute;left:0;text-align:left;margin-left:-12.75pt;margin-top:-38.1pt;width:519.75pt;height:35.1pt;z-index:251653120" filled="f" stroked="f">
          <v:textbox style="mso-next-textbox:#_x0000_s1032">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11</w:t>
                </w:r>
                <w:r>
                  <w:rPr>
                    <w:rFonts w:hint="eastAsia"/>
                    <w:vanish/>
                    <w:color w:val="FF0000"/>
                  </w:rPr>
                  <w:t>毕业论文文献列表页</w:t>
                </w:r>
                <w:r w:rsidRPr="008064A8">
                  <w:rPr>
                    <w:rFonts w:hint="eastAsia"/>
                    <w:vanish/>
                    <w:color w:val="FF0000"/>
                  </w:rPr>
                  <w:t>（</w:t>
                </w:r>
                <w:r>
                  <w:rPr>
                    <w:rFonts w:hint="eastAsia"/>
                    <w:vanish/>
                    <w:color w:val="FF0000"/>
                  </w:rPr>
                  <w:t>若干页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43" type="#_x0000_t202" style="position:absolute;left:0;text-align:left;margin-left:-12.75pt;margin-top:-38.1pt;width:519.75pt;height:35.1pt;z-index:251662336" filled="f" stroked="f">
          <v:textbox style="mso-next-textbox:#_x0000_s1043">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12</w:t>
                </w:r>
                <w:r>
                  <w:rPr>
                    <w:rFonts w:hint="eastAsia"/>
                    <w:vanish/>
                    <w:color w:val="FF0000"/>
                  </w:rPr>
                  <w:t>毕业论文附录页</w:t>
                </w:r>
                <w:r w:rsidRPr="008064A8">
                  <w:rPr>
                    <w:rFonts w:hint="eastAsia"/>
                    <w:vanish/>
                    <w:color w:val="FF0000"/>
                  </w:rPr>
                  <w:t>（</w:t>
                </w:r>
                <w:r>
                  <w:rPr>
                    <w:rFonts w:hint="eastAsia"/>
                    <w:vanish/>
                    <w:color w:val="FF0000"/>
                  </w:rPr>
                  <w:t>若干页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44" type="#_x0000_t202" style="position:absolute;left:0;text-align:left;margin-left:-12.75pt;margin-top:-38.1pt;width:519.75pt;height:35.1pt;z-index:251663360" filled="f" stroked="f">
          <v:textbox style="mso-next-textbox:#_x0000_s1044">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13</w:t>
                </w:r>
                <w:r>
                  <w:rPr>
                    <w:rFonts w:hint="eastAsia"/>
                    <w:vanish/>
                    <w:color w:val="FF0000"/>
                  </w:rPr>
                  <w:t>毕业论文在学成果页</w:t>
                </w:r>
                <w:r w:rsidRPr="008064A8">
                  <w:rPr>
                    <w:rFonts w:hint="eastAsia"/>
                    <w:vanish/>
                    <w:color w:val="FF0000"/>
                  </w:rPr>
                  <w:t>（</w:t>
                </w:r>
                <w:r>
                  <w:rPr>
                    <w:rFonts w:hint="eastAsia"/>
                    <w:vanish/>
                    <w:color w:val="FF0000"/>
                  </w:rPr>
                  <w:t>1</w:t>
                </w:r>
                <w:r>
                  <w:rPr>
                    <w:rFonts w:hint="eastAsia"/>
                    <w:vanish/>
                    <w:color w:val="FF0000"/>
                  </w:rPr>
                  <w:t>或</w:t>
                </w:r>
                <w:r>
                  <w:rPr>
                    <w:rFonts w:hint="eastAsia"/>
                    <w:vanish/>
                    <w:color w:val="FF0000"/>
                  </w:rPr>
                  <w:t>2</w:t>
                </w:r>
                <w:r>
                  <w:rPr>
                    <w:rFonts w:hint="eastAsia"/>
                    <w:vanish/>
                    <w:color w:val="FF0000"/>
                  </w:rPr>
                  <w:t>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63EC" w:rsidRDefault="00FA63EC" w:rsidP="00A70C7D">
    <w:pPr>
      <w:pStyle w:val="b6"/>
    </w:pPr>
    <w:r>
      <w:rPr>
        <w:rFonts w:hint="eastAsia"/>
        <w:noProof/>
      </w:rPr>
      <w:pict>
        <v:shapetype id="_x0000_t202" coordsize="21600,21600" o:spt="202" path="m,l,21600r21600,l21600,xe">
          <v:stroke joinstyle="miter"/>
          <v:path gradientshapeok="t" o:connecttype="rect"/>
        </v:shapetype>
        <v:shape id="_x0000_s1045" type="#_x0000_t202" style="position:absolute;left:0;text-align:left;margin-left:-12.75pt;margin-top:-38.1pt;width:519.75pt;height:35.1pt;z-index:251664384" filled="f" stroked="f">
          <v:textbox style="mso-next-textbox:#_x0000_s1045">
            <w:txbxContent>
              <w:p w:rsidR="00FA63EC" w:rsidRPr="008064A8" w:rsidRDefault="00FA63EC" w:rsidP="00C66A26">
                <w:pPr>
                  <w:rPr>
                    <w:rFonts w:hint="eastAsia"/>
                    <w:vanish/>
                    <w:color w:val="0000FF"/>
                  </w:rPr>
                </w:pPr>
                <w:r w:rsidRPr="008064A8">
                  <w:rPr>
                    <w:rFonts w:hint="eastAsia"/>
                    <w:vanish/>
                    <w:color w:val="0000FF"/>
                  </w:rPr>
                  <w:t>本页为“</w:t>
                </w:r>
                <w:r>
                  <w:rPr>
                    <w:rFonts w:hint="eastAsia"/>
                    <w:vanish/>
                    <w:color w:val="FF0000"/>
                  </w:rPr>
                  <w:t>14</w:t>
                </w:r>
                <w:r>
                  <w:rPr>
                    <w:rFonts w:hint="eastAsia"/>
                    <w:vanish/>
                    <w:color w:val="FF0000"/>
                  </w:rPr>
                  <w:t>毕业论文致谢页</w:t>
                </w:r>
                <w:r w:rsidRPr="008064A8">
                  <w:rPr>
                    <w:rFonts w:hint="eastAsia"/>
                    <w:vanish/>
                    <w:color w:val="FF0000"/>
                  </w:rPr>
                  <w:t>（</w:t>
                </w:r>
                <w:r>
                  <w:rPr>
                    <w:rFonts w:hint="eastAsia"/>
                    <w:vanish/>
                    <w:color w:val="FF0000"/>
                  </w:rPr>
                  <w:t>1</w:t>
                </w:r>
                <w:r>
                  <w:rPr>
                    <w:rFonts w:hint="eastAsia"/>
                    <w:vanish/>
                    <w:color w:val="FF0000"/>
                  </w:rPr>
                  <w:t>页</w:t>
                </w:r>
                <w:r w:rsidRPr="008064A8">
                  <w:rPr>
                    <w:rFonts w:hint="eastAsia"/>
                    <w:vanish/>
                    <w:color w:val="FF0000"/>
                  </w:rPr>
                  <w:t>）</w:t>
                </w:r>
                <w:r w:rsidRPr="008064A8">
                  <w:rPr>
                    <w:rFonts w:hint="eastAsia"/>
                    <w:vanish/>
                    <w:color w:val="0000FF"/>
                  </w:rPr>
                  <w:t>”</w:t>
                </w:r>
                <w:r>
                  <w:rPr>
                    <w:rFonts w:hint="eastAsia"/>
                    <w:vanish/>
                    <w:color w:val="0000FF"/>
                  </w:rPr>
                  <w:t>，点击菜单“</w:t>
                </w:r>
                <w:r w:rsidRPr="008064A8">
                  <w:rPr>
                    <w:rFonts w:hint="eastAsia"/>
                    <w:vanish/>
                    <w:color w:val="FF0000"/>
                  </w:rPr>
                  <w:t>USTB</w:t>
                </w:r>
                <w:r>
                  <w:rPr>
                    <w:rFonts w:hint="eastAsia"/>
                    <w:vanish/>
                    <w:color w:val="FF0000"/>
                  </w:rPr>
                  <w:t>本科论文</w:t>
                </w:r>
                <w:r w:rsidRPr="008064A8">
                  <w:rPr>
                    <w:rFonts w:hint="eastAsia"/>
                    <w:vanish/>
                    <w:color w:val="FF0000"/>
                  </w:rPr>
                  <w:t>各部分</w:t>
                </w:r>
                <w:r>
                  <w:rPr>
                    <w:rFonts w:hint="eastAsia"/>
                    <w:vanish/>
                    <w:color w:val="0000FF"/>
                  </w:rPr>
                  <w:t>”中的本部分菜单进行相应操作。本提示信息为</w:t>
                </w:r>
                <w:r w:rsidRPr="00C552F0">
                  <w:rPr>
                    <w:rFonts w:hint="eastAsia"/>
                    <w:b/>
                    <w:vanish/>
                    <w:color w:val="FF0000"/>
                  </w:rPr>
                  <w:t>非打印信息</w:t>
                </w:r>
                <w:r>
                  <w:rPr>
                    <w:rFonts w:hint="eastAsia"/>
                    <w:vanish/>
                    <w:color w:val="0000FF"/>
                  </w:rPr>
                  <w:t>，可一直保留，不影响打印。</w:t>
                </w:r>
              </w:p>
            </w:txbxContent>
          </v:textbox>
        </v:shape>
      </w:pict>
    </w:r>
    <w:r w:rsidRPr="00A70C7D">
      <w:rPr>
        <w:rFonts w:hint="eastAsia"/>
      </w:rPr>
      <w:t>北京科技大学本科生毕业设计</w:t>
    </w:r>
    <w:r w:rsidRPr="00A70C7D">
      <w:rPr>
        <w:rFonts w:hint="eastAsia"/>
      </w:rPr>
      <w:t>(</w:t>
    </w:r>
    <w:r w:rsidRPr="00A70C7D">
      <w:rPr>
        <w:rFonts w:hint="eastAsia"/>
      </w:rPr>
      <w:t>论文</w:t>
    </w:r>
    <w:r w:rsidRPr="00A70C7D">
      <w:rPr>
        <w:rFonts w:hint="eastAsia"/>
      </w:rPr>
      <w:t>)</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6"/>
    </w:pPr>
    <w:r/>
    <w:r>
      <w:rPr>
        <w:rFonts w:eastAsia="宋体" w:ascii="Times New Roman" w:hAnsi="Times New Roman"/>
        <w:sz w:val="21"/>
      </w:rPr>
      <w:t>概率论与数理统计课程论文报告</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6"/>
    </w:pPr>
    <w:r/>
    <w:r>
      <w:rPr>
        <w:rFonts w:eastAsia="宋体" w:ascii="Times New Roman" w:hAnsi="Times New Roman"/>
        <w:sz w:val="21"/>
      </w:rPr>
      <w:t>概率论与数理统计课程论文报告</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6"/>
    </w:pPr>
    <w:r/>
    <w:r>
      <w:rPr>
        <w:rFonts w:eastAsia="宋体" w:ascii="Times New Roman" w:hAnsi="Times New Roman"/>
        <w:sz w:val="21"/>
      </w:rPr>
      <w:t>概率论与数理统计课程论文报告</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6"/>
    </w:pPr>
    <w:r/>
    <w:r>
      <w:rPr>
        <w:rFonts w:eastAsia="宋体" w:ascii="Times New Roman" w:hAnsi="Times New Roman"/>
        <w:sz w:val="21"/>
      </w:rPr>
      <w:t>概率论与数理统计课程论文报告</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6"/>
    </w:pPr>
    <w:r/>
    <w:r>
      <w:rPr>
        <w:rFonts w:eastAsia="宋体" w:ascii="Times New Roman" w:hAnsi="Times New Roman"/>
        <w:sz w:val="21"/>
      </w:rPr>
      <w:t>概率论与数理统计课程论文报告</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6"/>
    </w:pPr>
    <w:r/>
    <w:r>
      <w:rPr>
        <w:rFonts w:eastAsia="宋体" w:ascii="Times New Roman" w:hAnsi="Times New Roman"/>
        <w:sz w:val="21"/>
      </w:rPr>
      <w:t>概率论与数理统计课程论文报告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3D3"/>
    <w:multiLevelType w:val="multilevel"/>
    <w:tmpl w:val="323A317A"/>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pStyle w:val="b3"/>
      <w:suff w:val="space"/>
      <w:lvlText w:val="%1.%2.%3"/>
      <w:lvlJc w:val="left"/>
      <w:pPr>
        <w:ind w:left="2400" w:hanging="2400"/>
      </w:pPr>
      <w:rPr>
        <w:rFonts w:hint="eastAsia"/>
      </w:rPr>
    </w:lvl>
    <w:lvl w:ilvl="3">
      <w:start w:val="1"/>
      <w:numFmt w:val="decimal"/>
      <w:lvlText w:val="%1.%2.%3.%4"/>
      <w:lvlJc w:val="left"/>
      <w:pPr>
        <w:tabs>
          <w:tab w:val="num" w:pos="4156"/>
        </w:tabs>
        <w:ind w:left="1984" w:hanging="708"/>
      </w:pPr>
      <w:rPr>
        <w:rFonts w:hint="eastAsia"/>
      </w:rPr>
    </w:lvl>
    <w:lvl w:ilvl="4">
      <w:start w:val="1"/>
      <w:numFmt w:val="decimal"/>
      <w:pStyle w:val="5"/>
      <w:lvlText w:val="%1.%2.%3.%4.%5"/>
      <w:lvlJc w:val="left"/>
      <w:pPr>
        <w:tabs>
          <w:tab w:val="num" w:pos="5301"/>
        </w:tabs>
        <w:ind w:left="2551" w:hanging="850"/>
      </w:pPr>
      <w:rPr>
        <w:rFonts w:hint="eastAsia"/>
      </w:rPr>
    </w:lvl>
    <w:lvl w:ilvl="5">
      <w:start w:val="1"/>
      <w:numFmt w:val="decimal"/>
      <w:lvlText w:val="%1.%2.%3.%4.%5.%6"/>
      <w:lvlJc w:val="left"/>
      <w:pPr>
        <w:tabs>
          <w:tab w:val="num" w:pos="6446"/>
        </w:tabs>
        <w:ind w:left="3260" w:hanging="1134"/>
      </w:pPr>
      <w:rPr>
        <w:rFonts w:hint="eastAsia"/>
      </w:rPr>
    </w:lvl>
    <w:lvl w:ilvl="6">
      <w:start w:val="1"/>
      <w:numFmt w:val="decimal"/>
      <w:lvlText w:val="%1.%2.%3.%4.%5.%6.%7"/>
      <w:lvlJc w:val="left"/>
      <w:pPr>
        <w:tabs>
          <w:tab w:val="num" w:pos="7591"/>
        </w:tabs>
        <w:ind w:left="3827" w:hanging="1276"/>
      </w:pPr>
      <w:rPr>
        <w:rFonts w:hint="eastAsia"/>
      </w:rPr>
    </w:lvl>
    <w:lvl w:ilvl="7">
      <w:start w:val="1"/>
      <w:numFmt w:val="decimal"/>
      <w:lvlText w:val="%1.%2.%3.%4.%5.%6.%7.%8"/>
      <w:lvlJc w:val="left"/>
      <w:pPr>
        <w:tabs>
          <w:tab w:val="num" w:pos="873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1" w15:restartNumberingAfterBreak="0">
    <w:nsid w:val="15941120"/>
    <w:multiLevelType w:val="hybridMultilevel"/>
    <w:tmpl w:val="E17C0C6A"/>
    <w:lvl w:ilvl="0" w:tplc="915E2878">
      <w:start w:val="1"/>
      <w:numFmt w:val="upperLetter"/>
      <w:pStyle w:val="b"/>
      <w:lvlText w:val="附录%1 "/>
      <w:lvlJc w:val="left"/>
      <w:pPr>
        <w:tabs>
          <w:tab w:val="num" w:pos="907"/>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1B067C0"/>
    <w:multiLevelType w:val="hybridMultilevel"/>
    <w:tmpl w:val="EFDA225C"/>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321F1E9E"/>
    <w:multiLevelType w:val="singleLevel"/>
    <w:tmpl w:val="9514A786"/>
    <w:lvl w:ilvl="0">
      <w:start w:val="1"/>
      <w:numFmt w:val="chineseCountingThousand"/>
      <w:lvlText w:val="%1、"/>
      <w:lvlJc w:val="left"/>
      <w:pPr>
        <w:tabs>
          <w:tab w:val="num" w:pos="644"/>
        </w:tabs>
        <w:ind w:left="170" w:firstLine="114"/>
      </w:pPr>
      <w:rPr>
        <w:rFonts w:ascii="Times New Roman" w:hAnsi="Times New Roman" w:hint="default"/>
        <w:b w:val="0"/>
        <w:i w:val="0"/>
      </w:rPr>
    </w:lvl>
  </w:abstractNum>
  <w:abstractNum w:abstractNumId="4" w15:restartNumberingAfterBreak="0">
    <w:nsid w:val="499A69C6"/>
    <w:multiLevelType w:val="multilevel"/>
    <w:tmpl w:val="C4B262B0"/>
    <w:lvl w:ilvl="0">
      <w:start w:val="1"/>
      <w:numFmt w:val="decimal"/>
      <w:pStyle w:val="b0"/>
      <w:lvlText w:val="[%1] "/>
      <w:lvlJc w:val="left"/>
      <w:pPr>
        <w:tabs>
          <w:tab w:val="num" w:pos="420"/>
        </w:tabs>
        <w:ind w:left="420" w:hanging="420"/>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1485199447">
    <w:abstractNumId w:val="0"/>
  </w:num>
  <w:num w:numId="2" w16cid:durableId="1261179647">
    <w:abstractNumId w:val="4"/>
  </w:num>
  <w:num w:numId="3" w16cid:durableId="20064751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0093272">
    <w:abstractNumId w:val="1"/>
  </w:num>
  <w:num w:numId="5" w16cid:durableId="127166593">
    <w:abstractNumId w:val="3"/>
  </w:num>
  <w:num w:numId="6" w16cid:durableId="1588730047">
    <w:abstractNumId w:val="2"/>
  </w:num>
  <w:num w:numId="7" w16cid:durableId="2077778448">
    <w:abstractNumId w:val="4"/>
  </w:num>
  <w:num w:numId="8" w16cid:durableId="983005935">
    <w:abstractNumId w:val="4"/>
  </w:num>
  <w:num w:numId="9" w16cid:durableId="2037463300">
    <w:abstractNumId w:val="4"/>
  </w:num>
  <w:num w:numId="10" w16cid:durableId="2127119635">
    <w:abstractNumId w:val="4"/>
  </w:num>
  <w:num w:numId="11" w16cid:durableId="1071391060">
    <w:abstractNumId w:val="4"/>
  </w:num>
  <w:num w:numId="12" w16cid:durableId="1201361359">
    <w:abstractNumId w:val="4"/>
  </w:num>
  <w:num w:numId="13" w16cid:durableId="1192764809">
    <w:abstractNumId w:val="4"/>
  </w:num>
  <w:num w:numId="14" w16cid:durableId="866716081">
    <w:abstractNumId w:val="4"/>
  </w:num>
  <w:num w:numId="15" w16cid:durableId="195146798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100"/>
  <w:drawingGridVerticalSpacing w:val="156"/>
  <w:displayHorizontalDrawingGridEvery w:val="0"/>
  <w:displayVerticalDrawingGridEvery w:val="2"/>
  <w:characterSpacingControl w:val="compressPunctuation"/>
  <w:hdrShapeDefaults>
    <o:shapedefaults v:ext="edit" spidmax="219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F81"/>
    <w:rsid w:val="000017F7"/>
    <w:rsid w:val="00002F4E"/>
    <w:rsid w:val="0001020F"/>
    <w:rsid w:val="00013796"/>
    <w:rsid w:val="00013F9A"/>
    <w:rsid w:val="00017602"/>
    <w:rsid w:val="000204A6"/>
    <w:rsid w:val="0002592B"/>
    <w:rsid w:val="00025FAA"/>
    <w:rsid w:val="00031233"/>
    <w:rsid w:val="000337C2"/>
    <w:rsid w:val="00033E7E"/>
    <w:rsid w:val="00034C93"/>
    <w:rsid w:val="000350F4"/>
    <w:rsid w:val="000359F7"/>
    <w:rsid w:val="00044725"/>
    <w:rsid w:val="00044FED"/>
    <w:rsid w:val="00047484"/>
    <w:rsid w:val="00050D38"/>
    <w:rsid w:val="00051EF1"/>
    <w:rsid w:val="000558ED"/>
    <w:rsid w:val="000569C0"/>
    <w:rsid w:val="000605F3"/>
    <w:rsid w:val="00063A44"/>
    <w:rsid w:val="000655E7"/>
    <w:rsid w:val="00070537"/>
    <w:rsid w:val="000750EC"/>
    <w:rsid w:val="00086468"/>
    <w:rsid w:val="00086768"/>
    <w:rsid w:val="000869E2"/>
    <w:rsid w:val="00090594"/>
    <w:rsid w:val="00092A5F"/>
    <w:rsid w:val="00095D0D"/>
    <w:rsid w:val="00096107"/>
    <w:rsid w:val="000972CA"/>
    <w:rsid w:val="000A1243"/>
    <w:rsid w:val="000A3E37"/>
    <w:rsid w:val="000A47F1"/>
    <w:rsid w:val="000A5E37"/>
    <w:rsid w:val="000A738D"/>
    <w:rsid w:val="000A7611"/>
    <w:rsid w:val="000B534C"/>
    <w:rsid w:val="000B763E"/>
    <w:rsid w:val="000C0114"/>
    <w:rsid w:val="000C05E4"/>
    <w:rsid w:val="000C3FA9"/>
    <w:rsid w:val="000C5B03"/>
    <w:rsid w:val="000C7097"/>
    <w:rsid w:val="000D06CB"/>
    <w:rsid w:val="000D38A5"/>
    <w:rsid w:val="000E7757"/>
    <w:rsid w:val="000F6847"/>
    <w:rsid w:val="00100ED8"/>
    <w:rsid w:val="001014F9"/>
    <w:rsid w:val="0010246A"/>
    <w:rsid w:val="00103960"/>
    <w:rsid w:val="0010397C"/>
    <w:rsid w:val="001053C4"/>
    <w:rsid w:val="00112243"/>
    <w:rsid w:val="00112EB4"/>
    <w:rsid w:val="00112FA7"/>
    <w:rsid w:val="00115960"/>
    <w:rsid w:val="00121675"/>
    <w:rsid w:val="001232D8"/>
    <w:rsid w:val="00123416"/>
    <w:rsid w:val="00130C3E"/>
    <w:rsid w:val="00133D78"/>
    <w:rsid w:val="00134E2B"/>
    <w:rsid w:val="001351BC"/>
    <w:rsid w:val="00141A52"/>
    <w:rsid w:val="00144C3A"/>
    <w:rsid w:val="0014644B"/>
    <w:rsid w:val="00146CD8"/>
    <w:rsid w:val="00151D97"/>
    <w:rsid w:val="0015550C"/>
    <w:rsid w:val="00157869"/>
    <w:rsid w:val="00160657"/>
    <w:rsid w:val="00162544"/>
    <w:rsid w:val="00165528"/>
    <w:rsid w:val="001664B9"/>
    <w:rsid w:val="00166A4B"/>
    <w:rsid w:val="00167844"/>
    <w:rsid w:val="00174AF5"/>
    <w:rsid w:val="00174C71"/>
    <w:rsid w:val="001751D2"/>
    <w:rsid w:val="00175C89"/>
    <w:rsid w:val="0017639A"/>
    <w:rsid w:val="00177917"/>
    <w:rsid w:val="001811B6"/>
    <w:rsid w:val="00181F07"/>
    <w:rsid w:val="0018285F"/>
    <w:rsid w:val="001828BA"/>
    <w:rsid w:val="00183D8A"/>
    <w:rsid w:val="00185E1F"/>
    <w:rsid w:val="00185FA3"/>
    <w:rsid w:val="0018706D"/>
    <w:rsid w:val="00187164"/>
    <w:rsid w:val="001A0980"/>
    <w:rsid w:val="001A1796"/>
    <w:rsid w:val="001A3CCB"/>
    <w:rsid w:val="001A45D8"/>
    <w:rsid w:val="001B0BA4"/>
    <w:rsid w:val="001B3455"/>
    <w:rsid w:val="001B37C9"/>
    <w:rsid w:val="001B4146"/>
    <w:rsid w:val="001B4589"/>
    <w:rsid w:val="001B6203"/>
    <w:rsid w:val="001B650A"/>
    <w:rsid w:val="001B6745"/>
    <w:rsid w:val="001B6F51"/>
    <w:rsid w:val="001C1735"/>
    <w:rsid w:val="001C4E6E"/>
    <w:rsid w:val="001D0CAB"/>
    <w:rsid w:val="001D300B"/>
    <w:rsid w:val="001D4386"/>
    <w:rsid w:val="001D5615"/>
    <w:rsid w:val="001D5E68"/>
    <w:rsid w:val="001F4AED"/>
    <w:rsid w:val="001F66E6"/>
    <w:rsid w:val="001F7611"/>
    <w:rsid w:val="00200582"/>
    <w:rsid w:val="00205923"/>
    <w:rsid w:val="00212315"/>
    <w:rsid w:val="002123B6"/>
    <w:rsid w:val="00215D38"/>
    <w:rsid w:val="00216111"/>
    <w:rsid w:val="00220281"/>
    <w:rsid w:val="0022385A"/>
    <w:rsid w:val="0022613B"/>
    <w:rsid w:val="0022614E"/>
    <w:rsid w:val="0022654C"/>
    <w:rsid w:val="0022684B"/>
    <w:rsid w:val="00231023"/>
    <w:rsid w:val="00232481"/>
    <w:rsid w:val="00234162"/>
    <w:rsid w:val="00237A81"/>
    <w:rsid w:val="00240640"/>
    <w:rsid w:val="00241CA4"/>
    <w:rsid w:val="00242326"/>
    <w:rsid w:val="00242493"/>
    <w:rsid w:val="00242BF4"/>
    <w:rsid w:val="002506C3"/>
    <w:rsid w:val="002512CB"/>
    <w:rsid w:val="00254DBA"/>
    <w:rsid w:val="00256F75"/>
    <w:rsid w:val="00257B57"/>
    <w:rsid w:val="0026220D"/>
    <w:rsid w:val="0026385C"/>
    <w:rsid w:val="00271C2A"/>
    <w:rsid w:val="00272954"/>
    <w:rsid w:val="00275C4F"/>
    <w:rsid w:val="0027730B"/>
    <w:rsid w:val="00277F96"/>
    <w:rsid w:val="002816CF"/>
    <w:rsid w:val="002825BF"/>
    <w:rsid w:val="0028358A"/>
    <w:rsid w:val="0028365A"/>
    <w:rsid w:val="002864B0"/>
    <w:rsid w:val="002914CF"/>
    <w:rsid w:val="00293C5E"/>
    <w:rsid w:val="0029743D"/>
    <w:rsid w:val="002A3E2F"/>
    <w:rsid w:val="002A5E9D"/>
    <w:rsid w:val="002A6513"/>
    <w:rsid w:val="002A72C1"/>
    <w:rsid w:val="002B0C93"/>
    <w:rsid w:val="002B0F38"/>
    <w:rsid w:val="002B150C"/>
    <w:rsid w:val="002B52DB"/>
    <w:rsid w:val="002B57D1"/>
    <w:rsid w:val="002B5D80"/>
    <w:rsid w:val="002B779E"/>
    <w:rsid w:val="002C17C1"/>
    <w:rsid w:val="002C4D91"/>
    <w:rsid w:val="002C4FF1"/>
    <w:rsid w:val="002C5A1F"/>
    <w:rsid w:val="002D2EBC"/>
    <w:rsid w:val="002D3242"/>
    <w:rsid w:val="002D376F"/>
    <w:rsid w:val="002D7AC9"/>
    <w:rsid w:val="002E0192"/>
    <w:rsid w:val="002E308E"/>
    <w:rsid w:val="002E346D"/>
    <w:rsid w:val="002E5E18"/>
    <w:rsid w:val="002E5F8E"/>
    <w:rsid w:val="002E6A1B"/>
    <w:rsid w:val="002E794B"/>
    <w:rsid w:val="002E7D89"/>
    <w:rsid w:val="002F04DA"/>
    <w:rsid w:val="002F1390"/>
    <w:rsid w:val="002F386E"/>
    <w:rsid w:val="002F51CC"/>
    <w:rsid w:val="002F640C"/>
    <w:rsid w:val="002F6814"/>
    <w:rsid w:val="003039C0"/>
    <w:rsid w:val="003069E6"/>
    <w:rsid w:val="00306C8F"/>
    <w:rsid w:val="00307432"/>
    <w:rsid w:val="00310B34"/>
    <w:rsid w:val="00311004"/>
    <w:rsid w:val="003154B6"/>
    <w:rsid w:val="0031563A"/>
    <w:rsid w:val="00315BE2"/>
    <w:rsid w:val="0032062D"/>
    <w:rsid w:val="00322DB6"/>
    <w:rsid w:val="00322E00"/>
    <w:rsid w:val="00323291"/>
    <w:rsid w:val="0032372C"/>
    <w:rsid w:val="00326599"/>
    <w:rsid w:val="0033151F"/>
    <w:rsid w:val="003328FA"/>
    <w:rsid w:val="00333F68"/>
    <w:rsid w:val="00336181"/>
    <w:rsid w:val="00337026"/>
    <w:rsid w:val="003413AD"/>
    <w:rsid w:val="0034432D"/>
    <w:rsid w:val="003449D1"/>
    <w:rsid w:val="0034598B"/>
    <w:rsid w:val="003464B0"/>
    <w:rsid w:val="00346AAB"/>
    <w:rsid w:val="003509C9"/>
    <w:rsid w:val="00351A24"/>
    <w:rsid w:val="00362BDC"/>
    <w:rsid w:val="00363B50"/>
    <w:rsid w:val="003711F4"/>
    <w:rsid w:val="0038167C"/>
    <w:rsid w:val="00383078"/>
    <w:rsid w:val="003859A6"/>
    <w:rsid w:val="00385A77"/>
    <w:rsid w:val="003A4DE8"/>
    <w:rsid w:val="003A680D"/>
    <w:rsid w:val="003B4D64"/>
    <w:rsid w:val="003B7C8C"/>
    <w:rsid w:val="003C25C5"/>
    <w:rsid w:val="003C2CF4"/>
    <w:rsid w:val="003C4218"/>
    <w:rsid w:val="003C7E0E"/>
    <w:rsid w:val="003D5218"/>
    <w:rsid w:val="003D5884"/>
    <w:rsid w:val="003E2F8D"/>
    <w:rsid w:val="003E72F4"/>
    <w:rsid w:val="003F1195"/>
    <w:rsid w:val="003F1EBF"/>
    <w:rsid w:val="003F2042"/>
    <w:rsid w:val="003F38A3"/>
    <w:rsid w:val="003F51F1"/>
    <w:rsid w:val="003F6C30"/>
    <w:rsid w:val="003F7882"/>
    <w:rsid w:val="004016F6"/>
    <w:rsid w:val="00406488"/>
    <w:rsid w:val="00407F46"/>
    <w:rsid w:val="00416078"/>
    <w:rsid w:val="00416822"/>
    <w:rsid w:val="00416D27"/>
    <w:rsid w:val="00421A94"/>
    <w:rsid w:val="00425209"/>
    <w:rsid w:val="004315FF"/>
    <w:rsid w:val="00432AAF"/>
    <w:rsid w:val="004360D8"/>
    <w:rsid w:val="004424CB"/>
    <w:rsid w:val="00442B9F"/>
    <w:rsid w:val="00443302"/>
    <w:rsid w:val="00444A63"/>
    <w:rsid w:val="004454F6"/>
    <w:rsid w:val="00447ABA"/>
    <w:rsid w:val="004505A8"/>
    <w:rsid w:val="00451F86"/>
    <w:rsid w:val="00453429"/>
    <w:rsid w:val="00453E46"/>
    <w:rsid w:val="00454D17"/>
    <w:rsid w:val="00460CC6"/>
    <w:rsid w:val="004667C0"/>
    <w:rsid w:val="004710FB"/>
    <w:rsid w:val="004749D7"/>
    <w:rsid w:val="00474B93"/>
    <w:rsid w:val="00475052"/>
    <w:rsid w:val="0047640D"/>
    <w:rsid w:val="00477A5D"/>
    <w:rsid w:val="004804CD"/>
    <w:rsid w:val="004819B1"/>
    <w:rsid w:val="00482973"/>
    <w:rsid w:val="00482B7F"/>
    <w:rsid w:val="00482E3F"/>
    <w:rsid w:val="004875A4"/>
    <w:rsid w:val="00491B1B"/>
    <w:rsid w:val="00492D6C"/>
    <w:rsid w:val="004936CC"/>
    <w:rsid w:val="00494A73"/>
    <w:rsid w:val="004A0CD3"/>
    <w:rsid w:val="004A15D4"/>
    <w:rsid w:val="004A27B6"/>
    <w:rsid w:val="004A31B3"/>
    <w:rsid w:val="004A4A2D"/>
    <w:rsid w:val="004B5C23"/>
    <w:rsid w:val="004B67AD"/>
    <w:rsid w:val="004C5223"/>
    <w:rsid w:val="004D1DB1"/>
    <w:rsid w:val="004D1F11"/>
    <w:rsid w:val="004D2421"/>
    <w:rsid w:val="004D35B1"/>
    <w:rsid w:val="004D3D1F"/>
    <w:rsid w:val="004D3E73"/>
    <w:rsid w:val="004D47E5"/>
    <w:rsid w:val="004E334F"/>
    <w:rsid w:val="004F5F6C"/>
    <w:rsid w:val="004F634F"/>
    <w:rsid w:val="0050040F"/>
    <w:rsid w:val="00500705"/>
    <w:rsid w:val="00501B43"/>
    <w:rsid w:val="00504081"/>
    <w:rsid w:val="00504642"/>
    <w:rsid w:val="0050481F"/>
    <w:rsid w:val="00504B82"/>
    <w:rsid w:val="005102F5"/>
    <w:rsid w:val="005120D0"/>
    <w:rsid w:val="00512A05"/>
    <w:rsid w:val="00512F9A"/>
    <w:rsid w:val="00515A36"/>
    <w:rsid w:val="005168F2"/>
    <w:rsid w:val="00524A89"/>
    <w:rsid w:val="00526121"/>
    <w:rsid w:val="0053725B"/>
    <w:rsid w:val="0054064E"/>
    <w:rsid w:val="00540989"/>
    <w:rsid w:val="00540EC3"/>
    <w:rsid w:val="00541ECF"/>
    <w:rsid w:val="0054387E"/>
    <w:rsid w:val="00543F1D"/>
    <w:rsid w:val="005441B0"/>
    <w:rsid w:val="005442AE"/>
    <w:rsid w:val="00545755"/>
    <w:rsid w:val="00550887"/>
    <w:rsid w:val="00555DE6"/>
    <w:rsid w:val="0055709B"/>
    <w:rsid w:val="00561049"/>
    <w:rsid w:val="00567BAE"/>
    <w:rsid w:val="00577181"/>
    <w:rsid w:val="0058057B"/>
    <w:rsid w:val="0058247C"/>
    <w:rsid w:val="00587E9C"/>
    <w:rsid w:val="00590647"/>
    <w:rsid w:val="00590E34"/>
    <w:rsid w:val="00591A9E"/>
    <w:rsid w:val="005931B2"/>
    <w:rsid w:val="00593FB4"/>
    <w:rsid w:val="005951A8"/>
    <w:rsid w:val="00597C01"/>
    <w:rsid w:val="005A07F8"/>
    <w:rsid w:val="005A36B9"/>
    <w:rsid w:val="005A3E53"/>
    <w:rsid w:val="005A3F1C"/>
    <w:rsid w:val="005A4DB2"/>
    <w:rsid w:val="005B3916"/>
    <w:rsid w:val="005B5262"/>
    <w:rsid w:val="005B61E2"/>
    <w:rsid w:val="005C3680"/>
    <w:rsid w:val="005D01F8"/>
    <w:rsid w:val="005D045A"/>
    <w:rsid w:val="005D076C"/>
    <w:rsid w:val="005D7EAF"/>
    <w:rsid w:val="005D7FF5"/>
    <w:rsid w:val="005E0702"/>
    <w:rsid w:val="005E0878"/>
    <w:rsid w:val="005E1D18"/>
    <w:rsid w:val="005E2E37"/>
    <w:rsid w:val="005E3173"/>
    <w:rsid w:val="005E42FC"/>
    <w:rsid w:val="005E500E"/>
    <w:rsid w:val="005E7B41"/>
    <w:rsid w:val="005F1622"/>
    <w:rsid w:val="005F2C51"/>
    <w:rsid w:val="005F45EC"/>
    <w:rsid w:val="005F5CD4"/>
    <w:rsid w:val="005F7EA9"/>
    <w:rsid w:val="006011F9"/>
    <w:rsid w:val="006019FD"/>
    <w:rsid w:val="006049B8"/>
    <w:rsid w:val="0060511B"/>
    <w:rsid w:val="00606E11"/>
    <w:rsid w:val="006173A1"/>
    <w:rsid w:val="00617D8D"/>
    <w:rsid w:val="00620576"/>
    <w:rsid w:val="00625FE6"/>
    <w:rsid w:val="006312ED"/>
    <w:rsid w:val="0063173C"/>
    <w:rsid w:val="006340EA"/>
    <w:rsid w:val="0063460F"/>
    <w:rsid w:val="00635B3A"/>
    <w:rsid w:val="0063628A"/>
    <w:rsid w:val="0064274C"/>
    <w:rsid w:val="0064419F"/>
    <w:rsid w:val="00645939"/>
    <w:rsid w:val="00647D71"/>
    <w:rsid w:val="00651725"/>
    <w:rsid w:val="00651811"/>
    <w:rsid w:val="006653C0"/>
    <w:rsid w:val="0066577E"/>
    <w:rsid w:val="00666411"/>
    <w:rsid w:val="006667B8"/>
    <w:rsid w:val="00667884"/>
    <w:rsid w:val="00667F81"/>
    <w:rsid w:val="006736C3"/>
    <w:rsid w:val="00674F4E"/>
    <w:rsid w:val="00676D6E"/>
    <w:rsid w:val="00676FB8"/>
    <w:rsid w:val="00677FAB"/>
    <w:rsid w:val="00683202"/>
    <w:rsid w:val="00686F4D"/>
    <w:rsid w:val="006876B9"/>
    <w:rsid w:val="006909E8"/>
    <w:rsid w:val="00692A9F"/>
    <w:rsid w:val="00697448"/>
    <w:rsid w:val="00697C20"/>
    <w:rsid w:val="006A0D31"/>
    <w:rsid w:val="006A0E32"/>
    <w:rsid w:val="006A47F9"/>
    <w:rsid w:val="006A76F2"/>
    <w:rsid w:val="006B1286"/>
    <w:rsid w:val="006B5D6E"/>
    <w:rsid w:val="006B7705"/>
    <w:rsid w:val="006C285E"/>
    <w:rsid w:val="006C521B"/>
    <w:rsid w:val="006C5325"/>
    <w:rsid w:val="006C57E3"/>
    <w:rsid w:val="006D2026"/>
    <w:rsid w:val="006D30D1"/>
    <w:rsid w:val="006D60E8"/>
    <w:rsid w:val="006D7699"/>
    <w:rsid w:val="006E162B"/>
    <w:rsid w:val="006E4A39"/>
    <w:rsid w:val="006E6E5B"/>
    <w:rsid w:val="006F17C4"/>
    <w:rsid w:val="006F4F5F"/>
    <w:rsid w:val="006F60D2"/>
    <w:rsid w:val="006F78C1"/>
    <w:rsid w:val="00706C8D"/>
    <w:rsid w:val="007107A5"/>
    <w:rsid w:val="007107B4"/>
    <w:rsid w:val="00710EF5"/>
    <w:rsid w:val="007133D6"/>
    <w:rsid w:val="00715030"/>
    <w:rsid w:val="00716124"/>
    <w:rsid w:val="00717D47"/>
    <w:rsid w:val="00717FAE"/>
    <w:rsid w:val="007202D1"/>
    <w:rsid w:val="00723187"/>
    <w:rsid w:val="00725008"/>
    <w:rsid w:val="00727352"/>
    <w:rsid w:val="00730959"/>
    <w:rsid w:val="007423E7"/>
    <w:rsid w:val="00745A5C"/>
    <w:rsid w:val="00745E01"/>
    <w:rsid w:val="00761F14"/>
    <w:rsid w:val="0076729D"/>
    <w:rsid w:val="00771C7B"/>
    <w:rsid w:val="00771F55"/>
    <w:rsid w:val="00773092"/>
    <w:rsid w:val="00773A32"/>
    <w:rsid w:val="0078343D"/>
    <w:rsid w:val="00784C23"/>
    <w:rsid w:val="00784F11"/>
    <w:rsid w:val="00785992"/>
    <w:rsid w:val="00787A9F"/>
    <w:rsid w:val="00791F3C"/>
    <w:rsid w:val="00793554"/>
    <w:rsid w:val="007935BC"/>
    <w:rsid w:val="00795907"/>
    <w:rsid w:val="007A3B3C"/>
    <w:rsid w:val="007A6FF4"/>
    <w:rsid w:val="007B1F5A"/>
    <w:rsid w:val="007B2326"/>
    <w:rsid w:val="007B241D"/>
    <w:rsid w:val="007B2436"/>
    <w:rsid w:val="007B2F47"/>
    <w:rsid w:val="007B5A5C"/>
    <w:rsid w:val="007C342A"/>
    <w:rsid w:val="007C3AC7"/>
    <w:rsid w:val="007C6B43"/>
    <w:rsid w:val="007C7EAB"/>
    <w:rsid w:val="007D0820"/>
    <w:rsid w:val="007D17FB"/>
    <w:rsid w:val="007D2BD6"/>
    <w:rsid w:val="007D3D20"/>
    <w:rsid w:val="007D4C2D"/>
    <w:rsid w:val="007E00CF"/>
    <w:rsid w:val="007E394F"/>
    <w:rsid w:val="007E5F1D"/>
    <w:rsid w:val="007E60E2"/>
    <w:rsid w:val="007F06D5"/>
    <w:rsid w:val="007F0979"/>
    <w:rsid w:val="007F0AFF"/>
    <w:rsid w:val="007F16F1"/>
    <w:rsid w:val="0080284F"/>
    <w:rsid w:val="00803485"/>
    <w:rsid w:val="00805034"/>
    <w:rsid w:val="00805912"/>
    <w:rsid w:val="008064A8"/>
    <w:rsid w:val="00806836"/>
    <w:rsid w:val="0080697B"/>
    <w:rsid w:val="00812BEB"/>
    <w:rsid w:val="008172CB"/>
    <w:rsid w:val="008207B3"/>
    <w:rsid w:val="00820DAE"/>
    <w:rsid w:val="00827EC7"/>
    <w:rsid w:val="0083103D"/>
    <w:rsid w:val="00831CF6"/>
    <w:rsid w:val="00832C39"/>
    <w:rsid w:val="008330F5"/>
    <w:rsid w:val="00833A2C"/>
    <w:rsid w:val="0083444C"/>
    <w:rsid w:val="008428C1"/>
    <w:rsid w:val="0084533A"/>
    <w:rsid w:val="00845A9D"/>
    <w:rsid w:val="008469B2"/>
    <w:rsid w:val="0085293E"/>
    <w:rsid w:val="008619B1"/>
    <w:rsid w:val="00862B87"/>
    <w:rsid w:val="00863F09"/>
    <w:rsid w:val="00870039"/>
    <w:rsid w:val="008706E6"/>
    <w:rsid w:val="0087077E"/>
    <w:rsid w:val="008710F6"/>
    <w:rsid w:val="00872F7D"/>
    <w:rsid w:val="00873CDC"/>
    <w:rsid w:val="00873DA6"/>
    <w:rsid w:val="008742F7"/>
    <w:rsid w:val="00877765"/>
    <w:rsid w:val="008808A6"/>
    <w:rsid w:val="00882743"/>
    <w:rsid w:val="00882D6F"/>
    <w:rsid w:val="0088310B"/>
    <w:rsid w:val="00884E52"/>
    <w:rsid w:val="0088560F"/>
    <w:rsid w:val="008861C1"/>
    <w:rsid w:val="00887016"/>
    <w:rsid w:val="00891543"/>
    <w:rsid w:val="00895269"/>
    <w:rsid w:val="0089694A"/>
    <w:rsid w:val="008A36ED"/>
    <w:rsid w:val="008A472D"/>
    <w:rsid w:val="008B1D88"/>
    <w:rsid w:val="008B74CA"/>
    <w:rsid w:val="008C2DA2"/>
    <w:rsid w:val="008C475D"/>
    <w:rsid w:val="008C50BE"/>
    <w:rsid w:val="008C61F2"/>
    <w:rsid w:val="008C671B"/>
    <w:rsid w:val="008C6FEB"/>
    <w:rsid w:val="008D1894"/>
    <w:rsid w:val="008D1A18"/>
    <w:rsid w:val="008D5428"/>
    <w:rsid w:val="008D73A4"/>
    <w:rsid w:val="008D7760"/>
    <w:rsid w:val="009002ED"/>
    <w:rsid w:val="009008C5"/>
    <w:rsid w:val="009041B7"/>
    <w:rsid w:val="00906BF7"/>
    <w:rsid w:val="00910273"/>
    <w:rsid w:val="009110AE"/>
    <w:rsid w:val="00911866"/>
    <w:rsid w:val="00912225"/>
    <w:rsid w:val="00914A59"/>
    <w:rsid w:val="009223B4"/>
    <w:rsid w:val="009234B2"/>
    <w:rsid w:val="00925C40"/>
    <w:rsid w:val="009264C9"/>
    <w:rsid w:val="00926A1C"/>
    <w:rsid w:val="00933CFA"/>
    <w:rsid w:val="009360C2"/>
    <w:rsid w:val="0093656D"/>
    <w:rsid w:val="009366C8"/>
    <w:rsid w:val="00936D2D"/>
    <w:rsid w:val="00937921"/>
    <w:rsid w:val="009407D9"/>
    <w:rsid w:val="009438D7"/>
    <w:rsid w:val="009447E6"/>
    <w:rsid w:val="00945A5D"/>
    <w:rsid w:val="0094685C"/>
    <w:rsid w:val="009469A5"/>
    <w:rsid w:val="00951F61"/>
    <w:rsid w:val="00952D91"/>
    <w:rsid w:val="00953395"/>
    <w:rsid w:val="00954454"/>
    <w:rsid w:val="009547F4"/>
    <w:rsid w:val="00962858"/>
    <w:rsid w:val="009638A0"/>
    <w:rsid w:val="00963AEE"/>
    <w:rsid w:val="00965678"/>
    <w:rsid w:val="00965C23"/>
    <w:rsid w:val="00967870"/>
    <w:rsid w:val="00972DFD"/>
    <w:rsid w:val="009762DA"/>
    <w:rsid w:val="009777FD"/>
    <w:rsid w:val="00981352"/>
    <w:rsid w:val="00986FA8"/>
    <w:rsid w:val="00991C8E"/>
    <w:rsid w:val="009951AB"/>
    <w:rsid w:val="0099562C"/>
    <w:rsid w:val="00997E8C"/>
    <w:rsid w:val="009A27B7"/>
    <w:rsid w:val="009A2FCC"/>
    <w:rsid w:val="009B5DDD"/>
    <w:rsid w:val="009B6926"/>
    <w:rsid w:val="009B7067"/>
    <w:rsid w:val="009C06D7"/>
    <w:rsid w:val="009C083B"/>
    <w:rsid w:val="009C358F"/>
    <w:rsid w:val="009C3A8E"/>
    <w:rsid w:val="009D0B8D"/>
    <w:rsid w:val="009D1C70"/>
    <w:rsid w:val="009E28C1"/>
    <w:rsid w:val="009E2C48"/>
    <w:rsid w:val="009E47D7"/>
    <w:rsid w:val="009E5E6C"/>
    <w:rsid w:val="009F02F2"/>
    <w:rsid w:val="009F44FD"/>
    <w:rsid w:val="009F53EE"/>
    <w:rsid w:val="009F654D"/>
    <w:rsid w:val="009F76F1"/>
    <w:rsid w:val="00A025FA"/>
    <w:rsid w:val="00A03229"/>
    <w:rsid w:val="00A03988"/>
    <w:rsid w:val="00A048B5"/>
    <w:rsid w:val="00A106D5"/>
    <w:rsid w:val="00A1101D"/>
    <w:rsid w:val="00A12BD0"/>
    <w:rsid w:val="00A12C6C"/>
    <w:rsid w:val="00A2128C"/>
    <w:rsid w:val="00A22FCF"/>
    <w:rsid w:val="00A23A42"/>
    <w:rsid w:val="00A253FB"/>
    <w:rsid w:val="00A27050"/>
    <w:rsid w:val="00A34592"/>
    <w:rsid w:val="00A3508D"/>
    <w:rsid w:val="00A42BCF"/>
    <w:rsid w:val="00A42F33"/>
    <w:rsid w:val="00A4426A"/>
    <w:rsid w:val="00A45144"/>
    <w:rsid w:val="00A50674"/>
    <w:rsid w:val="00A52165"/>
    <w:rsid w:val="00A52817"/>
    <w:rsid w:val="00A61D31"/>
    <w:rsid w:val="00A70C7D"/>
    <w:rsid w:val="00A72A08"/>
    <w:rsid w:val="00A7488C"/>
    <w:rsid w:val="00A80789"/>
    <w:rsid w:val="00A87BBB"/>
    <w:rsid w:val="00A90F87"/>
    <w:rsid w:val="00A94166"/>
    <w:rsid w:val="00A94FAC"/>
    <w:rsid w:val="00A96F39"/>
    <w:rsid w:val="00A97979"/>
    <w:rsid w:val="00AA0448"/>
    <w:rsid w:val="00AA79B4"/>
    <w:rsid w:val="00AA7EB7"/>
    <w:rsid w:val="00AB1338"/>
    <w:rsid w:val="00AB3224"/>
    <w:rsid w:val="00AB6A46"/>
    <w:rsid w:val="00AB7A7C"/>
    <w:rsid w:val="00AB7D80"/>
    <w:rsid w:val="00AC2901"/>
    <w:rsid w:val="00AC387F"/>
    <w:rsid w:val="00AC72EC"/>
    <w:rsid w:val="00AD204E"/>
    <w:rsid w:val="00AD254F"/>
    <w:rsid w:val="00AE543B"/>
    <w:rsid w:val="00AE6F2C"/>
    <w:rsid w:val="00AF51B2"/>
    <w:rsid w:val="00AF6937"/>
    <w:rsid w:val="00B00708"/>
    <w:rsid w:val="00B02E6A"/>
    <w:rsid w:val="00B05807"/>
    <w:rsid w:val="00B05B90"/>
    <w:rsid w:val="00B06E4B"/>
    <w:rsid w:val="00B071B2"/>
    <w:rsid w:val="00B073E7"/>
    <w:rsid w:val="00B110F6"/>
    <w:rsid w:val="00B118F2"/>
    <w:rsid w:val="00B12500"/>
    <w:rsid w:val="00B13828"/>
    <w:rsid w:val="00B14219"/>
    <w:rsid w:val="00B1541F"/>
    <w:rsid w:val="00B15965"/>
    <w:rsid w:val="00B164DD"/>
    <w:rsid w:val="00B166A6"/>
    <w:rsid w:val="00B1789D"/>
    <w:rsid w:val="00B17CC7"/>
    <w:rsid w:val="00B21A3D"/>
    <w:rsid w:val="00B230AC"/>
    <w:rsid w:val="00B25B17"/>
    <w:rsid w:val="00B26E7C"/>
    <w:rsid w:val="00B31010"/>
    <w:rsid w:val="00B322BA"/>
    <w:rsid w:val="00B36767"/>
    <w:rsid w:val="00B41C20"/>
    <w:rsid w:val="00B43568"/>
    <w:rsid w:val="00B537BC"/>
    <w:rsid w:val="00B62635"/>
    <w:rsid w:val="00B62BF8"/>
    <w:rsid w:val="00B65EFD"/>
    <w:rsid w:val="00B66B24"/>
    <w:rsid w:val="00B67412"/>
    <w:rsid w:val="00B77B69"/>
    <w:rsid w:val="00B8398B"/>
    <w:rsid w:val="00B842FF"/>
    <w:rsid w:val="00BA0063"/>
    <w:rsid w:val="00BA0F81"/>
    <w:rsid w:val="00BA2227"/>
    <w:rsid w:val="00BA5CD7"/>
    <w:rsid w:val="00BB2E26"/>
    <w:rsid w:val="00BB6465"/>
    <w:rsid w:val="00BC1A00"/>
    <w:rsid w:val="00BC271D"/>
    <w:rsid w:val="00BC4948"/>
    <w:rsid w:val="00BC5F2E"/>
    <w:rsid w:val="00BD0058"/>
    <w:rsid w:val="00BD38BA"/>
    <w:rsid w:val="00BD4484"/>
    <w:rsid w:val="00BD5DFB"/>
    <w:rsid w:val="00BD6C3F"/>
    <w:rsid w:val="00BD77D6"/>
    <w:rsid w:val="00BE12A9"/>
    <w:rsid w:val="00BE77AD"/>
    <w:rsid w:val="00BF4938"/>
    <w:rsid w:val="00BF5BF1"/>
    <w:rsid w:val="00C02CFE"/>
    <w:rsid w:val="00C07CFF"/>
    <w:rsid w:val="00C10A51"/>
    <w:rsid w:val="00C11C30"/>
    <w:rsid w:val="00C12C8C"/>
    <w:rsid w:val="00C136C2"/>
    <w:rsid w:val="00C22D7E"/>
    <w:rsid w:val="00C23A29"/>
    <w:rsid w:val="00C23D67"/>
    <w:rsid w:val="00C3387B"/>
    <w:rsid w:val="00C36CED"/>
    <w:rsid w:val="00C3720E"/>
    <w:rsid w:val="00C4057D"/>
    <w:rsid w:val="00C43879"/>
    <w:rsid w:val="00C44121"/>
    <w:rsid w:val="00C46F94"/>
    <w:rsid w:val="00C52395"/>
    <w:rsid w:val="00C552F0"/>
    <w:rsid w:val="00C57DB2"/>
    <w:rsid w:val="00C60636"/>
    <w:rsid w:val="00C61956"/>
    <w:rsid w:val="00C63E2D"/>
    <w:rsid w:val="00C6433A"/>
    <w:rsid w:val="00C663A5"/>
    <w:rsid w:val="00C66A26"/>
    <w:rsid w:val="00C66C7F"/>
    <w:rsid w:val="00C67AF4"/>
    <w:rsid w:val="00C67B37"/>
    <w:rsid w:val="00C72535"/>
    <w:rsid w:val="00C74BF6"/>
    <w:rsid w:val="00C7612C"/>
    <w:rsid w:val="00C776B7"/>
    <w:rsid w:val="00C84552"/>
    <w:rsid w:val="00C868B2"/>
    <w:rsid w:val="00C91D30"/>
    <w:rsid w:val="00CA10D2"/>
    <w:rsid w:val="00CA2DEB"/>
    <w:rsid w:val="00CA45DA"/>
    <w:rsid w:val="00CA4C90"/>
    <w:rsid w:val="00CA5B5F"/>
    <w:rsid w:val="00CA6128"/>
    <w:rsid w:val="00CA631E"/>
    <w:rsid w:val="00CB052E"/>
    <w:rsid w:val="00CB0CF4"/>
    <w:rsid w:val="00CB27E6"/>
    <w:rsid w:val="00CB5DEF"/>
    <w:rsid w:val="00CB6568"/>
    <w:rsid w:val="00CB7269"/>
    <w:rsid w:val="00CC11FA"/>
    <w:rsid w:val="00CC35AF"/>
    <w:rsid w:val="00CC5BAA"/>
    <w:rsid w:val="00CC73BC"/>
    <w:rsid w:val="00CD3FA0"/>
    <w:rsid w:val="00CD5607"/>
    <w:rsid w:val="00CD5AAC"/>
    <w:rsid w:val="00CD658B"/>
    <w:rsid w:val="00CE1285"/>
    <w:rsid w:val="00CE2318"/>
    <w:rsid w:val="00CE3C87"/>
    <w:rsid w:val="00CE48DA"/>
    <w:rsid w:val="00CF0131"/>
    <w:rsid w:val="00CF6DAD"/>
    <w:rsid w:val="00CF7BDC"/>
    <w:rsid w:val="00D0340E"/>
    <w:rsid w:val="00D12B8D"/>
    <w:rsid w:val="00D13E41"/>
    <w:rsid w:val="00D160AC"/>
    <w:rsid w:val="00D21738"/>
    <w:rsid w:val="00D21EE7"/>
    <w:rsid w:val="00D2246B"/>
    <w:rsid w:val="00D2260A"/>
    <w:rsid w:val="00D227A8"/>
    <w:rsid w:val="00D23224"/>
    <w:rsid w:val="00D232CD"/>
    <w:rsid w:val="00D2550A"/>
    <w:rsid w:val="00D32F11"/>
    <w:rsid w:val="00D36324"/>
    <w:rsid w:val="00D438C3"/>
    <w:rsid w:val="00D44505"/>
    <w:rsid w:val="00D465B4"/>
    <w:rsid w:val="00D46D1E"/>
    <w:rsid w:val="00D47FAA"/>
    <w:rsid w:val="00D5494E"/>
    <w:rsid w:val="00D57947"/>
    <w:rsid w:val="00D61CE6"/>
    <w:rsid w:val="00D65012"/>
    <w:rsid w:val="00D651D5"/>
    <w:rsid w:val="00D70D2C"/>
    <w:rsid w:val="00D716D1"/>
    <w:rsid w:val="00D75C74"/>
    <w:rsid w:val="00D7679A"/>
    <w:rsid w:val="00D77C7E"/>
    <w:rsid w:val="00D822E3"/>
    <w:rsid w:val="00D849AE"/>
    <w:rsid w:val="00D875B4"/>
    <w:rsid w:val="00DA14FD"/>
    <w:rsid w:val="00DA384B"/>
    <w:rsid w:val="00DA60AF"/>
    <w:rsid w:val="00DB7756"/>
    <w:rsid w:val="00DC203E"/>
    <w:rsid w:val="00DC759E"/>
    <w:rsid w:val="00DD0E63"/>
    <w:rsid w:val="00DD3581"/>
    <w:rsid w:val="00DD3A9C"/>
    <w:rsid w:val="00DD6125"/>
    <w:rsid w:val="00DD6FDF"/>
    <w:rsid w:val="00DE1A2E"/>
    <w:rsid w:val="00DE719B"/>
    <w:rsid w:val="00DE7E8A"/>
    <w:rsid w:val="00DF340F"/>
    <w:rsid w:val="00E00AF1"/>
    <w:rsid w:val="00E00DA5"/>
    <w:rsid w:val="00E03E31"/>
    <w:rsid w:val="00E04990"/>
    <w:rsid w:val="00E06500"/>
    <w:rsid w:val="00E067BA"/>
    <w:rsid w:val="00E10F06"/>
    <w:rsid w:val="00E10F10"/>
    <w:rsid w:val="00E15D07"/>
    <w:rsid w:val="00E15D8A"/>
    <w:rsid w:val="00E178C0"/>
    <w:rsid w:val="00E2138A"/>
    <w:rsid w:val="00E217F0"/>
    <w:rsid w:val="00E21D94"/>
    <w:rsid w:val="00E22EBE"/>
    <w:rsid w:val="00E23D45"/>
    <w:rsid w:val="00E23F68"/>
    <w:rsid w:val="00E247CC"/>
    <w:rsid w:val="00E25D35"/>
    <w:rsid w:val="00E32EA1"/>
    <w:rsid w:val="00E32EF3"/>
    <w:rsid w:val="00E33C9A"/>
    <w:rsid w:val="00E3609A"/>
    <w:rsid w:val="00E4227F"/>
    <w:rsid w:val="00E42AE1"/>
    <w:rsid w:val="00E462F3"/>
    <w:rsid w:val="00E46D08"/>
    <w:rsid w:val="00E5156B"/>
    <w:rsid w:val="00E55F00"/>
    <w:rsid w:val="00E5791B"/>
    <w:rsid w:val="00E60F62"/>
    <w:rsid w:val="00E63C44"/>
    <w:rsid w:val="00E67187"/>
    <w:rsid w:val="00E71E1A"/>
    <w:rsid w:val="00E72F14"/>
    <w:rsid w:val="00E73995"/>
    <w:rsid w:val="00E77DC7"/>
    <w:rsid w:val="00E8104A"/>
    <w:rsid w:val="00E8194B"/>
    <w:rsid w:val="00E822B8"/>
    <w:rsid w:val="00E843D1"/>
    <w:rsid w:val="00E84A71"/>
    <w:rsid w:val="00E91495"/>
    <w:rsid w:val="00E91FA4"/>
    <w:rsid w:val="00E91FDF"/>
    <w:rsid w:val="00E92431"/>
    <w:rsid w:val="00E962FA"/>
    <w:rsid w:val="00E966DC"/>
    <w:rsid w:val="00E967F5"/>
    <w:rsid w:val="00E96B05"/>
    <w:rsid w:val="00EA4217"/>
    <w:rsid w:val="00EA4613"/>
    <w:rsid w:val="00EA62C3"/>
    <w:rsid w:val="00EB0F53"/>
    <w:rsid w:val="00EB2304"/>
    <w:rsid w:val="00EB3D20"/>
    <w:rsid w:val="00EB72C5"/>
    <w:rsid w:val="00EB7A7A"/>
    <w:rsid w:val="00EC0ADB"/>
    <w:rsid w:val="00EC1269"/>
    <w:rsid w:val="00EC366E"/>
    <w:rsid w:val="00EC4DDB"/>
    <w:rsid w:val="00EC6341"/>
    <w:rsid w:val="00EC7944"/>
    <w:rsid w:val="00EC7EB7"/>
    <w:rsid w:val="00ED3128"/>
    <w:rsid w:val="00ED545B"/>
    <w:rsid w:val="00ED7E86"/>
    <w:rsid w:val="00EF13D4"/>
    <w:rsid w:val="00EF1B2D"/>
    <w:rsid w:val="00EF24CB"/>
    <w:rsid w:val="00EF42FA"/>
    <w:rsid w:val="00EF4BDA"/>
    <w:rsid w:val="00EF51CE"/>
    <w:rsid w:val="00F11580"/>
    <w:rsid w:val="00F12A9F"/>
    <w:rsid w:val="00F174FD"/>
    <w:rsid w:val="00F2028F"/>
    <w:rsid w:val="00F21549"/>
    <w:rsid w:val="00F24C42"/>
    <w:rsid w:val="00F24EDF"/>
    <w:rsid w:val="00F266DE"/>
    <w:rsid w:val="00F27C50"/>
    <w:rsid w:val="00F31AA6"/>
    <w:rsid w:val="00F31F23"/>
    <w:rsid w:val="00F340B4"/>
    <w:rsid w:val="00F352CD"/>
    <w:rsid w:val="00F35993"/>
    <w:rsid w:val="00F37AB9"/>
    <w:rsid w:val="00F405CA"/>
    <w:rsid w:val="00F40C59"/>
    <w:rsid w:val="00F4179D"/>
    <w:rsid w:val="00F42AB6"/>
    <w:rsid w:val="00F42C99"/>
    <w:rsid w:val="00F45D6E"/>
    <w:rsid w:val="00F526F1"/>
    <w:rsid w:val="00F52E7E"/>
    <w:rsid w:val="00F6585B"/>
    <w:rsid w:val="00F6669D"/>
    <w:rsid w:val="00F66832"/>
    <w:rsid w:val="00F66C4E"/>
    <w:rsid w:val="00F70831"/>
    <w:rsid w:val="00F71E5D"/>
    <w:rsid w:val="00F739AC"/>
    <w:rsid w:val="00F762B9"/>
    <w:rsid w:val="00F76C17"/>
    <w:rsid w:val="00F82D14"/>
    <w:rsid w:val="00F83B77"/>
    <w:rsid w:val="00F900A8"/>
    <w:rsid w:val="00F90E65"/>
    <w:rsid w:val="00F94DDF"/>
    <w:rsid w:val="00F97216"/>
    <w:rsid w:val="00F9764F"/>
    <w:rsid w:val="00FA63EC"/>
    <w:rsid w:val="00FA771D"/>
    <w:rsid w:val="00FB28BF"/>
    <w:rsid w:val="00FC185A"/>
    <w:rsid w:val="00FC2790"/>
    <w:rsid w:val="00FC3EE4"/>
    <w:rsid w:val="00FC40C1"/>
    <w:rsid w:val="00FC4A5F"/>
    <w:rsid w:val="00FD1A39"/>
    <w:rsid w:val="00FD6FB1"/>
    <w:rsid w:val="00FE080D"/>
    <w:rsid w:val="00FE4533"/>
    <w:rsid w:val="00FF1ECC"/>
    <w:rsid w:val="00FF32A3"/>
    <w:rsid w:val="00FF54EE"/>
    <w:rsid w:val="00FF72C7"/>
    <w:rsid w:val="00FF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Street"/>
  <w:smartTagType w:namespaceuri="urn:schemas-microsoft-com:office:smarttags" w:name="country-region"/>
  <w:smartTagType w:namespaceuri="urn:schemas-microsoft-com:office:smarttags" w:name="address"/>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hsdate"/>
  <w:smartTagType w:namespaceuri="urn:schemas-microsoft-com:office:smarttags" w:name="chmetcnv"/>
  <w:shapeDefaults>
    <o:shapedefaults v:ext="edit" spidmax="2198"/>
    <o:shapelayout v:ext="edit">
      <o:idmap v:ext="edit" data="2"/>
      <o:rules v:ext="edit">
        <o:r id="V:Rule1" type="callout" idref="#_x0000_s2059"/>
        <o:r id="V:Rule2" type="callout" idref="#_x0000_s2060"/>
        <o:r id="V:Rule3" type="callout" idref="#_x0000_s2061"/>
        <o:r id="V:Rule4" type="callout" idref="#_x0000_s2062"/>
        <o:r id="V:Rule5" type="callout" idref="#_x0000_s2067"/>
        <o:r id="V:Rule6" type="callout" idref="#_x0000_s2078"/>
        <o:r id="V:Rule7" type="callout" idref="#_x0000_s2080"/>
        <o:r id="V:Rule8" type="callout" idref="#_x0000_s2098"/>
        <o:r id="V:Rule9" type="callout" idref="#_x0000_s2101"/>
        <o:r id="V:Rule10" type="callout" idref="#_x0000_s2105"/>
        <o:r id="V:Rule11" type="callout" idref="#_x0000_s2107"/>
        <o:r id="V:Rule12" type="callout" idref="#_x0000_s2113"/>
        <o:r id="V:Rule13" type="callout" idref="#_x0000_s2115"/>
        <o:r id="V:Rule14" type="callout" idref="#_x0000_s2120"/>
        <o:r id="V:Rule15" type="callout" idref="#_x0000_s2124"/>
        <o:r id="V:Rule16" type="callout" idref="#_x0000_s2125"/>
        <o:r id="V:Rule17" type="callout" idref="#_x0000_s2126"/>
        <o:r id="V:Rule18" type="callout" idref="#_x0000_s2133"/>
        <o:r id="V:Rule19" type="callout" idref="#_x0000_s2135"/>
        <o:r id="V:Rule20" type="callout" idref="#_x0000_s2142"/>
        <o:r id="V:Rule21" type="callout" idref="#_x0000_s2152"/>
        <o:r id="V:Rule22" type="callout" idref="#_x0000_s2180"/>
        <o:r id="V:Rule23" type="callout" idref="#_x0000_s2181"/>
        <o:r id="V:Rule24" type="callout" idref="#_x0000_s2182"/>
        <o:r id="V:Rule25" type="callout" idref="#_x0000_s2183"/>
        <o:r id="V:Rule26" type="callout" idref="#_x0000_s2184"/>
        <o:r id="V:Rule27" type="callout" idref="#_x0000_s2185"/>
        <o:r id="V:Rule28" type="callout" idref="#_x0000_s2186"/>
        <o:r id="V:Rule29" type="callout" idref="#_x0000_s2187"/>
        <o:r id="V:Rule30" type="callout" idref="#_x0000_s2188"/>
        <o:r id="V:Rule31" type="callout" idref="#_x0000_s2194"/>
        <o:r id="V:Rule32" type="callout" idref="#_x0000_s2195"/>
        <o:r id="V:Rule33" type="callout" idref="#_x0000_s2196"/>
        <o:r id="V:Rule34" type="callout" idref="#_x0000_s2197"/>
      </o:rules>
    </o:shapelayout>
  </w:shapeDefaults>
  <w:decimalSymbol w:val="."/>
  <w:listSeparator w:val=","/>
  <w15:chartTrackingRefBased/>
  <w15:docId w15:val="{B063477D-B62D-4692-BA63-294640FA1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A07F8"/>
  </w:style>
  <w:style w:type="paragraph" w:styleId="1">
    <w:name w:val="heading 1"/>
    <w:basedOn w:val="a"/>
    <w:next w:val="a"/>
    <w:qFormat/>
    <w:rsid w:val="0038167C"/>
    <w:pPr>
      <w:keepNext/>
      <w:keepLines/>
      <w:spacing w:before="340" w:after="330" w:line="578" w:lineRule="auto"/>
      <w:outlineLvl w:val="0"/>
    </w:pPr>
    <w:rPr>
      <w:b/>
      <w:bCs/>
      <w:kern w:val="44"/>
      <w:sz w:val="44"/>
      <w:szCs w:val="44"/>
    </w:rPr>
  </w:style>
  <w:style w:type="paragraph" w:styleId="2">
    <w:name w:val="heading 2"/>
    <w:basedOn w:val="a"/>
    <w:next w:val="a"/>
    <w:qFormat/>
    <w:rsid w:val="0038167C"/>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38167C"/>
    <w:pPr>
      <w:keepNext/>
      <w:keepLines/>
      <w:spacing w:before="260" w:after="260" w:line="416" w:lineRule="auto"/>
      <w:outlineLvl w:val="2"/>
    </w:pPr>
    <w:rPr>
      <w:b/>
      <w:bCs/>
      <w:sz w:val="32"/>
      <w:szCs w:val="32"/>
    </w:rPr>
  </w:style>
  <w:style w:type="paragraph" w:styleId="5">
    <w:name w:val="heading 5"/>
    <w:basedOn w:val="a"/>
    <w:next w:val="a"/>
    <w:qFormat/>
    <w:rsid w:val="0038167C"/>
    <w:pPr>
      <w:keepNext/>
      <w:keepLines/>
      <w:widowControl w:val="0"/>
      <w:numPr>
        <w:ilvl w:val="4"/>
        <w:numId w:val="1"/>
      </w:numPr>
      <w:spacing w:before="280" w:after="290" w:line="376" w:lineRule="auto"/>
      <w:jc w:val="both"/>
      <w:outlineLvl w:val="4"/>
    </w:pPr>
    <w:rPr>
      <w:b/>
      <w:bCs/>
      <w:kern w:val="2"/>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Document Map"/>
    <w:basedOn w:val="a"/>
    <w:semiHidden/>
    <w:rsid w:val="005A07F8"/>
    <w:pPr>
      <w:shd w:val="clear" w:color="auto" w:fill="000080"/>
    </w:pPr>
  </w:style>
  <w:style w:type="paragraph" w:styleId="a4">
    <w:name w:val="Body Text"/>
    <w:aliases w:val="封面文字"/>
    <w:basedOn w:val="a"/>
    <w:semiHidden/>
    <w:rsid w:val="00D65012"/>
    <w:pPr>
      <w:spacing w:after="220" w:line="180" w:lineRule="atLeast"/>
      <w:ind w:firstLine="476"/>
      <w:jc w:val="center"/>
    </w:pPr>
    <w:rPr>
      <w:spacing w:val="-5"/>
      <w:sz w:val="30"/>
    </w:rPr>
  </w:style>
  <w:style w:type="character" w:customStyle="1" w:styleId="c">
    <w:name w:val="c封面文字"/>
    <w:rsid w:val="00D65012"/>
    <w:rPr>
      <w:rFonts w:ascii="Times New Roman" w:eastAsia="宋体" w:hAnsi="Times New Roman"/>
      <w:spacing w:val="0"/>
      <w:sz w:val="30"/>
    </w:rPr>
  </w:style>
  <w:style w:type="character" w:customStyle="1" w:styleId="c0">
    <w:name w:val="c封面日期"/>
    <w:rsid w:val="00D65012"/>
    <w:rPr>
      <w:rFonts w:ascii="Times New Roman" w:eastAsia="宋体" w:hAnsi="Times New Roman"/>
      <w:spacing w:val="0"/>
      <w:sz w:val="28"/>
    </w:rPr>
  </w:style>
  <w:style w:type="character" w:styleId="a5">
    <w:name w:val="Hyperlink"/>
    <w:semiHidden/>
    <w:rsid w:val="003F51F1"/>
    <w:rPr>
      <w:color w:val="0000FF"/>
      <w:u w:val="single"/>
    </w:rPr>
  </w:style>
  <w:style w:type="paragraph" w:customStyle="1" w:styleId="b4">
    <w:name w:val="b标题 不入目录"/>
    <w:basedOn w:val="a"/>
    <w:next w:val="b5"/>
    <w:rsid w:val="00103960"/>
    <w:pPr>
      <w:pageBreakBefore/>
      <w:widowControl w:val="0"/>
      <w:jc w:val="center"/>
    </w:pPr>
    <w:rPr>
      <w:rFonts w:eastAsia="黑体"/>
      <w:b/>
      <w:kern w:val="2"/>
      <w:sz w:val="30"/>
      <w:szCs w:val="30"/>
    </w:rPr>
  </w:style>
  <w:style w:type="paragraph" w:customStyle="1" w:styleId="b1">
    <w:name w:val="b正文1级标题"/>
    <w:basedOn w:val="1"/>
    <w:next w:val="b5"/>
    <w:rsid w:val="0038167C"/>
    <w:pPr>
      <w:pageBreakBefore/>
      <w:widowControl w:val="0"/>
      <w:numPr>
        <w:numId w:val="1"/>
      </w:numPr>
      <w:spacing w:after="340" w:line="312" w:lineRule="auto"/>
      <w:jc w:val="both"/>
    </w:pPr>
    <w:rPr>
      <w:rFonts w:eastAsia="黑体"/>
      <w:sz w:val="30"/>
    </w:rPr>
  </w:style>
  <w:style w:type="paragraph" w:customStyle="1" w:styleId="b2">
    <w:name w:val="b正文2级标题"/>
    <w:basedOn w:val="2"/>
    <w:next w:val="b5"/>
    <w:rsid w:val="0038167C"/>
    <w:pPr>
      <w:widowControl w:val="0"/>
      <w:numPr>
        <w:ilvl w:val="1"/>
        <w:numId w:val="1"/>
      </w:numPr>
      <w:spacing w:line="312" w:lineRule="auto"/>
      <w:jc w:val="both"/>
    </w:pPr>
    <w:rPr>
      <w:rFonts w:ascii="Times New Roman" w:hAnsi="Times New Roman"/>
      <w:kern w:val="2"/>
      <w:sz w:val="28"/>
    </w:rPr>
  </w:style>
  <w:style w:type="paragraph" w:customStyle="1" w:styleId="b3">
    <w:name w:val="b正文3级标题"/>
    <w:basedOn w:val="3"/>
    <w:next w:val="b5"/>
    <w:rsid w:val="0038167C"/>
    <w:pPr>
      <w:widowControl w:val="0"/>
      <w:numPr>
        <w:ilvl w:val="2"/>
        <w:numId w:val="1"/>
      </w:numPr>
      <w:spacing w:line="312" w:lineRule="auto"/>
      <w:ind w:left="2398" w:hanging="2398"/>
      <w:jc w:val="both"/>
    </w:pPr>
    <w:rPr>
      <w:rFonts w:eastAsia="黑体"/>
      <w:kern w:val="2"/>
      <w:sz w:val="28"/>
    </w:rPr>
  </w:style>
  <w:style w:type="paragraph" w:styleId="20">
    <w:name w:val="目录 2"/>
    <w:basedOn w:val="a"/>
    <w:next w:val="a"/>
    <w:autoRedefine/>
    <w:semiHidden/>
    <w:rsid w:val="009E5E6C"/>
    <w:pPr>
      <w:widowControl w:val="0"/>
      <w:tabs>
        <w:tab w:val="right" w:leader="dot" w:pos="8296"/>
      </w:tabs>
      <w:spacing w:line="312" w:lineRule="auto"/>
      <w:ind w:leftChars="200" w:left="420"/>
      <w:jc w:val="both"/>
    </w:pPr>
    <w:rPr>
      <w:noProof/>
      <w:kern w:val="2"/>
      <w:sz w:val="24"/>
      <w:szCs w:val="24"/>
    </w:rPr>
  </w:style>
  <w:style w:type="paragraph" w:styleId="30">
    <w:name w:val="目录 3"/>
    <w:basedOn w:val="a"/>
    <w:next w:val="a"/>
    <w:autoRedefine/>
    <w:semiHidden/>
    <w:rsid w:val="009E5E6C"/>
    <w:pPr>
      <w:widowControl w:val="0"/>
      <w:tabs>
        <w:tab w:val="right" w:leader="dot" w:pos="8296"/>
      </w:tabs>
      <w:spacing w:line="312" w:lineRule="auto"/>
      <w:ind w:leftChars="400" w:left="400"/>
      <w:jc w:val="both"/>
    </w:pPr>
    <w:rPr>
      <w:noProof/>
      <w:kern w:val="2"/>
      <w:sz w:val="24"/>
      <w:szCs w:val="24"/>
    </w:rPr>
  </w:style>
  <w:style w:type="paragraph" w:styleId="10">
    <w:name w:val="目录 1"/>
    <w:basedOn w:val="a"/>
    <w:next w:val="a"/>
    <w:autoRedefine/>
    <w:semiHidden/>
    <w:rsid w:val="009E5E6C"/>
    <w:pPr>
      <w:widowControl w:val="0"/>
      <w:tabs>
        <w:tab w:val="right" w:leader="dot" w:pos="8296"/>
      </w:tabs>
      <w:spacing w:line="312" w:lineRule="auto"/>
      <w:jc w:val="both"/>
    </w:pPr>
    <w:rPr>
      <w:noProof/>
      <w:kern w:val="2"/>
      <w:sz w:val="24"/>
      <w:szCs w:val="24"/>
    </w:rPr>
  </w:style>
  <w:style w:type="paragraph" w:customStyle="1" w:styleId="b5">
    <w:name w:val="b正文"/>
    <w:basedOn w:val="a"/>
    <w:link w:val="bCharChar"/>
    <w:rsid w:val="00EF4BDA"/>
    <w:pPr>
      <w:widowControl w:val="0"/>
      <w:spacing w:beforeLines="10" w:before="10" w:afterLines="10" w:after="10" w:line="312" w:lineRule="auto"/>
      <w:ind w:firstLineChars="200" w:firstLine="200"/>
      <w:jc w:val="both"/>
    </w:pPr>
    <w:rPr>
      <w:rFonts w:cs="宋体"/>
      <w:kern w:val="2"/>
      <w:sz w:val="24"/>
    </w:rPr>
  </w:style>
  <w:style w:type="character" w:customStyle="1" w:styleId="bCharChar">
    <w:name w:val="b正文 Char Char"/>
    <w:link w:val="b5"/>
    <w:rsid w:val="00EF4BDA"/>
    <w:rPr>
      <w:rFonts w:eastAsia="宋体" w:cs="宋体"/>
      <w:kern w:val="2"/>
      <w:sz w:val="24"/>
      <w:lang w:val="en-US" w:eastAsia="zh-CN" w:bidi="ar-SA"/>
    </w:rPr>
  </w:style>
  <w:style w:type="paragraph" w:styleId="a6">
    <w:name w:val="header"/>
    <w:basedOn w:val="a"/>
    <w:semiHidden/>
    <w:rsid w:val="009110AE"/>
    <w:pPr>
      <w:pBdr>
        <w:bottom w:val="single" w:sz="6" w:space="1" w:color="auto"/>
      </w:pBdr>
      <w:tabs>
        <w:tab w:val="center" w:pos="4153"/>
        <w:tab w:val="right" w:pos="8306"/>
      </w:tabs>
      <w:snapToGrid w:val="0"/>
      <w:jc w:val="center"/>
    </w:pPr>
    <w:rPr>
      <w:sz w:val="18"/>
      <w:szCs w:val="18"/>
    </w:rPr>
  </w:style>
  <w:style w:type="paragraph" w:styleId="a7">
    <w:name w:val="footer"/>
    <w:aliases w:val="b页脚"/>
    <w:basedOn w:val="a"/>
    <w:rsid w:val="00761F14"/>
    <w:pPr>
      <w:tabs>
        <w:tab w:val="center" w:pos="4153"/>
        <w:tab w:val="right" w:pos="8306"/>
      </w:tabs>
      <w:snapToGrid w:val="0"/>
      <w:jc w:val="center"/>
    </w:pPr>
    <w:rPr>
      <w:sz w:val="18"/>
      <w:szCs w:val="18"/>
    </w:rPr>
  </w:style>
  <w:style w:type="paragraph" w:customStyle="1" w:styleId="b6">
    <w:name w:val="b页眉"/>
    <w:basedOn w:val="a"/>
    <w:rsid w:val="00A70C7D"/>
    <w:pPr>
      <w:widowControl w:val="0"/>
      <w:pBdr>
        <w:bottom w:val="single" w:sz="4" w:space="1" w:color="auto"/>
      </w:pBdr>
      <w:jc w:val="center"/>
    </w:pPr>
    <w:rPr>
      <w:kern w:val="2"/>
      <w:sz w:val="21"/>
      <w:szCs w:val="24"/>
    </w:rPr>
  </w:style>
  <w:style w:type="paragraph" w:customStyle="1" w:styleId="b7">
    <w:name w:val="b标题 不编号"/>
    <w:basedOn w:val="1"/>
    <w:next w:val="b5"/>
    <w:rsid w:val="00112243"/>
    <w:pPr>
      <w:pageBreakBefore/>
      <w:widowControl w:val="0"/>
      <w:spacing w:after="340"/>
      <w:jc w:val="center"/>
    </w:pPr>
    <w:rPr>
      <w:rFonts w:eastAsia="黑体"/>
      <w:sz w:val="30"/>
    </w:rPr>
  </w:style>
  <w:style w:type="paragraph" w:customStyle="1" w:styleId="u">
    <w:name w:val="样式 u标题 不入目录 + 两端对齐"/>
    <w:basedOn w:val="b4"/>
    <w:next w:val="b5"/>
    <w:semiHidden/>
    <w:rsid w:val="00103960"/>
    <w:pPr>
      <w:jc w:val="both"/>
    </w:pPr>
    <w:rPr>
      <w:rFonts w:cs="宋体"/>
      <w:bCs/>
      <w:szCs w:val="20"/>
    </w:rPr>
  </w:style>
  <w:style w:type="character" w:styleId="a8">
    <w:name w:val="FollowedHyperlink"/>
    <w:semiHidden/>
    <w:rsid w:val="00BC4948"/>
    <w:rPr>
      <w:color w:val="800080"/>
      <w:u w:val="single"/>
    </w:rPr>
  </w:style>
  <w:style w:type="table" w:styleId="a9">
    <w:name w:val="Table Grid"/>
    <w:basedOn w:val="a1"/>
    <w:semiHidden/>
    <w:rsid w:val="00B12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0">
    <w:name w:val="b参考文献条目顺序编码制"/>
    <w:basedOn w:val="a"/>
    <w:rsid w:val="00B21A3D"/>
    <w:pPr>
      <w:widowControl w:val="0"/>
      <w:numPr>
        <w:numId w:val="2"/>
      </w:numPr>
      <w:tabs>
        <w:tab w:val="clear" w:pos="420"/>
        <w:tab w:val="left" w:pos="600"/>
      </w:tabs>
      <w:spacing w:beforeLines="10" w:before="24" w:afterLines="10" w:after="24" w:line="312" w:lineRule="auto"/>
      <w:ind w:left="600" w:hanging="600"/>
      <w:jc w:val="both"/>
    </w:pPr>
    <w:rPr>
      <w:kern w:val="2"/>
      <w:sz w:val="24"/>
      <w:szCs w:val="24"/>
    </w:rPr>
  </w:style>
  <w:style w:type="paragraph" w:customStyle="1" w:styleId="u0">
    <w:name w:val="u参考文献条目著者出版年制"/>
    <w:basedOn w:val="a"/>
    <w:semiHidden/>
    <w:rsid w:val="00EF51CE"/>
    <w:pPr>
      <w:widowControl w:val="0"/>
      <w:spacing w:line="312" w:lineRule="auto"/>
      <w:ind w:left="200" w:hangingChars="200" w:hanging="200"/>
      <w:jc w:val="both"/>
    </w:pPr>
    <w:rPr>
      <w:kern w:val="2"/>
      <w:sz w:val="24"/>
      <w:szCs w:val="24"/>
    </w:rPr>
  </w:style>
  <w:style w:type="paragraph" w:customStyle="1" w:styleId="0101">
    <w:name w:val="样式 正文 + 黑体 加粗 蓝色 段前: 0.1 行 段后: 0.1 行"/>
    <w:basedOn w:val="a"/>
    <w:semiHidden/>
    <w:rsid w:val="006667B8"/>
    <w:pPr>
      <w:shd w:val="clear" w:color="auto" w:fill="FFFF99"/>
      <w:spacing w:before="24" w:after="24" w:line="360" w:lineRule="auto"/>
    </w:pPr>
    <w:rPr>
      <w:rFonts w:ascii="黑体" w:eastAsia="黑体" w:hAnsi="黑体"/>
      <w:b/>
      <w:bCs/>
      <w:color w:val="0000FF"/>
    </w:rPr>
  </w:style>
  <w:style w:type="paragraph" w:customStyle="1" w:styleId="20101">
    <w:name w:val="样式 正文 + 首行缩进:  2 字符 段前: 0.1 行 段后: 0.1 行 图案: 清除 (浅青绿)"/>
    <w:basedOn w:val="a"/>
    <w:semiHidden/>
    <w:rsid w:val="00121675"/>
    <w:pPr>
      <w:shd w:val="clear" w:color="auto" w:fill="CCFFFF"/>
      <w:spacing w:before="24" w:after="24" w:line="360" w:lineRule="auto"/>
      <w:ind w:firstLine="482"/>
    </w:pPr>
    <w:rPr>
      <w:b/>
      <w:shd w:val="clear" w:color="auto" w:fill="CCFFFF"/>
    </w:rPr>
  </w:style>
  <w:style w:type="paragraph" w:customStyle="1" w:styleId="z20101">
    <w:name w:val="样式 z正文 + 首行缩进:  2 字符 段前: 0.1 行 段后: 0.1 行"/>
    <w:basedOn w:val="b5"/>
    <w:semiHidden/>
    <w:rsid w:val="001751D2"/>
    <w:pPr>
      <w:spacing w:before="24" w:after="24"/>
      <w:ind w:firstLine="482"/>
    </w:pPr>
  </w:style>
  <w:style w:type="paragraph" w:customStyle="1" w:styleId="z">
    <w:name w:val="样式 z正文 + 宋体 五号 黑色"/>
    <w:basedOn w:val="b5"/>
    <w:semiHidden/>
    <w:rsid w:val="001751D2"/>
    <w:rPr>
      <w:rFonts w:ascii="宋体" w:hAnsi="宋体"/>
      <w:color w:val="000000"/>
      <w:sz w:val="21"/>
    </w:rPr>
  </w:style>
  <w:style w:type="paragraph" w:customStyle="1" w:styleId="z201010">
    <w:name w:val="样式 z正文 + 黑体 加粗 首行缩进:  2 字符 段前: 0.1 行 段后: 0.1 行"/>
    <w:basedOn w:val="b5"/>
    <w:semiHidden/>
    <w:rsid w:val="001751D2"/>
    <w:pPr>
      <w:spacing w:before="24" w:after="24"/>
      <w:ind w:firstLine="482"/>
    </w:pPr>
    <w:rPr>
      <w:rFonts w:ascii="黑体" w:eastAsia="黑体" w:hAnsi="黑体"/>
      <w:b/>
      <w:bCs/>
    </w:rPr>
  </w:style>
  <w:style w:type="paragraph" w:customStyle="1" w:styleId="z010105">
    <w:name w:val="样式 z正文 + 段前: 0.1 行 段后: 0.1 行 方框: (单实线 红色  0.5 磅 行宽)"/>
    <w:basedOn w:val="b5"/>
    <w:semiHidden/>
    <w:rsid w:val="001751D2"/>
    <w:pPr>
      <w:pBdr>
        <w:top w:val="single" w:sz="4" w:space="1" w:color="FF0000"/>
        <w:left w:val="single" w:sz="4" w:space="4" w:color="FF0000"/>
        <w:bottom w:val="single" w:sz="4" w:space="1" w:color="FF0000"/>
        <w:right w:val="single" w:sz="4" w:space="4" w:color="FF0000"/>
      </w:pBdr>
      <w:spacing w:before="24" w:after="24"/>
      <w:ind w:firstLineChars="400" w:firstLine="960"/>
    </w:pPr>
  </w:style>
  <w:style w:type="paragraph" w:customStyle="1" w:styleId="z0">
    <w:name w:val="样式 z正文 + 黑体"/>
    <w:basedOn w:val="b5"/>
    <w:link w:val="zChar"/>
    <w:semiHidden/>
    <w:rsid w:val="001751D2"/>
    <w:rPr>
      <w:rFonts w:ascii="黑体" w:eastAsia="黑体" w:hAnsi="黑体"/>
    </w:rPr>
  </w:style>
  <w:style w:type="character" w:customStyle="1" w:styleId="zChar">
    <w:name w:val="样式 z正文 + 黑体 Char"/>
    <w:link w:val="z0"/>
    <w:rsid w:val="001751D2"/>
    <w:rPr>
      <w:rFonts w:ascii="黑体" w:eastAsia="黑体" w:hAnsi="黑体" w:cs="宋体"/>
      <w:kern w:val="2"/>
      <w:sz w:val="24"/>
      <w:lang w:val="en-US" w:eastAsia="zh-CN" w:bidi="ar-SA"/>
    </w:rPr>
  </w:style>
  <w:style w:type="paragraph" w:customStyle="1" w:styleId="z1">
    <w:name w:val="样式 z正文 + 红色 图案: 清除 (粉红)"/>
    <w:basedOn w:val="b5"/>
    <w:link w:val="zChar0"/>
    <w:semiHidden/>
    <w:rsid w:val="001751D2"/>
    <w:rPr>
      <w:color w:val="FF0000"/>
      <w:shd w:val="clear" w:color="auto" w:fill="FF00FF"/>
    </w:rPr>
  </w:style>
  <w:style w:type="character" w:customStyle="1" w:styleId="zChar0">
    <w:name w:val="样式 z正文 + 红色 图案: 清除 (粉红) Char"/>
    <w:link w:val="z1"/>
    <w:rsid w:val="001751D2"/>
    <w:rPr>
      <w:rFonts w:eastAsia="宋体" w:cs="宋体"/>
      <w:color w:val="FF0000"/>
      <w:kern w:val="2"/>
      <w:sz w:val="24"/>
      <w:shd w:val="clear" w:color="auto" w:fill="FF00FF"/>
      <w:lang w:val="en-US" w:eastAsia="zh-CN" w:bidi="ar-SA"/>
    </w:rPr>
  </w:style>
  <w:style w:type="paragraph" w:customStyle="1" w:styleId="z2">
    <w:name w:val="样式 z正文 + 黑体 加粗"/>
    <w:basedOn w:val="b5"/>
    <w:link w:val="zChar1"/>
    <w:semiHidden/>
    <w:rsid w:val="001751D2"/>
    <w:rPr>
      <w:rFonts w:ascii="黑体" w:eastAsia="黑体" w:hAnsi="黑体"/>
      <w:b/>
      <w:bCs/>
    </w:rPr>
  </w:style>
  <w:style w:type="character" w:customStyle="1" w:styleId="zChar1">
    <w:name w:val="样式 z正文 + 黑体 加粗 Char"/>
    <w:link w:val="z2"/>
    <w:rsid w:val="001751D2"/>
    <w:rPr>
      <w:rFonts w:ascii="黑体" w:eastAsia="黑体" w:hAnsi="黑体" w:cs="宋体"/>
      <w:b/>
      <w:bCs/>
      <w:kern w:val="2"/>
      <w:sz w:val="24"/>
      <w:lang w:val="en-US" w:eastAsia="zh-CN" w:bidi="ar-SA"/>
    </w:rPr>
  </w:style>
  <w:style w:type="paragraph" w:customStyle="1" w:styleId="z11">
    <w:name w:val="样式 z正文 + 宋体 11 磅 黑色"/>
    <w:basedOn w:val="b5"/>
    <w:semiHidden/>
    <w:rsid w:val="001751D2"/>
    <w:rPr>
      <w:rFonts w:ascii="宋体" w:hAnsi="宋体"/>
      <w:color w:val="000000"/>
      <w:sz w:val="22"/>
    </w:rPr>
  </w:style>
  <w:style w:type="paragraph" w:customStyle="1" w:styleId="z201011">
    <w:name w:val="样式 z正文 + 加粗 红色 首行缩进:  2 字符 段前: 0.1 行 段后: 0.1 行"/>
    <w:basedOn w:val="b5"/>
    <w:semiHidden/>
    <w:rsid w:val="009A27B7"/>
    <w:pPr>
      <w:shd w:val="clear" w:color="auto" w:fill="C0C0C0"/>
      <w:spacing w:before="24" w:after="24"/>
      <w:ind w:firstLine="482"/>
    </w:pPr>
    <w:rPr>
      <w:b/>
      <w:bCs/>
      <w:color w:val="FF0000"/>
    </w:rPr>
  </w:style>
  <w:style w:type="paragraph" w:customStyle="1" w:styleId="z3">
    <w:name w:val="样式 z正文 + 黑体 加粗 红色"/>
    <w:basedOn w:val="b5"/>
    <w:link w:val="zChar2"/>
    <w:semiHidden/>
    <w:rsid w:val="009A27B7"/>
    <w:rPr>
      <w:rFonts w:ascii="黑体" w:eastAsia="黑体" w:hAnsi="黑体"/>
      <w:b/>
      <w:bCs/>
      <w:color w:val="FF0000"/>
    </w:rPr>
  </w:style>
  <w:style w:type="character" w:customStyle="1" w:styleId="zChar2">
    <w:name w:val="样式 z正文 + 黑体 加粗 红色 Char"/>
    <w:link w:val="z3"/>
    <w:rsid w:val="009A27B7"/>
    <w:rPr>
      <w:rFonts w:ascii="黑体" w:eastAsia="黑体" w:hAnsi="黑体" w:cs="宋体"/>
      <w:b/>
      <w:bCs/>
      <w:color w:val="FF0000"/>
      <w:kern w:val="2"/>
      <w:sz w:val="24"/>
      <w:lang w:val="en-US" w:eastAsia="zh-CN" w:bidi="ar-SA"/>
    </w:rPr>
  </w:style>
  <w:style w:type="paragraph" w:customStyle="1" w:styleId="z4">
    <w:name w:val="样式 z正文 + 红色"/>
    <w:basedOn w:val="b5"/>
    <w:link w:val="zChar3"/>
    <w:semiHidden/>
    <w:rsid w:val="009A27B7"/>
    <w:rPr>
      <w:color w:val="FF0000"/>
    </w:rPr>
  </w:style>
  <w:style w:type="character" w:customStyle="1" w:styleId="zChar3">
    <w:name w:val="样式 z正文 + 红色 Char"/>
    <w:link w:val="z4"/>
    <w:rsid w:val="009A27B7"/>
    <w:rPr>
      <w:rFonts w:eastAsia="宋体" w:cs="宋体"/>
      <w:color w:val="FF0000"/>
      <w:kern w:val="2"/>
      <w:sz w:val="24"/>
      <w:lang w:val="en-US" w:eastAsia="zh-CN" w:bidi="ar-SA"/>
    </w:rPr>
  </w:style>
  <w:style w:type="paragraph" w:customStyle="1" w:styleId="z5">
    <w:name w:val="样式 z正文 + 宋体"/>
    <w:basedOn w:val="b5"/>
    <w:link w:val="zChar4"/>
    <w:semiHidden/>
    <w:rsid w:val="009A27B7"/>
    <w:rPr>
      <w:rFonts w:ascii="宋体" w:hAnsi="宋体"/>
    </w:rPr>
  </w:style>
  <w:style w:type="character" w:customStyle="1" w:styleId="zChar4">
    <w:name w:val="样式 z正文 + 宋体 Char"/>
    <w:link w:val="z5"/>
    <w:rsid w:val="009A27B7"/>
    <w:rPr>
      <w:rFonts w:ascii="宋体" w:eastAsia="宋体" w:hAnsi="宋体" w:cs="宋体"/>
      <w:kern w:val="2"/>
      <w:sz w:val="24"/>
      <w:lang w:val="en-US" w:eastAsia="zh-CN" w:bidi="ar-SA"/>
    </w:rPr>
  </w:style>
  <w:style w:type="paragraph" w:customStyle="1" w:styleId="z2010100">
    <w:name w:val="样式 z正文 + 黑体 首行缩进:  2 字符 段前: 0.1 行 段后: 0.1 行 方框: (单实线 红色  0..."/>
    <w:basedOn w:val="b5"/>
    <w:semiHidden/>
    <w:rsid w:val="009A27B7"/>
    <w:pPr>
      <w:pBdr>
        <w:top w:val="single" w:sz="4" w:space="1" w:color="FF0000"/>
        <w:left w:val="single" w:sz="4" w:space="4" w:color="FF0000"/>
        <w:bottom w:val="single" w:sz="4" w:space="1" w:color="FF0000"/>
        <w:right w:val="single" w:sz="4" w:space="4" w:color="FF0000"/>
      </w:pBdr>
      <w:spacing w:before="24" w:after="24"/>
      <w:ind w:firstLine="480"/>
    </w:pPr>
    <w:rPr>
      <w:rFonts w:ascii="黑体" w:eastAsia="黑体"/>
    </w:rPr>
  </w:style>
  <w:style w:type="paragraph" w:customStyle="1" w:styleId="z201012">
    <w:name w:val="样式 z正文 + 黑体 首行缩进:  2 字符 段前: 0.1 行 段后: 0.1 行"/>
    <w:basedOn w:val="b5"/>
    <w:semiHidden/>
    <w:rsid w:val="009A27B7"/>
    <w:pPr>
      <w:spacing w:before="24" w:after="24"/>
      <w:ind w:firstLine="480"/>
    </w:pPr>
    <w:rPr>
      <w:rFonts w:ascii="黑体" w:eastAsia="黑体"/>
    </w:rPr>
  </w:style>
  <w:style w:type="paragraph" w:customStyle="1" w:styleId="z2010101">
    <w:name w:val="样式 z正文 + 宋体 首行缩进:  2 字符 段前: 0.1 行 段后: 0.1 行 方框: (单实线 红色  0..."/>
    <w:basedOn w:val="b5"/>
    <w:semiHidden/>
    <w:rsid w:val="009A27B7"/>
    <w:pPr>
      <w:pBdr>
        <w:top w:val="single" w:sz="4" w:space="1" w:color="FF0000"/>
        <w:left w:val="single" w:sz="4" w:space="4" w:color="FF0000"/>
        <w:bottom w:val="single" w:sz="4" w:space="1" w:color="FF0000"/>
        <w:right w:val="single" w:sz="4" w:space="4" w:color="FF0000"/>
      </w:pBdr>
      <w:spacing w:before="24" w:after="24"/>
      <w:ind w:firstLine="480"/>
    </w:pPr>
    <w:rPr>
      <w:rFonts w:ascii="宋体"/>
    </w:rPr>
  </w:style>
  <w:style w:type="paragraph" w:customStyle="1" w:styleId="z2010105">
    <w:name w:val="样式 z正文 + 首行缩进:  2 字符 段前: 0.1 行 段后: 0.1 行 方框: (单实线 红色  0.5 磅..."/>
    <w:basedOn w:val="b5"/>
    <w:semiHidden/>
    <w:rsid w:val="009A27B7"/>
    <w:pPr>
      <w:pBdr>
        <w:top w:val="single" w:sz="4" w:space="1" w:color="FF0000"/>
        <w:left w:val="single" w:sz="4" w:space="4" w:color="FF0000"/>
        <w:bottom w:val="single" w:sz="4" w:space="1" w:color="FF0000"/>
        <w:right w:val="single" w:sz="4" w:space="4" w:color="FF0000"/>
      </w:pBdr>
      <w:spacing w:before="24" w:after="24"/>
      <w:ind w:firstLine="480"/>
    </w:pPr>
  </w:style>
  <w:style w:type="paragraph" w:customStyle="1" w:styleId="z6">
    <w:name w:val="样式 z正文 + 加粗 红色 图案: 清除 (浅青绿)"/>
    <w:basedOn w:val="b5"/>
    <w:link w:val="zChar5"/>
    <w:semiHidden/>
    <w:rsid w:val="009A27B7"/>
    <w:rPr>
      <w:b/>
      <w:bCs/>
      <w:color w:val="FF0000"/>
      <w:shd w:val="clear" w:color="auto" w:fill="CCFFFF"/>
    </w:rPr>
  </w:style>
  <w:style w:type="character" w:customStyle="1" w:styleId="zChar5">
    <w:name w:val="样式 z正文 + 加粗 红色 图案: 清除 (浅青绿) Char"/>
    <w:link w:val="z6"/>
    <w:rsid w:val="009A27B7"/>
    <w:rPr>
      <w:rFonts w:eastAsia="宋体" w:cs="宋体"/>
      <w:b/>
      <w:bCs/>
      <w:color w:val="FF0000"/>
      <w:kern w:val="2"/>
      <w:sz w:val="24"/>
      <w:shd w:val="clear" w:color="auto" w:fill="CCFFFF"/>
      <w:lang w:val="en-US" w:eastAsia="zh-CN" w:bidi="ar-SA"/>
    </w:rPr>
  </w:style>
  <w:style w:type="paragraph" w:customStyle="1" w:styleId="z0101">
    <w:name w:val="样式 z正文 + 黑体 加粗 红色 居中 段前: 0.1 行 段后: 0.1 行"/>
    <w:basedOn w:val="b5"/>
    <w:semiHidden/>
    <w:rsid w:val="009A27B7"/>
    <w:pPr>
      <w:spacing w:before="24" w:after="24"/>
      <w:ind w:firstLineChars="0" w:firstLine="0"/>
      <w:jc w:val="center"/>
    </w:pPr>
    <w:rPr>
      <w:rFonts w:ascii="黑体" w:eastAsia="黑体" w:hAnsi="黑体"/>
      <w:b/>
      <w:bCs/>
      <w:color w:val="FF0000"/>
    </w:rPr>
  </w:style>
  <w:style w:type="paragraph" w:customStyle="1" w:styleId="z7">
    <w:name w:val="样式 z正文 + 图案: 清除 (浅青绿)"/>
    <w:basedOn w:val="b5"/>
    <w:link w:val="zChar6"/>
    <w:semiHidden/>
    <w:rsid w:val="009A27B7"/>
    <w:rPr>
      <w:shd w:val="clear" w:color="auto" w:fill="CCFFFF"/>
    </w:rPr>
  </w:style>
  <w:style w:type="character" w:customStyle="1" w:styleId="zChar6">
    <w:name w:val="样式 z正文 + 图案: 清除 (浅青绿) Char"/>
    <w:link w:val="z7"/>
    <w:rsid w:val="009A27B7"/>
    <w:rPr>
      <w:rFonts w:eastAsia="宋体" w:cs="宋体"/>
      <w:kern w:val="2"/>
      <w:sz w:val="24"/>
      <w:shd w:val="clear" w:color="auto" w:fill="CCFFFF"/>
      <w:lang w:val="en-US" w:eastAsia="zh-CN" w:bidi="ar-SA"/>
    </w:rPr>
  </w:style>
  <w:style w:type="paragraph" w:customStyle="1" w:styleId="z110101">
    <w:name w:val="样式 z正文 + 宋体 11 磅 黑色 段前: 0.1 行 段后: 0.1 行"/>
    <w:basedOn w:val="b5"/>
    <w:semiHidden/>
    <w:rsid w:val="009A27B7"/>
    <w:pPr>
      <w:spacing w:before="24" w:after="24"/>
      <w:ind w:firstLineChars="0" w:firstLine="0"/>
    </w:pPr>
    <w:rPr>
      <w:rFonts w:ascii="宋体"/>
      <w:color w:val="000000"/>
      <w:sz w:val="22"/>
    </w:rPr>
  </w:style>
  <w:style w:type="paragraph" w:customStyle="1" w:styleId="b8">
    <w:name w:val="b图标题"/>
    <w:basedOn w:val="a"/>
    <w:next w:val="b5"/>
    <w:rsid w:val="006A76F2"/>
    <w:pPr>
      <w:widowControl w:val="0"/>
      <w:spacing w:beforeLines="50" w:before="50" w:afterLines="150" w:after="150" w:line="360" w:lineRule="auto"/>
      <w:jc w:val="center"/>
    </w:pPr>
    <w:rPr>
      <w:rFonts w:eastAsia="黑体"/>
      <w:b/>
      <w:kern w:val="2"/>
      <w:sz w:val="21"/>
      <w:szCs w:val="24"/>
    </w:rPr>
  </w:style>
  <w:style w:type="paragraph" w:customStyle="1" w:styleId="u1">
    <w:name w:val="u图标题"/>
    <w:basedOn w:val="a"/>
    <w:next w:val="a"/>
    <w:semiHidden/>
    <w:rsid w:val="006A76F2"/>
    <w:pPr>
      <w:widowControl w:val="0"/>
      <w:spacing w:beforeLines="50" w:before="50" w:afterLines="150" w:after="150" w:line="360" w:lineRule="auto"/>
      <w:jc w:val="center"/>
    </w:pPr>
    <w:rPr>
      <w:rFonts w:eastAsia="黑体"/>
      <w:b/>
      <w:kern w:val="2"/>
      <w:sz w:val="21"/>
      <w:szCs w:val="24"/>
    </w:rPr>
  </w:style>
  <w:style w:type="paragraph" w:customStyle="1" w:styleId="b9">
    <w:name w:val="b表标题"/>
    <w:basedOn w:val="a"/>
    <w:next w:val="b5"/>
    <w:rsid w:val="0080697B"/>
    <w:pPr>
      <w:widowControl w:val="0"/>
      <w:spacing w:beforeLines="150" w:before="150" w:afterLines="50" w:after="50" w:line="360" w:lineRule="auto"/>
      <w:jc w:val="center"/>
    </w:pPr>
    <w:rPr>
      <w:rFonts w:eastAsia="黑体"/>
      <w:b/>
      <w:kern w:val="2"/>
      <w:sz w:val="21"/>
      <w:szCs w:val="24"/>
    </w:rPr>
  </w:style>
  <w:style w:type="paragraph" w:customStyle="1" w:styleId="ba">
    <w:name w:val="b脚注"/>
    <w:basedOn w:val="a"/>
    <w:rsid w:val="00761F14"/>
    <w:pPr>
      <w:widowControl w:val="0"/>
      <w:spacing w:before="100" w:beforeAutospacing="1" w:after="100" w:afterAutospacing="1"/>
      <w:jc w:val="both"/>
    </w:pPr>
    <w:rPr>
      <w:kern w:val="2"/>
      <w:sz w:val="21"/>
      <w:szCs w:val="24"/>
    </w:rPr>
  </w:style>
  <w:style w:type="paragraph" w:styleId="aa">
    <w:name w:val="footnote text"/>
    <w:basedOn w:val="a"/>
    <w:semiHidden/>
    <w:rsid w:val="009C358F"/>
    <w:pPr>
      <w:snapToGrid w:val="0"/>
    </w:pPr>
    <w:rPr>
      <w:sz w:val="18"/>
      <w:szCs w:val="18"/>
    </w:rPr>
  </w:style>
  <w:style w:type="character" w:styleId="ab">
    <w:name w:val="footnote reference"/>
    <w:semiHidden/>
    <w:rsid w:val="009C358F"/>
    <w:rPr>
      <w:vertAlign w:val="superscript"/>
    </w:rPr>
  </w:style>
  <w:style w:type="character" w:customStyle="1" w:styleId="z8">
    <w:name w:val="z题名页其他"/>
    <w:rsid w:val="0084533A"/>
    <w:rPr>
      <w:rFonts w:ascii="Times New Roman" w:eastAsia="宋体" w:hAnsi="Times New Roman"/>
      <w:sz w:val="21"/>
    </w:rPr>
  </w:style>
  <w:style w:type="paragraph" w:customStyle="1" w:styleId="b">
    <w:name w:val="b附录标题"/>
    <w:basedOn w:val="a"/>
    <w:next w:val="b5"/>
    <w:rsid w:val="0063460F"/>
    <w:pPr>
      <w:keepNext/>
      <w:keepLines/>
      <w:pageBreakBefore/>
      <w:widowControl w:val="0"/>
      <w:numPr>
        <w:numId w:val="4"/>
      </w:numPr>
      <w:tabs>
        <w:tab w:val="clear" w:pos="907"/>
        <w:tab w:val="left" w:pos="1000"/>
      </w:tabs>
      <w:spacing w:before="340" w:after="330" w:line="578" w:lineRule="auto"/>
      <w:outlineLvl w:val="0"/>
    </w:pPr>
    <w:rPr>
      <w:rFonts w:eastAsia="黑体"/>
      <w:b/>
      <w:bCs/>
      <w:kern w:val="44"/>
      <w:sz w:val="30"/>
      <w:szCs w:val="44"/>
    </w:rPr>
  </w:style>
  <w:style w:type="paragraph" w:customStyle="1" w:styleId="u2">
    <w:name w:val="u正文"/>
    <w:basedOn w:val="a"/>
    <w:link w:val="uChar"/>
    <w:rsid w:val="00910273"/>
    <w:pPr>
      <w:widowControl w:val="0"/>
      <w:spacing w:beforeLines="10" w:before="10" w:afterLines="10" w:after="10" w:line="312" w:lineRule="auto"/>
      <w:ind w:firstLineChars="200" w:firstLine="200"/>
      <w:jc w:val="both"/>
    </w:pPr>
    <w:rPr>
      <w:rFonts w:cs="宋体"/>
      <w:kern w:val="2"/>
      <w:sz w:val="24"/>
    </w:rPr>
  </w:style>
  <w:style w:type="character" w:customStyle="1" w:styleId="uChar">
    <w:name w:val="u正文 Char"/>
    <w:link w:val="u2"/>
    <w:rsid w:val="00910273"/>
    <w:rPr>
      <w:rFonts w:eastAsia="宋体" w:cs="宋体"/>
      <w:kern w:val="2"/>
      <w:sz w:val="24"/>
      <w:lang w:val="en-US" w:eastAsia="zh-CN" w:bidi="ar-SA"/>
    </w:rPr>
  </w:style>
  <w:style w:type="paragraph" w:customStyle="1" w:styleId="u3">
    <w:name w:val="u标题 自动分页"/>
    <w:basedOn w:val="a"/>
    <w:next w:val="u2"/>
    <w:rsid w:val="00910273"/>
    <w:pPr>
      <w:keepNext/>
      <w:keepLines/>
      <w:pageBreakBefore/>
      <w:widowControl w:val="0"/>
      <w:spacing w:before="340" w:after="330" w:line="578" w:lineRule="auto"/>
      <w:jc w:val="center"/>
      <w:outlineLvl w:val="0"/>
    </w:pPr>
    <w:rPr>
      <w:rFonts w:eastAsia="黑体"/>
      <w:b/>
      <w:bCs/>
      <w:kern w:val="44"/>
      <w:sz w:val="30"/>
      <w:szCs w:val="44"/>
    </w:rPr>
  </w:style>
  <w:style w:type="paragraph" w:customStyle="1" w:styleId="bb">
    <w:name w:val="b标题"/>
    <w:basedOn w:val="1"/>
    <w:next w:val="b5"/>
    <w:rsid w:val="007107B4"/>
    <w:pPr>
      <w:widowControl w:val="0"/>
      <w:jc w:val="center"/>
    </w:pPr>
    <w:rPr>
      <w:rFonts w:eastAsia="黑体"/>
      <w:sz w:val="30"/>
    </w:rPr>
  </w:style>
  <w:style w:type="paragraph" w:styleId="ac">
    <w:name w:val="Normal (Web)"/>
    <w:basedOn w:val="a"/>
    <w:rsid w:val="00745A5C"/>
    <w:pPr>
      <w:spacing w:before="100" w:beforeAutospacing="1" w:after="100" w:afterAutospacing="1"/>
    </w:pPr>
    <w:rPr>
      <w:rFonts w:ascii="宋体" w:hAnsi="宋体" w:cs="宋体"/>
      <w:sz w:val="24"/>
      <w:szCs w:val="24"/>
    </w:rPr>
  </w:style>
  <w:style w:type="character" w:customStyle="1" w:styleId="c1">
    <w:name w:val="c关键词"/>
    <w:rsid w:val="002E6A1B"/>
    <w:rPr>
      <w:rFonts w:ascii="Times New Roman" w:eastAsia="黑体" w:hAnsi="Times New Roman"/>
      <w:b/>
      <w:sz w:val="24"/>
    </w:rPr>
  </w:style>
  <w:style w:type="paragraph" w:customStyle="1" w:styleId="u4">
    <w:name w:val="u标题 不入目录"/>
    <w:basedOn w:val="a"/>
    <w:rsid w:val="002E6A1B"/>
    <w:pPr>
      <w:widowControl w:val="0"/>
      <w:jc w:val="center"/>
    </w:pPr>
    <w:rPr>
      <w:rFonts w:eastAsia="黑体"/>
      <w:b/>
      <w:kern w:val="2"/>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ontrol" Target="activeX/activeX3.xml"/><Relationship Id="rId26" Type="http://schemas.openxmlformats.org/officeDocument/2006/relationships/header" Target="header7.xml"/><Relationship Id="rId39" Type="http://schemas.openxmlformats.org/officeDocument/2006/relationships/image" Target="media/image5.png"/><Relationship Id="rId21" Type="http://schemas.openxmlformats.org/officeDocument/2006/relationships/footer" Target="footer3.xml"/><Relationship Id="rId34" Type="http://schemas.openxmlformats.org/officeDocument/2006/relationships/header" Target="header11.xml"/><Relationship Id="rId42" Type="http://schemas.openxmlformats.org/officeDocument/2006/relationships/image" Target="media/image8.png"/><Relationship Id="rId47" Type="http://schemas.openxmlformats.org/officeDocument/2006/relationships/image" Target="media/image1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ontrol" Target="activeX/activeX1.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header" Target="header14.xml"/><Relationship Id="rId40" Type="http://schemas.openxmlformats.org/officeDocument/2006/relationships/image" Target="media/image6.png"/><Relationship Id="rId45"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header" Target="header13.xml"/><Relationship Id="rId10" Type="http://schemas.openxmlformats.org/officeDocument/2006/relationships/header" Target="header1.xml"/><Relationship Id="rId19" Type="http://schemas.openxmlformats.org/officeDocument/2006/relationships/control" Target="activeX/activeX4.xml"/><Relationship Id="rId31" Type="http://schemas.openxmlformats.org/officeDocument/2006/relationships/footer" Target="footer8.xml"/><Relationship Id="rId44" Type="http://schemas.openxmlformats.org/officeDocument/2006/relationships/image" Target="media/image1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USTB&#21338;&#22763;&#23398;&#20301;&#35770;&#25991;&#35268;&#33539;&#21450;&#35770;&#25991;&#21046;&#20316;&#25351;&#21335;.exe" TargetMode="Externa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oter" Target="footer6.xml"/><Relationship Id="rId30" Type="http://schemas.openxmlformats.org/officeDocument/2006/relationships/header" Target="header9.xml"/><Relationship Id="rId35" Type="http://schemas.openxmlformats.org/officeDocument/2006/relationships/header" Target="header12.xml"/><Relationship Id="rId43" Type="http://schemas.openxmlformats.org/officeDocument/2006/relationships/image" Target="media/image9.png"/><Relationship Id="rId48" Type="http://schemas.openxmlformats.org/officeDocument/2006/relationships/image" Target="media/image14.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ontrol" Target="activeX/activeX2.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image" Target="media/image4.png"/><Relationship Id="rId46" Type="http://schemas.openxmlformats.org/officeDocument/2006/relationships/image" Target="media/image12.png"/><Relationship Id="rId20" Type="http://schemas.openxmlformats.org/officeDocument/2006/relationships/header" Target="header4.xml"/><Relationship Id="rId41"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53" Type="http://schemas.openxmlformats.org/officeDocument/2006/relationships/image" Target="media/image15.png"/><Relationship Id="rId54" Type="http://schemas.openxmlformats.org/officeDocument/2006/relationships/image" Target="media/image16.png"/><Relationship Id="rId55" Type="http://schemas.openxmlformats.org/officeDocument/2006/relationships/image" Target="media/image17.png"/><Relationship Id="rId56" Type="http://schemas.openxmlformats.org/officeDocument/2006/relationships/image" Target="media/image18.png"/><Relationship Id="rId49" Type="http://schemas.openxmlformats.org/officeDocument/2006/relationships/header" Target="header15.xml"/><Relationship Id="rId50" Type="http://schemas.openxmlformats.org/officeDocument/2006/relationships/footer" Target="footer10.xml"/><Relationship Id="rId57" Type="http://schemas.openxmlformats.org/officeDocument/2006/relationships/header" Target="header16.xml"/><Relationship Id="rId58" Type="http://schemas.openxmlformats.org/officeDocument/2006/relationships/footer" Target="footer11.xml"/><Relationship Id="rId59" Type="http://schemas.openxmlformats.org/officeDocument/2006/relationships/header" Target="header17.xml"/><Relationship Id="rId60" Type="http://schemas.openxmlformats.org/officeDocument/2006/relationships/footer" Target="footer12.xml"/><Relationship Id="rId61" Type="http://schemas.openxmlformats.org/officeDocument/2006/relationships/header" Target="header18.xml"/><Relationship Id="rId62" Type="http://schemas.openxmlformats.org/officeDocument/2006/relationships/footer" Target="footer13.xml"/><Relationship Id="rId63" Type="http://schemas.openxmlformats.org/officeDocument/2006/relationships/header" Target="header19.xml"/><Relationship Id="rId64" Type="http://schemas.openxmlformats.org/officeDocument/2006/relationships/footer" Target="footer14.xml"/><Relationship Id="rId65" Type="http://schemas.openxmlformats.org/officeDocument/2006/relationships/header" Target="header20.xml"/><Relationship Id="rId66" Type="http://schemas.openxmlformats.org/officeDocument/2006/relationships/footer" Target="footer1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6-5CC6-11CF-8D67-00AA00BDCE1D}" ax:persistence="persistStorage" r:id="rId1"/>
</file>

<file path=word/activeX/activeX2.xml><?xml version="1.0" encoding="utf-8"?>
<ax:ocx xmlns:ax="http://schemas.microsoft.com/office/2006/activeX" xmlns:r="http://schemas.openxmlformats.org/officeDocument/2006/relationships" ax:classid="{5512D116-5CC6-11CF-8D67-00AA00BDCE1D}" ax:persistence="persistStorage" r:id="rId1"/>
</file>

<file path=word/activeX/activeX3.xml><?xml version="1.0" encoding="utf-8"?>
<ax:ocx xmlns:ax="http://schemas.microsoft.com/office/2006/activeX" xmlns:r="http://schemas.openxmlformats.org/officeDocument/2006/relationships" ax:classid="{5512D116-5CC6-11CF-8D67-00AA00BDCE1D}" ax:persistence="persistStorage" r:id="rId1"/>
</file>

<file path=word/activeX/activeX4.xml><?xml version="1.0" encoding="utf-8"?>
<ax:ocx xmlns:ax="http://schemas.microsoft.com/office/2006/activeX" xmlns:r="http://schemas.openxmlformats.org/officeDocument/2006/relationships" ax:classid="{5512D116-5CC6-11CF-8D67-00AA00BDCE1D}"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5236</Words>
  <Characters>29851</Characters>
  <Application>Microsoft Office Word</Application>
  <DocSecurity>4</DocSecurity>
  <Lines>248</Lines>
  <Paragraphs>70</Paragraphs>
  <ScaleCrop>false</ScaleCrop>
  <Company/>
  <LinksUpToDate>false</LinksUpToDate>
  <CharactersWithSpaces>35017</CharactersWithSpaces>
  <SharedDoc>false</SharedDoc>
  <HLinks>
    <vt:vector size="588" baseType="variant">
      <vt:variant>
        <vt:i4>1144165693</vt:i4>
      </vt:variant>
      <vt:variant>
        <vt:i4>768</vt:i4>
      </vt:variant>
      <vt:variant>
        <vt:i4>0</vt:i4>
      </vt:variant>
      <vt:variant>
        <vt:i4>5</vt:i4>
      </vt:variant>
      <vt:variant>
        <vt:lpwstr/>
      </vt:variant>
      <vt:variant>
        <vt:lpwstr>选题报告编制简要指南</vt:lpwstr>
      </vt:variant>
      <vt:variant>
        <vt:i4>1144165693</vt:i4>
      </vt:variant>
      <vt:variant>
        <vt:i4>765</vt:i4>
      </vt:variant>
      <vt:variant>
        <vt:i4>0</vt:i4>
      </vt:variant>
      <vt:variant>
        <vt:i4>5</vt:i4>
      </vt:variant>
      <vt:variant>
        <vt:lpwstr/>
      </vt:variant>
      <vt:variant>
        <vt:lpwstr>选题报告编制简要指南</vt:lpwstr>
      </vt:variant>
      <vt:variant>
        <vt:i4>1144165693</vt:i4>
      </vt:variant>
      <vt:variant>
        <vt:i4>762</vt:i4>
      </vt:variant>
      <vt:variant>
        <vt:i4>0</vt:i4>
      </vt:variant>
      <vt:variant>
        <vt:i4>5</vt:i4>
      </vt:variant>
      <vt:variant>
        <vt:lpwstr/>
      </vt:variant>
      <vt:variant>
        <vt:lpwstr>选题报告编制简要指南</vt:lpwstr>
      </vt:variant>
      <vt:variant>
        <vt:i4>1144165693</vt:i4>
      </vt:variant>
      <vt:variant>
        <vt:i4>759</vt:i4>
      </vt:variant>
      <vt:variant>
        <vt:i4>0</vt:i4>
      </vt:variant>
      <vt:variant>
        <vt:i4>5</vt:i4>
      </vt:variant>
      <vt:variant>
        <vt:lpwstr/>
      </vt:variant>
      <vt:variant>
        <vt:lpwstr>选题报告编制简要指南</vt:lpwstr>
      </vt:variant>
      <vt:variant>
        <vt:i4>1144165693</vt:i4>
      </vt:variant>
      <vt:variant>
        <vt:i4>756</vt:i4>
      </vt:variant>
      <vt:variant>
        <vt:i4>0</vt:i4>
      </vt:variant>
      <vt:variant>
        <vt:i4>5</vt:i4>
      </vt:variant>
      <vt:variant>
        <vt:lpwstr/>
      </vt:variant>
      <vt:variant>
        <vt:lpwstr>选题报告编制简要指南</vt:lpwstr>
      </vt:variant>
      <vt:variant>
        <vt:i4>1135253227</vt:i4>
      </vt:variant>
      <vt:variant>
        <vt:i4>753</vt:i4>
      </vt:variant>
      <vt:variant>
        <vt:i4>0</vt:i4>
      </vt:variant>
      <vt:variant>
        <vt:i4>5</vt:i4>
      </vt:variant>
      <vt:variant>
        <vt:lpwstr/>
      </vt:variant>
      <vt:variant>
        <vt:lpwstr>毕业论文的样式</vt:lpwstr>
      </vt:variant>
      <vt:variant>
        <vt:i4>1144165693</vt:i4>
      </vt:variant>
      <vt:variant>
        <vt:i4>750</vt:i4>
      </vt:variant>
      <vt:variant>
        <vt:i4>0</vt:i4>
      </vt:variant>
      <vt:variant>
        <vt:i4>5</vt:i4>
      </vt:variant>
      <vt:variant>
        <vt:lpwstr/>
      </vt:variant>
      <vt:variant>
        <vt:lpwstr>选题报告编制简要指南</vt:lpwstr>
      </vt:variant>
      <vt:variant>
        <vt:i4>1144165693</vt:i4>
      </vt:variant>
      <vt:variant>
        <vt:i4>747</vt:i4>
      </vt:variant>
      <vt:variant>
        <vt:i4>0</vt:i4>
      </vt:variant>
      <vt:variant>
        <vt:i4>5</vt:i4>
      </vt:variant>
      <vt:variant>
        <vt:lpwstr/>
      </vt:variant>
      <vt:variant>
        <vt:lpwstr>选题报告编制简要指南</vt:lpwstr>
      </vt:variant>
      <vt:variant>
        <vt:i4>1144165693</vt:i4>
      </vt:variant>
      <vt:variant>
        <vt:i4>744</vt:i4>
      </vt:variant>
      <vt:variant>
        <vt:i4>0</vt:i4>
      </vt:variant>
      <vt:variant>
        <vt:i4>5</vt:i4>
      </vt:variant>
      <vt:variant>
        <vt:lpwstr/>
      </vt:variant>
      <vt:variant>
        <vt:lpwstr>选题报告编制简要指南</vt:lpwstr>
      </vt:variant>
      <vt:variant>
        <vt:i4>1144165693</vt:i4>
      </vt:variant>
      <vt:variant>
        <vt:i4>741</vt:i4>
      </vt:variant>
      <vt:variant>
        <vt:i4>0</vt:i4>
      </vt:variant>
      <vt:variant>
        <vt:i4>5</vt:i4>
      </vt:variant>
      <vt:variant>
        <vt:lpwstr/>
      </vt:variant>
      <vt:variant>
        <vt:lpwstr>选题报告编制简要指南</vt:lpwstr>
      </vt:variant>
      <vt:variant>
        <vt:i4>1144165693</vt:i4>
      </vt:variant>
      <vt:variant>
        <vt:i4>694</vt:i4>
      </vt:variant>
      <vt:variant>
        <vt:i4>0</vt:i4>
      </vt:variant>
      <vt:variant>
        <vt:i4>5</vt:i4>
      </vt:variant>
      <vt:variant>
        <vt:lpwstr/>
      </vt:variant>
      <vt:variant>
        <vt:lpwstr>选题报告编制简要指南</vt:lpwstr>
      </vt:variant>
      <vt:variant>
        <vt:i4>1144165693</vt:i4>
      </vt:variant>
      <vt:variant>
        <vt:i4>691</vt:i4>
      </vt:variant>
      <vt:variant>
        <vt:i4>0</vt:i4>
      </vt:variant>
      <vt:variant>
        <vt:i4>5</vt:i4>
      </vt:variant>
      <vt:variant>
        <vt:lpwstr/>
      </vt:variant>
      <vt:variant>
        <vt:lpwstr>选题报告编制简要指南</vt:lpwstr>
      </vt:variant>
      <vt:variant>
        <vt:i4>1144165693</vt:i4>
      </vt:variant>
      <vt:variant>
        <vt:i4>652</vt:i4>
      </vt:variant>
      <vt:variant>
        <vt:i4>0</vt:i4>
      </vt:variant>
      <vt:variant>
        <vt:i4>5</vt:i4>
      </vt:variant>
      <vt:variant>
        <vt:lpwstr/>
      </vt:variant>
      <vt:variant>
        <vt:lpwstr>选题报告编制简要指南</vt:lpwstr>
      </vt:variant>
      <vt:variant>
        <vt:i4>1144165693</vt:i4>
      </vt:variant>
      <vt:variant>
        <vt:i4>649</vt:i4>
      </vt:variant>
      <vt:variant>
        <vt:i4>0</vt:i4>
      </vt:variant>
      <vt:variant>
        <vt:i4>5</vt:i4>
      </vt:variant>
      <vt:variant>
        <vt:lpwstr/>
      </vt:variant>
      <vt:variant>
        <vt:lpwstr>选题报告编制简要指南</vt:lpwstr>
      </vt:variant>
      <vt:variant>
        <vt:i4>1144165693</vt:i4>
      </vt:variant>
      <vt:variant>
        <vt:i4>598</vt:i4>
      </vt:variant>
      <vt:variant>
        <vt:i4>0</vt:i4>
      </vt:variant>
      <vt:variant>
        <vt:i4>5</vt:i4>
      </vt:variant>
      <vt:variant>
        <vt:lpwstr/>
      </vt:variant>
      <vt:variant>
        <vt:lpwstr>选题报告编制简要指南</vt:lpwstr>
      </vt:variant>
      <vt:variant>
        <vt:i4>1144165693</vt:i4>
      </vt:variant>
      <vt:variant>
        <vt:i4>531</vt:i4>
      </vt:variant>
      <vt:variant>
        <vt:i4>0</vt:i4>
      </vt:variant>
      <vt:variant>
        <vt:i4>5</vt:i4>
      </vt:variant>
      <vt:variant>
        <vt:lpwstr/>
      </vt:variant>
      <vt:variant>
        <vt:lpwstr>选题报告编制简要指南</vt:lpwstr>
      </vt:variant>
      <vt:variant>
        <vt:i4>1144165693</vt:i4>
      </vt:variant>
      <vt:variant>
        <vt:i4>528</vt:i4>
      </vt:variant>
      <vt:variant>
        <vt:i4>0</vt:i4>
      </vt:variant>
      <vt:variant>
        <vt:i4>5</vt:i4>
      </vt:variant>
      <vt:variant>
        <vt:lpwstr/>
      </vt:variant>
      <vt:variant>
        <vt:lpwstr>选题报告编制简要指南</vt:lpwstr>
      </vt:variant>
      <vt:variant>
        <vt:i4>1144165693</vt:i4>
      </vt:variant>
      <vt:variant>
        <vt:i4>465</vt:i4>
      </vt:variant>
      <vt:variant>
        <vt:i4>0</vt:i4>
      </vt:variant>
      <vt:variant>
        <vt:i4>5</vt:i4>
      </vt:variant>
      <vt:variant>
        <vt:lpwstr/>
      </vt:variant>
      <vt:variant>
        <vt:lpwstr>选题报告编制简要指南</vt:lpwstr>
      </vt:variant>
      <vt:variant>
        <vt:i4>1144165693</vt:i4>
      </vt:variant>
      <vt:variant>
        <vt:i4>462</vt:i4>
      </vt:variant>
      <vt:variant>
        <vt:i4>0</vt:i4>
      </vt:variant>
      <vt:variant>
        <vt:i4>5</vt:i4>
      </vt:variant>
      <vt:variant>
        <vt:lpwstr/>
      </vt:variant>
      <vt:variant>
        <vt:lpwstr>选题报告编制简要指南</vt:lpwstr>
      </vt:variant>
      <vt:variant>
        <vt:i4>1144165693</vt:i4>
      </vt:variant>
      <vt:variant>
        <vt:i4>459</vt:i4>
      </vt:variant>
      <vt:variant>
        <vt:i4>0</vt:i4>
      </vt:variant>
      <vt:variant>
        <vt:i4>5</vt:i4>
      </vt:variant>
      <vt:variant>
        <vt:lpwstr/>
      </vt:variant>
      <vt:variant>
        <vt:lpwstr>选题报告编制简要指南</vt:lpwstr>
      </vt:variant>
      <vt:variant>
        <vt:i4>1144165693</vt:i4>
      </vt:variant>
      <vt:variant>
        <vt:i4>456</vt:i4>
      </vt:variant>
      <vt:variant>
        <vt:i4>0</vt:i4>
      </vt:variant>
      <vt:variant>
        <vt:i4>5</vt:i4>
      </vt:variant>
      <vt:variant>
        <vt:lpwstr/>
      </vt:variant>
      <vt:variant>
        <vt:lpwstr>选题报告编制简要指南</vt:lpwstr>
      </vt:variant>
      <vt:variant>
        <vt:i4>1144165693</vt:i4>
      </vt:variant>
      <vt:variant>
        <vt:i4>453</vt:i4>
      </vt:variant>
      <vt:variant>
        <vt:i4>0</vt:i4>
      </vt:variant>
      <vt:variant>
        <vt:i4>5</vt:i4>
      </vt:variant>
      <vt:variant>
        <vt:lpwstr/>
      </vt:variant>
      <vt:variant>
        <vt:lpwstr>选题报告编制简要指南</vt:lpwstr>
      </vt:variant>
      <vt:variant>
        <vt:i4>1144165693</vt:i4>
      </vt:variant>
      <vt:variant>
        <vt:i4>450</vt:i4>
      </vt:variant>
      <vt:variant>
        <vt:i4>0</vt:i4>
      </vt:variant>
      <vt:variant>
        <vt:i4>5</vt:i4>
      </vt:variant>
      <vt:variant>
        <vt:lpwstr/>
      </vt:variant>
      <vt:variant>
        <vt:lpwstr>选题报告编制简要指南</vt:lpwstr>
      </vt:variant>
      <vt:variant>
        <vt:i4>1144165693</vt:i4>
      </vt:variant>
      <vt:variant>
        <vt:i4>395</vt:i4>
      </vt:variant>
      <vt:variant>
        <vt:i4>0</vt:i4>
      </vt:variant>
      <vt:variant>
        <vt:i4>5</vt:i4>
      </vt:variant>
      <vt:variant>
        <vt:lpwstr/>
      </vt:variant>
      <vt:variant>
        <vt:lpwstr>选题报告编制简要指南</vt:lpwstr>
      </vt:variant>
      <vt:variant>
        <vt:i4>1144165693</vt:i4>
      </vt:variant>
      <vt:variant>
        <vt:i4>392</vt:i4>
      </vt:variant>
      <vt:variant>
        <vt:i4>0</vt:i4>
      </vt:variant>
      <vt:variant>
        <vt:i4>5</vt:i4>
      </vt:variant>
      <vt:variant>
        <vt:lpwstr/>
      </vt:variant>
      <vt:variant>
        <vt:lpwstr>选题报告编制简要指南</vt:lpwstr>
      </vt:variant>
      <vt:variant>
        <vt:i4>1144165693</vt:i4>
      </vt:variant>
      <vt:variant>
        <vt:i4>389</vt:i4>
      </vt:variant>
      <vt:variant>
        <vt:i4>0</vt:i4>
      </vt:variant>
      <vt:variant>
        <vt:i4>5</vt:i4>
      </vt:variant>
      <vt:variant>
        <vt:lpwstr/>
      </vt:variant>
      <vt:variant>
        <vt:lpwstr>选题报告编制简要指南</vt:lpwstr>
      </vt:variant>
      <vt:variant>
        <vt:i4>1144165693</vt:i4>
      </vt:variant>
      <vt:variant>
        <vt:i4>386</vt:i4>
      </vt:variant>
      <vt:variant>
        <vt:i4>0</vt:i4>
      </vt:variant>
      <vt:variant>
        <vt:i4>5</vt:i4>
      </vt:variant>
      <vt:variant>
        <vt:lpwstr/>
      </vt:variant>
      <vt:variant>
        <vt:lpwstr>选题报告编制简要指南</vt:lpwstr>
      </vt:variant>
      <vt:variant>
        <vt:i4>1144165693</vt:i4>
      </vt:variant>
      <vt:variant>
        <vt:i4>383</vt:i4>
      </vt:variant>
      <vt:variant>
        <vt:i4>0</vt:i4>
      </vt:variant>
      <vt:variant>
        <vt:i4>5</vt:i4>
      </vt:variant>
      <vt:variant>
        <vt:lpwstr/>
      </vt:variant>
      <vt:variant>
        <vt:lpwstr>选题报告编制简要指南</vt:lpwstr>
      </vt:variant>
      <vt:variant>
        <vt:i4>1144165693</vt:i4>
      </vt:variant>
      <vt:variant>
        <vt:i4>380</vt:i4>
      </vt:variant>
      <vt:variant>
        <vt:i4>0</vt:i4>
      </vt:variant>
      <vt:variant>
        <vt:i4>5</vt:i4>
      </vt:variant>
      <vt:variant>
        <vt:lpwstr/>
      </vt:variant>
      <vt:variant>
        <vt:lpwstr>选题报告编制简要指南</vt:lpwstr>
      </vt:variant>
      <vt:variant>
        <vt:i4>1144165693</vt:i4>
      </vt:variant>
      <vt:variant>
        <vt:i4>377</vt:i4>
      </vt:variant>
      <vt:variant>
        <vt:i4>0</vt:i4>
      </vt:variant>
      <vt:variant>
        <vt:i4>5</vt:i4>
      </vt:variant>
      <vt:variant>
        <vt:lpwstr/>
      </vt:variant>
      <vt:variant>
        <vt:lpwstr>选题报告编制简要指南</vt:lpwstr>
      </vt:variant>
      <vt:variant>
        <vt:i4>1144165693</vt:i4>
      </vt:variant>
      <vt:variant>
        <vt:i4>374</vt:i4>
      </vt:variant>
      <vt:variant>
        <vt:i4>0</vt:i4>
      </vt:variant>
      <vt:variant>
        <vt:i4>5</vt:i4>
      </vt:variant>
      <vt:variant>
        <vt:lpwstr/>
      </vt:variant>
      <vt:variant>
        <vt:lpwstr>选题报告编制简要指南</vt:lpwstr>
      </vt:variant>
      <vt:variant>
        <vt:i4>1144165693</vt:i4>
      </vt:variant>
      <vt:variant>
        <vt:i4>371</vt:i4>
      </vt:variant>
      <vt:variant>
        <vt:i4>0</vt:i4>
      </vt:variant>
      <vt:variant>
        <vt:i4>5</vt:i4>
      </vt:variant>
      <vt:variant>
        <vt:lpwstr/>
      </vt:variant>
      <vt:variant>
        <vt:lpwstr>选题报告编制简要指南</vt:lpwstr>
      </vt:variant>
      <vt:variant>
        <vt:i4>1144165693</vt:i4>
      </vt:variant>
      <vt:variant>
        <vt:i4>368</vt:i4>
      </vt:variant>
      <vt:variant>
        <vt:i4>0</vt:i4>
      </vt:variant>
      <vt:variant>
        <vt:i4>5</vt:i4>
      </vt:variant>
      <vt:variant>
        <vt:lpwstr/>
      </vt:variant>
      <vt:variant>
        <vt:lpwstr>选题报告编制简要指南</vt:lpwstr>
      </vt:variant>
      <vt:variant>
        <vt:i4>1144165693</vt:i4>
      </vt:variant>
      <vt:variant>
        <vt:i4>365</vt:i4>
      </vt:variant>
      <vt:variant>
        <vt:i4>0</vt:i4>
      </vt:variant>
      <vt:variant>
        <vt:i4>5</vt:i4>
      </vt:variant>
      <vt:variant>
        <vt:lpwstr/>
      </vt:variant>
      <vt:variant>
        <vt:lpwstr>选题报告编制简要指南</vt:lpwstr>
      </vt:variant>
      <vt:variant>
        <vt:i4>1144165693</vt:i4>
      </vt:variant>
      <vt:variant>
        <vt:i4>362</vt:i4>
      </vt:variant>
      <vt:variant>
        <vt:i4>0</vt:i4>
      </vt:variant>
      <vt:variant>
        <vt:i4>5</vt:i4>
      </vt:variant>
      <vt:variant>
        <vt:lpwstr/>
      </vt:variant>
      <vt:variant>
        <vt:lpwstr>选题报告编制简要指南</vt:lpwstr>
      </vt:variant>
      <vt:variant>
        <vt:i4>1144165693</vt:i4>
      </vt:variant>
      <vt:variant>
        <vt:i4>359</vt:i4>
      </vt:variant>
      <vt:variant>
        <vt:i4>0</vt:i4>
      </vt:variant>
      <vt:variant>
        <vt:i4>5</vt:i4>
      </vt:variant>
      <vt:variant>
        <vt:lpwstr/>
      </vt:variant>
      <vt:variant>
        <vt:lpwstr>选题报告编制简要指南</vt:lpwstr>
      </vt:variant>
      <vt:variant>
        <vt:i4>-2116659271</vt:i4>
      </vt:variant>
      <vt:variant>
        <vt:i4>356</vt:i4>
      </vt:variant>
      <vt:variant>
        <vt:i4>0</vt:i4>
      </vt:variant>
      <vt:variant>
        <vt:i4>5</vt:i4>
      </vt:variant>
      <vt:variant>
        <vt:lpwstr/>
      </vt:variant>
      <vt:variant>
        <vt:lpwstr>毕业论文各页的样板以及图表公式等的样板</vt:lpwstr>
      </vt:variant>
      <vt:variant>
        <vt:i4>311019181</vt:i4>
      </vt:variant>
      <vt:variant>
        <vt:i4>353</vt:i4>
      </vt:variant>
      <vt:variant>
        <vt:i4>0</vt:i4>
      </vt:variant>
      <vt:variant>
        <vt:i4>5</vt:i4>
      </vt:variant>
      <vt:variant>
        <vt:lpwstr/>
      </vt:variant>
      <vt:variant>
        <vt:lpwstr>正文页的其他操作</vt:lpwstr>
      </vt:variant>
      <vt:variant>
        <vt:i4>-695326744</vt:i4>
      </vt:variant>
      <vt:variant>
        <vt:i4>350</vt:i4>
      </vt:variant>
      <vt:variant>
        <vt:i4>0</vt:i4>
      </vt:variant>
      <vt:variant>
        <vt:i4>5</vt:i4>
      </vt:variant>
      <vt:variant>
        <vt:lpwstr/>
      </vt:variant>
      <vt:variant>
        <vt:lpwstr>公式的要求</vt:lpwstr>
      </vt:variant>
      <vt:variant>
        <vt:i4>533073280</vt:i4>
      </vt:variant>
      <vt:variant>
        <vt:i4>347</vt:i4>
      </vt:variant>
      <vt:variant>
        <vt:i4>0</vt:i4>
      </vt:variant>
      <vt:variant>
        <vt:i4>5</vt:i4>
      </vt:variant>
      <vt:variant>
        <vt:lpwstr/>
      </vt:variant>
      <vt:variant>
        <vt:lpwstr>文献标注</vt:lpwstr>
      </vt:variant>
      <vt:variant>
        <vt:i4>-507642132</vt:i4>
      </vt:variant>
      <vt:variant>
        <vt:i4>344</vt:i4>
      </vt:variant>
      <vt:variant>
        <vt:i4>0</vt:i4>
      </vt:variant>
      <vt:variant>
        <vt:i4>5</vt:i4>
      </vt:variant>
      <vt:variant>
        <vt:lpwstr/>
      </vt:variant>
      <vt:variant>
        <vt:lpwstr>表格的要求</vt:lpwstr>
      </vt:variant>
      <vt:variant>
        <vt:i4>-689758086</vt:i4>
      </vt:variant>
      <vt:variant>
        <vt:i4>341</vt:i4>
      </vt:variant>
      <vt:variant>
        <vt:i4>0</vt:i4>
      </vt:variant>
      <vt:variant>
        <vt:i4>5</vt:i4>
      </vt:variant>
      <vt:variant>
        <vt:lpwstr/>
      </vt:variant>
      <vt:variant>
        <vt:lpwstr>图形的要求</vt:lpwstr>
      </vt:variant>
      <vt:variant>
        <vt:i4>-1218624481</vt:i4>
      </vt:variant>
      <vt:variant>
        <vt:i4>338</vt:i4>
      </vt:variant>
      <vt:variant>
        <vt:i4>0</vt:i4>
      </vt:variant>
      <vt:variant>
        <vt:i4>5</vt:i4>
      </vt:variant>
      <vt:variant>
        <vt:lpwstr/>
      </vt:variant>
      <vt:variant>
        <vt:lpwstr>段落和字符样式</vt:lpwstr>
      </vt:variant>
      <vt:variant>
        <vt:i4>314890715</vt:i4>
      </vt:variant>
      <vt:variant>
        <vt:i4>335</vt:i4>
      </vt:variant>
      <vt:variant>
        <vt:i4>0</vt:i4>
      </vt:variant>
      <vt:variant>
        <vt:i4>5</vt:i4>
      </vt:variant>
      <vt:variant>
        <vt:lpwstr/>
      </vt:variant>
      <vt:variant>
        <vt:lpwstr>正文页的一些操作</vt:lpwstr>
      </vt:variant>
      <vt:variant>
        <vt:i4>-720160413</vt:i4>
      </vt:variant>
      <vt:variant>
        <vt:i4>332</vt:i4>
      </vt:variant>
      <vt:variant>
        <vt:i4>0</vt:i4>
      </vt:variant>
      <vt:variant>
        <vt:i4>5</vt:i4>
      </vt:variant>
      <vt:variant>
        <vt:lpwstr/>
      </vt:variant>
      <vt:variant>
        <vt:lpwstr>电子文献的著录示例</vt:lpwstr>
      </vt:variant>
      <vt:variant>
        <vt:i4>12456160</vt:i4>
      </vt:variant>
      <vt:variant>
        <vt:i4>329</vt:i4>
      </vt:variant>
      <vt:variant>
        <vt:i4>0</vt:i4>
      </vt:variant>
      <vt:variant>
        <vt:i4>5</vt:i4>
      </vt:variant>
      <vt:variant>
        <vt:lpwstr/>
      </vt:variant>
      <vt:variant>
        <vt:lpwstr>电子专著析出文献的著录示例</vt:lpwstr>
      </vt:variant>
      <vt:variant>
        <vt:i4>577377015</vt:i4>
      </vt:variant>
      <vt:variant>
        <vt:i4>326</vt:i4>
      </vt:variant>
      <vt:variant>
        <vt:i4>0</vt:i4>
      </vt:variant>
      <vt:variant>
        <vt:i4>5</vt:i4>
      </vt:variant>
      <vt:variant>
        <vt:lpwstr/>
      </vt:variant>
      <vt:variant>
        <vt:lpwstr>电子专著的著录示例</vt:lpwstr>
      </vt:variant>
      <vt:variant>
        <vt:i4>1801706026</vt:i4>
      </vt:variant>
      <vt:variant>
        <vt:i4>323</vt:i4>
      </vt:variant>
      <vt:variant>
        <vt:i4>0</vt:i4>
      </vt:variant>
      <vt:variant>
        <vt:i4>5</vt:i4>
      </vt:variant>
      <vt:variant>
        <vt:lpwstr/>
      </vt:variant>
      <vt:variant>
        <vt:lpwstr>电子期刊的著录示例（连续出版物中析出文献）</vt:lpwstr>
      </vt:variant>
      <vt:variant>
        <vt:i4>1502022184</vt:i4>
      </vt:variant>
      <vt:variant>
        <vt:i4>320</vt:i4>
      </vt:variant>
      <vt:variant>
        <vt:i4>0</vt:i4>
      </vt:variant>
      <vt:variant>
        <vt:i4>5</vt:i4>
      </vt:variant>
      <vt:variant>
        <vt:lpwstr/>
      </vt:variant>
      <vt:variant>
        <vt:lpwstr>电子文献的著录示例（包括专著或连续出版物中析出的电子文献）</vt:lpwstr>
      </vt:variant>
      <vt:variant>
        <vt:i4>-1658533580</vt:i4>
      </vt:variant>
      <vt:variant>
        <vt:i4>317</vt:i4>
      </vt:variant>
      <vt:variant>
        <vt:i4>0</vt:i4>
      </vt:variant>
      <vt:variant>
        <vt:i4>5</vt:i4>
      </vt:variant>
      <vt:variant>
        <vt:lpwstr/>
      </vt:variant>
      <vt:variant>
        <vt:lpwstr>电子文献（顺序编码制）</vt:lpwstr>
      </vt:variant>
      <vt:variant>
        <vt:i4>-597032379</vt:i4>
      </vt:variant>
      <vt:variant>
        <vt:i4>314</vt:i4>
      </vt:variant>
      <vt:variant>
        <vt:i4>0</vt:i4>
      </vt:variant>
      <vt:variant>
        <vt:i4>5</vt:i4>
      </vt:variant>
      <vt:variant>
        <vt:lpwstr/>
      </vt:variant>
      <vt:variant>
        <vt:lpwstr>专利文献的著录示例</vt:lpwstr>
      </vt:variant>
      <vt:variant>
        <vt:i4>-2082490593</vt:i4>
      </vt:variant>
      <vt:variant>
        <vt:i4>311</vt:i4>
      </vt:variant>
      <vt:variant>
        <vt:i4>0</vt:i4>
      </vt:variant>
      <vt:variant>
        <vt:i4>5</vt:i4>
      </vt:variant>
      <vt:variant>
        <vt:lpwstr/>
      </vt:variant>
      <vt:variant>
        <vt:lpwstr>专利文献的著录（顺序编码制）</vt:lpwstr>
      </vt:variant>
      <vt:variant>
        <vt:i4>452326193</vt:i4>
      </vt:variant>
      <vt:variant>
        <vt:i4>308</vt:i4>
      </vt:variant>
      <vt:variant>
        <vt:i4>0</vt:i4>
      </vt:variant>
      <vt:variant>
        <vt:i4>5</vt:i4>
      </vt:variant>
      <vt:variant>
        <vt:lpwstr/>
      </vt:variant>
      <vt:variant>
        <vt:lpwstr>报纸中析出文献的著录示例</vt:lpwstr>
      </vt:variant>
      <vt:variant>
        <vt:i4>910685835</vt:i4>
      </vt:variant>
      <vt:variant>
        <vt:i4>305</vt:i4>
      </vt:variant>
      <vt:variant>
        <vt:i4>0</vt:i4>
      </vt:variant>
      <vt:variant>
        <vt:i4>5</vt:i4>
      </vt:variant>
      <vt:variant>
        <vt:lpwstr/>
      </vt:variant>
      <vt:variant>
        <vt:lpwstr>期刊中析出文献的著录示例</vt:lpwstr>
      </vt:variant>
      <vt:variant>
        <vt:i4>-1031523631</vt:i4>
      </vt:variant>
      <vt:variant>
        <vt:i4>302</vt:i4>
      </vt:variant>
      <vt:variant>
        <vt:i4>0</vt:i4>
      </vt:variant>
      <vt:variant>
        <vt:i4>5</vt:i4>
      </vt:variant>
      <vt:variant>
        <vt:lpwstr/>
      </vt:variant>
      <vt:variant>
        <vt:lpwstr>连续出版物中析出文献的著录（顺序编码制）</vt:lpwstr>
      </vt:variant>
      <vt:variant>
        <vt:i4>1865087376</vt:i4>
      </vt:variant>
      <vt:variant>
        <vt:i4>299</vt:i4>
      </vt:variant>
      <vt:variant>
        <vt:i4>0</vt:i4>
      </vt:variant>
      <vt:variant>
        <vt:i4>5</vt:i4>
      </vt:variant>
      <vt:variant>
        <vt:lpwstr/>
      </vt:variant>
      <vt:variant>
        <vt:lpwstr>连续出版物的著录（一般不用）（顺序编码制）</vt:lpwstr>
      </vt:variant>
      <vt:variant>
        <vt:i4>-535109753</vt:i4>
      </vt:variant>
      <vt:variant>
        <vt:i4>296</vt:i4>
      </vt:variant>
      <vt:variant>
        <vt:i4>0</vt:i4>
      </vt:variant>
      <vt:variant>
        <vt:i4>5</vt:i4>
      </vt:variant>
      <vt:variant>
        <vt:lpwstr/>
      </vt:variant>
      <vt:variant>
        <vt:lpwstr>专著中析出文献的著录示例</vt:lpwstr>
      </vt:variant>
      <vt:variant>
        <vt:i4>-711597641</vt:i4>
      </vt:variant>
      <vt:variant>
        <vt:i4>293</vt:i4>
      </vt:variant>
      <vt:variant>
        <vt:i4>0</vt:i4>
      </vt:variant>
      <vt:variant>
        <vt:i4>5</vt:i4>
      </vt:variant>
      <vt:variant>
        <vt:lpwstr/>
      </vt:variant>
      <vt:variant>
        <vt:lpwstr>中文文献著录和外文文献著录的区别</vt:lpwstr>
      </vt:variant>
      <vt:variant>
        <vt:i4>449543995</vt:i4>
      </vt:variant>
      <vt:variant>
        <vt:i4>290</vt:i4>
      </vt:variant>
      <vt:variant>
        <vt:i4>0</vt:i4>
      </vt:variant>
      <vt:variant>
        <vt:i4>5</vt:i4>
      </vt:variant>
      <vt:variant>
        <vt:lpwstr/>
      </vt:variant>
      <vt:variant>
        <vt:lpwstr>专著中析出文献的著录（顺序编码制）</vt:lpwstr>
      </vt:variant>
      <vt:variant>
        <vt:i4>1062922221</vt:i4>
      </vt:variant>
      <vt:variant>
        <vt:i4>287</vt:i4>
      </vt:variant>
      <vt:variant>
        <vt:i4>0</vt:i4>
      </vt:variant>
      <vt:variant>
        <vt:i4>5</vt:i4>
      </vt:variant>
      <vt:variant>
        <vt:lpwstr/>
      </vt:variant>
      <vt:variant>
        <vt:lpwstr>文献著录的标点符号</vt:lpwstr>
      </vt:variant>
      <vt:variant>
        <vt:i4>-1979048542</vt:i4>
      </vt:variant>
      <vt:variant>
        <vt:i4>284</vt:i4>
      </vt:variant>
      <vt:variant>
        <vt:i4>0</vt:i4>
      </vt:variant>
      <vt:variant>
        <vt:i4>5</vt:i4>
      </vt:variant>
      <vt:variant>
        <vt:lpwstr/>
      </vt:variant>
      <vt:variant>
        <vt:lpwstr>专著：标准的著录示例</vt:lpwstr>
      </vt:variant>
      <vt:variant>
        <vt:i4>-1444494186</vt:i4>
      </vt:variant>
      <vt:variant>
        <vt:i4>281</vt:i4>
      </vt:variant>
      <vt:variant>
        <vt:i4>0</vt:i4>
      </vt:variant>
      <vt:variant>
        <vt:i4>5</vt:i4>
      </vt:variant>
      <vt:variant>
        <vt:lpwstr/>
      </vt:variant>
      <vt:variant>
        <vt:lpwstr>专著：学位论文著录示例</vt:lpwstr>
      </vt:variant>
      <vt:variant>
        <vt:i4>1649334422</vt:i4>
      </vt:variant>
      <vt:variant>
        <vt:i4>278</vt:i4>
      </vt:variant>
      <vt:variant>
        <vt:i4>0</vt:i4>
      </vt:variant>
      <vt:variant>
        <vt:i4>5</vt:i4>
      </vt:variant>
      <vt:variant>
        <vt:lpwstr/>
      </vt:variant>
      <vt:variant>
        <vt:lpwstr>专著：科技报告著录示例</vt:lpwstr>
      </vt:variant>
      <vt:variant>
        <vt:i4>-1715826100</vt:i4>
      </vt:variant>
      <vt:variant>
        <vt:i4>275</vt:i4>
      </vt:variant>
      <vt:variant>
        <vt:i4>0</vt:i4>
      </vt:variant>
      <vt:variant>
        <vt:i4>5</vt:i4>
      </vt:variant>
      <vt:variant>
        <vt:lpwstr/>
      </vt:variant>
      <vt:variant>
        <vt:lpwstr>专著：论文集、会议录著录示例</vt:lpwstr>
      </vt:variant>
      <vt:variant>
        <vt:i4>1235890208</vt:i4>
      </vt:variant>
      <vt:variant>
        <vt:i4>272</vt:i4>
      </vt:variant>
      <vt:variant>
        <vt:i4>0</vt:i4>
      </vt:variant>
      <vt:variant>
        <vt:i4>5</vt:i4>
      </vt:variant>
      <vt:variant>
        <vt:lpwstr/>
      </vt:variant>
      <vt:variant>
        <vt:lpwstr>专著：普通图书著录示例</vt:lpwstr>
      </vt:variant>
      <vt:variant>
        <vt:i4>646959768</vt:i4>
      </vt:variant>
      <vt:variant>
        <vt:i4>269</vt:i4>
      </vt:variant>
      <vt:variant>
        <vt:i4>0</vt:i4>
      </vt:variant>
      <vt:variant>
        <vt:i4>5</vt:i4>
      </vt:variant>
      <vt:variant>
        <vt:lpwstr/>
      </vt:variant>
      <vt:variant>
        <vt:lpwstr>专著的著录（顺序编码制）</vt:lpwstr>
      </vt:variant>
      <vt:variant>
        <vt:i4>37819873</vt:i4>
      </vt:variant>
      <vt:variant>
        <vt:i4>266</vt:i4>
      </vt:variant>
      <vt:variant>
        <vt:i4>0</vt:i4>
      </vt:variant>
      <vt:variant>
        <vt:i4>5</vt:i4>
      </vt:variant>
      <vt:variant>
        <vt:lpwstr/>
      </vt:variant>
      <vt:variant>
        <vt:lpwstr>文献类型及标志代码</vt:lpwstr>
      </vt:variant>
      <vt:variant>
        <vt:i4>-1232798457</vt:i4>
      </vt:variant>
      <vt:variant>
        <vt:i4>263</vt:i4>
      </vt:variant>
      <vt:variant>
        <vt:i4>0</vt:i4>
      </vt:variant>
      <vt:variant>
        <vt:i4>5</vt:i4>
      </vt:variant>
      <vt:variant>
        <vt:lpwstr/>
      </vt:variant>
      <vt:variant>
        <vt:lpwstr>著者—出版年制的示例</vt:lpwstr>
      </vt:variant>
      <vt:variant>
        <vt:i4>127022470</vt:i4>
      </vt:variant>
      <vt:variant>
        <vt:i4>260</vt:i4>
      </vt:variant>
      <vt:variant>
        <vt:i4>0</vt:i4>
      </vt:variant>
      <vt:variant>
        <vt:i4>5</vt:i4>
      </vt:variant>
      <vt:variant>
        <vt:lpwstr/>
      </vt:variant>
      <vt:variant>
        <vt:lpwstr>顺序编码制基本要求的讲解</vt:lpwstr>
      </vt:variant>
      <vt:variant>
        <vt:i4>528600160</vt:i4>
      </vt:variant>
      <vt:variant>
        <vt:i4>257</vt:i4>
      </vt:variant>
      <vt:variant>
        <vt:i4>0</vt:i4>
      </vt:variant>
      <vt:variant>
        <vt:i4>5</vt:i4>
      </vt:variant>
      <vt:variant>
        <vt:lpwstr/>
      </vt:variant>
      <vt:variant>
        <vt:lpwstr>顺序编码制的示例</vt:lpwstr>
      </vt:variant>
      <vt:variant>
        <vt:i4>877446683</vt:i4>
      </vt:variant>
      <vt:variant>
        <vt:i4>254</vt:i4>
      </vt:variant>
      <vt:variant>
        <vt:i4>0</vt:i4>
      </vt:variant>
      <vt:variant>
        <vt:i4>5</vt:i4>
      </vt:variant>
      <vt:variant>
        <vt:lpwstr/>
      </vt:variant>
      <vt:variant>
        <vt:lpwstr>参考文献的著录方法（顺序编码制）</vt:lpwstr>
      </vt:variant>
      <vt:variant>
        <vt:i4>1135253227</vt:i4>
      </vt:variant>
      <vt:variant>
        <vt:i4>251</vt:i4>
      </vt:variant>
      <vt:variant>
        <vt:i4>0</vt:i4>
      </vt:variant>
      <vt:variant>
        <vt:i4>5</vt:i4>
      </vt:variant>
      <vt:variant>
        <vt:lpwstr/>
      </vt:variant>
      <vt:variant>
        <vt:lpwstr>毕业论文的样式</vt:lpwstr>
      </vt:variant>
      <vt:variant>
        <vt:i4>472577368</vt:i4>
      </vt:variant>
      <vt:variant>
        <vt:i4>248</vt:i4>
      </vt:variant>
      <vt:variant>
        <vt:i4>0</vt:i4>
      </vt:variant>
      <vt:variant>
        <vt:i4>5</vt:i4>
      </vt:variant>
      <vt:variant>
        <vt:lpwstr/>
      </vt:variant>
      <vt:variant>
        <vt:lpwstr>菜单的使用</vt:lpwstr>
      </vt:variant>
      <vt:variant>
        <vt:i4>379592030</vt:i4>
      </vt:variant>
      <vt:variant>
        <vt:i4>245</vt:i4>
      </vt:variant>
      <vt:variant>
        <vt:i4>0</vt:i4>
      </vt:variant>
      <vt:variant>
        <vt:i4>5</vt:i4>
      </vt:variant>
      <vt:variant>
        <vt:lpwstr/>
      </vt:variant>
      <vt:variant>
        <vt:lpwstr>关于选题报告各章节的标题</vt:lpwstr>
      </vt:variant>
      <vt:variant>
        <vt:i4>851766534</vt:i4>
      </vt:variant>
      <vt:variant>
        <vt:i4>242</vt:i4>
      </vt:variant>
      <vt:variant>
        <vt:i4>0</vt:i4>
      </vt:variant>
      <vt:variant>
        <vt:i4>5</vt:i4>
      </vt:variant>
      <vt:variant>
        <vt:lpwstr/>
      </vt:variant>
      <vt:variant>
        <vt:lpwstr>绝大多数情况，根据提示操作。</vt:lpwstr>
      </vt:variant>
      <vt:variant>
        <vt:i4>-1398297512</vt:i4>
      </vt:variant>
      <vt:variant>
        <vt:i4>239</vt:i4>
      </vt:variant>
      <vt:variant>
        <vt:i4>0</vt:i4>
      </vt:variant>
      <vt:variant>
        <vt:i4>5</vt:i4>
      </vt:variant>
      <vt:variant>
        <vt:lpwstr/>
      </vt:variant>
      <vt:variant>
        <vt:lpwstr>选题报告的基本制作方法</vt:lpwstr>
      </vt:variant>
      <vt:variant>
        <vt:i4>-1420393432</vt:i4>
      </vt:variant>
      <vt:variant>
        <vt:i4>236</vt:i4>
      </vt:variant>
      <vt:variant>
        <vt:i4>0</vt:i4>
      </vt:variant>
      <vt:variant>
        <vt:i4>5</vt:i4>
      </vt:variant>
      <vt:variant>
        <vt:lpwstr/>
      </vt:variant>
      <vt:variant>
        <vt:lpwstr>选题报告的构成</vt:lpwstr>
      </vt:variant>
      <vt:variant>
        <vt:i4>503198496</vt:i4>
      </vt:variant>
      <vt:variant>
        <vt:i4>233</vt:i4>
      </vt:variant>
      <vt:variant>
        <vt:i4>0</vt:i4>
      </vt:variant>
      <vt:variant>
        <vt:i4>5</vt:i4>
      </vt:variant>
      <vt:variant>
        <vt:lpwstr/>
      </vt:variant>
      <vt:variant>
        <vt:lpwstr>关于打印</vt:lpwstr>
      </vt:variant>
      <vt:variant>
        <vt:i4>1144165693</vt:i4>
      </vt:variant>
      <vt:variant>
        <vt:i4>220</vt:i4>
      </vt:variant>
      <vt:variant>
        <vt:i4>0</vt:i4>
      </vt:variant>
      <vt:variant>
        <vt:i4>5</vt:i4>
      </vt:variant>
      <vt:variant>
        <vt:lpwstr/>
      </vt:variant>
      <vt:variant>
        <vt:lpwstr>选题报告编制简要指南</vt:lpwstr>
      </vt:variant>
      <vt:variant>
        <vt:i4>2228232</vt:i4>
      </vt:variant>
      <vt:variant>
        <vt:i4>164</vt:i4>
      </vt:variant>
      <vt:variant>
        <vt:i4>0</vt:i4>
      </vt:variant>
      <vt:variant>
        <vt:i4>5</vt:i4>
      </vt:variant>
      <vt:variant>
        <vt:lpwstr/>
      </vt:variant>
      <vt:variant>
        <vt:lpwstr>_Toc5091441</vt:lpwstr>
      </vt:variant>
      <vt:variant>
        <vt:i4>2228232</vt:i4>
      </vt:variant>
      <vt:variant>
        <vt:i4>158</vt:i4>
      </vt:variant>
      <vt:variant>
        <vt:i4>0</vt:i4>
      </vt:variant>
      <vt:variant>
        <vt:i4>5</vt:i4>
      </vt:variant>
      <vt:variant>
        <vt:lpwstr/>
      </vt:variant>
      <vt:variant>
        <vt:lpwstr>_Toc5091440</vt:lpwstr>
      </vt:variant>
      <vt:variant>
        <vt:i4>2424840</vt:i4>
      </vt:variant>
      <vt:variant>
        <vt:i4>150</vt:i4>
      </vt:variant>
      <vt:variant>
        <vt:i4>0</vt:i4>
      </vt:variant>
      <vt:variant>
        <vt:i4>5</vt:i4>
      </vt:variant>
      <vt:variant>
        <vt:lpwstr/>
      </vt:variant>
      <vt:variant>
        <vt:lpwstr>_Toc5091439</vt:lpwstr>
      </vt:variant>
      <vt:variant>
        <vt:i4>2424840</vt:i4>
      </vt:variant>
      <vt:variant>
        <vt:i4>144</vt:i4>
      </vt:variant>
      <vt:variant>
        <vt:i4>0</vt:i4>
      </vt:variant>
      <vt:variant>
        <vt:i4>5</vt:i4>
      </vt:variant>
      <vt:variant>
        <vt:lpwstr/>
      </vt:variant>
      <vt:variant>
        <vt:lpwstr>_Toc5091438</vt:lpwstr>
      </vt:variant>
      <vt:variant>
        <vt:i4>2424840</vt:i4>
      </vt:variant>
      <vt:variant>
        <vt:i4>138</vt:i4>
      </vt:variant>
      <vt:variant>
        <vt:i4>0</vt:i4>
      </vt:variant>
      <vt:variant>
        <vt:i4>5</vt:i4>
      </vt:variant>
      <vt:variant>
        <vt:lpwstr/>
      </vt:variant>
      <vt:variant>
        <vt:lpwstr>_Toc5091437</vt:lpwstr>
      </vt:variant>
      <vt:variant>
        <vt:i4>2424840</vt:i4>
      </vt:variant>
      <vt:variant>
        <vt:i4>130</vt:i4>
      </vt:variant>
      <vt:variant>
        <vt:i4>0</vt:i4>
      </vt:variant>
      <vt:variant>
        <vt:i4>5</vt:i4>
      </vt:variant>
      <vt:variant>
        <vt:lpwstr/>
      </vt:variant>
      <vt:variant>
        <vt:lpwstr>_Toc5091436</vt:lpwstr>
      </vt:variant>
      <vt:variant>
        <vt:i4>2424840</vt:i4>
      </vt:variant>
      <vt:variant>
        <vt:i4>122</vt:i4>
      </vt:variant>
      <vt:variant>
        <vt:i4>0</vt:i4>
      </vt:variant>
      <vt:variant>
        <vt:i4>5</vt:i4>
      </vt:variant>
      <vt:variant>
        <vt:lpwstr/>
      </vt:variant>
      <vt:variant>
        <vt:lpwstr>_Toc5091435</vt:lpwstr>
      </vt:variant>
      <vt:variant>
        <vt:i4>2424840</vt:i4>
      </vt:variant>
      <vt:variant>
        <vt:i4>114</vt:i4>
      </vt:variant>
      <vt:variant>
        <vt:i4>0</vt:i4>
      </vt:variant>
      <vt:variant>
        <vt:i4>5</vt:i4>
      </vt:variant>
      <vt:variant>
        <vt:lpwstr/>
      </vt:variant>
      <vt:variant>
        <vt:lpwstr>_Toc5091434</vt:lpwstr>
      </vt:variant>
      <vt:variant>
        <vt:i4>2424840</vt:i4>
      </vt:variant>
      <vt:variant>
        <vt:i4>106</vt:i4>
      </vt:variant>
      <vt:variant>
        <vt:i4>0</vt:i4>
      </vt:variant>
      <vt:variant>
        <vt:i4>5</vt:i4>
      </vt:variant>
      <vt:variant>
        <vt:lpwstr/>
      </vt:variant>
      <vt:variant>
        <vt:lpwstr>_Toc5091433</vt:lpwstr>
      </vt:variant>
      <vt:variant>
        <vt:i4>2424840</vt:i4>
      </vt:variant>
      <vt:variant>
        <vt:i4>98</vt:i4>
      </vt:variant>
      <vt:variant>
        <vt:i4>0</vt:i4>
      </vt:variant>
      <vt:variant>
        <vt:i4>5</vt:i4>
      </vt:variant>
      <vt:variant>
        <vt:lpwstr/>
      </vt:variant>
      <vt:variant>
        <vt:lpwstr>_Toc5091432</vt:lpwstr>
      </vt:variant>
      <vt:variant>
        <vt:i4>2424840</vt:i4>
      </vt:variant>
      <vt:variant>
        <vt:i4>90</vt:i4>
      </vt:variant>
      <vt:variant>
        <vt:i4>0</vt:i4>
      </vt:variant>
      <vt:variant>
        <vt:i4>5</vt:i4>
      </vt:variant>
      <vt:variant>
        <vt:lpwstr/>
      </vt:variant>
      <vt:variant>
        <vt:lpwstr>_Toc5091431</vt:lpwstr>
      </vt:variant>
      <vt:variant>
        <vt:i4>2424840</vt:i4>
      </vt:variant>
      <vt:variant>
        <vt:i4>82</vt:i4>
      </vt:variant>
      <vt:variant>
        <vt:i4>0</vt:i4>
      </vt:variant>
      <vt:variant>
        <vt:i4>5</vt:i4>
      </vt:variant>
      <vt:variant>
        <vt:lpwstr/>
      </vt:variant>
      <vt:variant>
        <vt:lpwstr>_Toc5091430</vt:lpwstr>
      </vt:variant>
      <vt:variant>
        <vt:i4>2359304</vt:i4>
      </vt:variant>
      <vt:variant>
        <vt:i4>74</vt:i4>
      </vt:variant>
      <vt:variant>
        <vt:i4>0</vt:i4>
      </vt:variant>
      <vt:variant>
        <vt:i4>5</vt:i4>
      </vt:variant>
      <vt:variant>
        <vt:lpwstr/>
      </vt:variant>
      <vt:variant>
        <vt:lpwstr>_Toc5091429</vt:lpwstr>
      </vt:variant>
      <vt:variant>
        <vt:i4>2359304</vt:i4>
      </vt:variant>
      <vt:variant>
        <vt:i4>68</vt:i4>
      </vt:variant>
      <vt:variant>
        <vt:i4>0</vt:i4>
      </vt:variant>
      <vt:variant>
        <vt:i4>5</vt:i4>
      </vt:variant>
      <vt:variant>
        <vt:lpwstr/>
      </vt:variant>
      <vt:variant>
        <vt:lpwstr>_Toc5091428</vt:lpwstr>
      </vt:variant>
      <vt:variant>
        <vt:i4>2359304</vt:i4>
      </vt:variant>
      <vt:variant>
        <vt:i4>62</vt:i4>
      </vt:variant>
      <vt:variant>
        <vt:i4>0</vt:i4>
      </vt:variant>
      <vt:variant>
        <vt:i4>5</vt:i4>
      </vt:variant>
      <vt:variant>
        <vt:lpwstr/>
      </vt:variant>
      <vt:variant>
        <vt:lpwstr>_Toc5091427</vt:lpwstr>
      </vt:variant>
      <vt:variant>
        <vt:i4>2359304</vt:i4>
      </vt:variant>
      <vt:variant>
        <vt:i4>56</vt:i4>
      </vt:variant>
      <vt:variant>
        <vt:i4>0</vt:i4>
      </vt:variant>
      <vt:variant>
        <vt:i4>5</vt:i4>
      </vt:variant>
      <vt:variant>
        <vt:lpwstr/>
      </vt:variant>
      <vt:variant>
        <vt:lpwstr>_Toc5091426</vt:lpwstr>
      </vt:variant>
      <vt:variant>
        <vt:i4>2359304</vt:i4>
      </vt:variant>
      <vt:variant>
        <vt:i4>50</vt:i4>
      </vt:variant>
      <vt:variant>
        <vt:i4>0</vt:i4>
      </vt:variant>
      <vt:variant>
        <vt:i4>5</vt:i4>
      </vt:variant>
      <vt:variant>
        <vt:lpwstr/>
      </vt:variant>
      <vt:variant>
        <vt:lpwstr>_Toc5091425</vt:lpwstr>
      </vt:variant>
      <vt:variant>
        <vt:i4>2359304</vt:i4>
      </vt:variant>
      <vt:variant>
        <vt:i4>44</vt:i4>
      </vt:variant>
      <vt:variant>
        <vt:i4>0</vt:i4>
      </vt:variant>
      <vt:variant>
        <vt:i4>5</vt:i4>
      </vt:variant>
      <vt:variant>
        <vt:lpwstr/>
      </vt:variant>
      <vt:variant>
        <vt:lpwstr>_Toc5091424</vt:lpwstr>
      </vt:variant>
      <vt:variant>
        <vt:i4>-141841182</vt:i4>
      </vt:variant>
      <vt:variant>
        <vt:i4>10</vt:i4>
      </vt:variant>
      <vt:variant>
        <vt:i4>0</vt:i4>
      </vt:variant>
      <vt:variant>
        <vt:i4>5</vt:i4>
      </vt:variant>
      <vt:variant>
        <vt:lpwstr>C:\Users\admin\AppData\Roaming\！工作目录\论文模版\！博士论文模版\USTB博士学位论文规范及论文制作指南.exe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dc:creator>
  <cp:keywords/>
  <cp:lastModifiedBy>浩 赵</cp:lastModifiedBy>
  <cp:revision>2</cp:revision>
  <cp:lastPrinted>2016-03-13T17:46:00Z</cp:lastPrinted>
  <dcterms:created xsi:type="dcterms:W3CDTF">2026-09-25T02:14:00Z</dcterms:created>
  <dcterms:modified xsi:type="dcterms:W3CDTF">2026-09-25T02:14:00Z</dcterms:modified>
</cp:coreProperties>
</file>