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DB98F" w14:textId="77777777" w:rsidR="002617F2" w:rsidRDefault="00000000" w:rsidP="004D6CD0">
      <w:pPr>
        <w:pStyle w:val="Heading1"/>
        <w:numPr>
          <w:ilvl w:val="0"/>
          <w:numId w:val="0"/>
        </w:numPr>
        <w:ind w:left="360"/>
      </w:pPr>
      <w:r w:rsidRPr="004D6CD0">
        <w:rPr>
          <w:highlight w:val="yellow"/>
        </w:rPr>
        <w:t>Correlation Results: Cumulative Death Analysis</w:t>
      </w:r>
    </w:p>
    <w:p w14:paraId="62347A3D" w14:textId="77777777" w:rsidR="002617F2" w:rsidRDefault="00000000" w:rsidP="004D6CD0">
      <w:pPr>
        <w:pStyle w:val="Heading2"/>
        <w:numPr>
          <w:ilvl w:val="0"/>
          <w:numId w:val="0"/>
        </w:numPr>
        <w:ind w:left="792"/>
      </w:pPr>
      <w:r w:rsidRPr="004D6CD0">
        <w:rPr>
          <w:highlight w:val="yellow"/>
        </w:rPr>
        <w:t>Table 1</w:t>
      </w:r>
      <w:r>
        <w:t>. Hesitancy Rate vs Cumulative Death Rate</w:t>
      </w:r>
    </w:p>
    <w:tbl>
      <w:tblPr>
        <w:tblW w:w="0" w:type="auto"/>
        <w:jc w:val="center"/>
        <w:tblLayout w:type="fixed"/>
        <w:tblLook w:val="0420" w:firstRow="1" w:lastRow="0" w:firstColumn="0" w:lastColumn="0" w:noHBand="0" w:noVBand="1"/>
      </w:tblPr>
      <w:tblGrid>
        <w:gridCol w:w="1902"/>
        <w:gridCol w:w="1487"/>
        <w:gridCol w:w="1450"/>
        <w:gridCol w:w="1206"/>
        <w:gridCol w:w="2147"/>
      </w:tblGrid>
      <w:tr w:rsidR="002617F2" w14:paraId="5C87D2B8" w14:textId="77777777">
        <w:trPr>
          <w:tblHeader/>
          <w:jc w:val="center"/>
        </w:trPr>
        <w:tc>
          <w:tcPr>
            <w:tcW w:w="190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426774"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Variable</w:t>
            </w:r>
          </w:p>
        </w:tc>
        <w:tc>
          <w:tcPr>
            <w:tcW w:w="148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879932"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Correlation</w:t>
            </w:r>
          </w:p>
        </w:tc>
        <w:tc>
          <w:tcPr>
            <w:tcW w:w="14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0CD4A7"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CI_95</w:t>
            </w:r>
          </w:p>
        </w:tc>
        <w:tc>
          <w:tcPr>
            <w:tcW w:w="12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46DB10"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roofErr w:type="spellStart"/>
            <w:r>
              <w:rPr>
                <w:rFonts w:ascii="Arial" w:eastAsia="Arial" w:hAnsi="Arial" w:cs="Arial"/>
                <w:color w:val="000000"/>
                <w:sz w:val="22"/>
                <w:szCs w:val="22"/>
              </w:rPr>
              <w:t>P_value</w:t>
            </w:r>
            <w:proofErr w:type="spellEnd"/>
          </w:p>
        </w:tc>
        <w:tc>
          <w:tcPr>
            <w:tcW w:w="214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4EF131"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Interpretation</w:t>
            </w:r>
          </w:p>
        </w:tc>
      </w:tr>
      <w:tr w:rsidR="002617F2" w14:paraId="14E9EF88" w14:textId="77777777">
        <w:trPr>
          <w:jc w:val="center"/>
        </w:trPr>
        <w:tc>
          <w:tcPr>
            <w:tcW w:w="190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ABC897"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Hesitancy Rate</w:t>
            </w:r>
          </w:p>
        </w:tc>
        <w:tc>
          <w:tcPr>
            <w:tcW w:w="148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3B2A57"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0.37</w:t>
            </w:r>
          </w:p>
        </w:tc>
        <w:tc>
          <w:tcPr>
            <w:tcW w:w="14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D40B24"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0.34 to 0.4</w:t>
            </w:r>
          </w:p>
        </w:tc>
        <w:tc>
          <w:tcPr>
            <w:tcW w:w="12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BC657B"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214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8DEDD6"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Moderate positive</w:t>
            </w:r>
          </w:p>
        </w:tc>
      </w:tr>
    </w:tbl>
    <w:p w14:paraId="6D96DE24" w14:textId="77777777" w:rsidR="002617F2" w:rsidRDefault="002617F2"/>
    <w:p w14:paraId="7DDDA85E" w14:textId="77777777" w:rsidR="004D6CD0" w:rsidRDefault="004D6CD0"/>
    <w:p w14:paraId="724BE044" w14:textId="41D9696B" w:rsidR="004D6CD0" w:rsidRPr="004D6CD0" w:rsidRDefault="004D6CD0" w:rsidP="004D6CD0">
      <w:pPr>
        <w:pStyle w:val="ListParagraph"/>
        <w:numPr>
          <w:ilvl w:val="0"/>
          <w:numId w:val="6"/>
        </w:numPr>
        <w:rPr>
          <w:rFonts w:asciiTheme="minorBidi" w:hAnsiTheme="minorBidi"/>
          <w:sz w:val="22"/>
          <w:szCs w:val="22"/>
          <w:lang w:val="en-AE"/>
        </w:rPr>
      </w:pPr>
      <w:r w:rsidRPr="004D6CD0">
        <w:rPr>
          <w:rFonts w:asciiTheme="minorBidi" w:hAnsiTheme="minorBidi"/>
          <w:sz w:val="22"/>
          <w:szCs w:val="22"/>
          <w:lang w:val="en-AE"/>
        </w:rPr>
        <w:t xml:space="preserve">Moderate positive correlation between vaccine hesitancy and mortality (r = 0.37, p &lt; 0.001) </w:t>
      </w:r>
    </w:p>
    <w:p w14:paraId="63E7824B" w14:textId="2840FC57" w:rsidR="004D6CD0" w:rsidRPr="004D6CD0" w:rsidRDefault="004D6CD0" w:rsidP="004D6CD0">
      <w:pPr>
        <w:pStyle w:val="ListParagraph"/>
        <w:numPr>
          <w:ilvl w:val="0"/>
          <w:numId w:val="6"/>
        </w:numPr>
        <w:rPr>
          <w:rFonts w:asciiTheme="minorBidi" w:hAnsiTheme="minorBidi"/>
          <w:sz w:val="22"/>
          <w:szCs w:val="22"/>
          <w:lang w:val="en-AE"/>
        </w:rPr>
      </w:pPr>
      <w:r w:rsidRPr="004D6CD0">
        <w:rPr>
          <w:rFonts w:asciiTheme="minorBidi" w:hAnsiTheme="minorBidi"/>
          <w:sz w:val="22"/>
          <w:szCs w:val="22"/>
          <w:lang w:val="en-AE"/>
        </w:rPr>
        <w:t xml:space="preserve">Counties with higher hesitancy tend to have higher cumulative death rates </w:t>
      </w:r>
    </w:p>
    <w:p w14:paraId="437E5F2C" w14:textId="6CD3C3BB" w:rsidR="004D6CD0" w:rsidRPr="004D6CD0" w:rsidRDefault="004D6CD0" w:rsidP="004D6CD0">
      <w:pPr>
        <w:pStyle w:val="ListParagraph"/>
        <w:numPr>
          <w:ilvl w:val="0"/>
          <w:numId w:val="6"/>
        </w:numPr>
        <w:rPr>
          <w:rFonts w:asciiTheme="minorBidi" w:hAnsiTheme="minorBidi"/>
          <w:sz w:val="22"/>
          <w:szCs w:val="22"/>
          <w:lang w:val="en-AE"/>
        </w:rPr>
      </w:pPr>
      <w:r w:rsidRPr="004D6CD0">
        <w:rPr>
          <w:rFonts w:asciiTheme="minorBidi" w:hAnsiTheme="minorBidi"/>
          <w:sz w:val="22"/>
          <w:szCs w:val="22"/>
          <w:lang w:val="en-AE"/>
        </w:rPr>
        <w:t xml:space="preserve">Relationship is statistically significant across counties </w:t>
      </w:r>
    </w:p>
    <w:p w14:paraId="4B2BFE83" w14:textId="49C5978C" w:rsidR="004D6CD0" w:rsidRPr="004D6CD0" w:rsidRDefault="004D6CD0" w:rsidP="004D6CD0">
      <w:pPr>
        <w:pStyle w:val="ListParagraph"/>
        <w:numPr>
          <w:ilvl w:val="0"/>
          <w:numId w:val="6"/>
        </w:numPr>
        <w:rPr>
          <w:rFonts w:asciiTheme="minorBidi" w:hAnsiTheme="minorBidi"/>
          <w:sz w:val="22"/>
          <w:szCs w:val="22"/>
        </w:rPr>
      </w:pPr>
      <w:r w:rsidRPr="004D6CD0">
        <w:rPr>
          <w:rFonts w:asciiTheme="minorBidi" w:hAnsiTheme="minorBidi"/>
          <w:sz w:val="22"/>
          <w:szCs w:val="22"/>
          <w:lang w:val="en-AE"/>
        </w:rPr>
        <w:t>Represents a population-level association, not causation</w:t>
      </w:r>
    </w:p>
    <w:p w14:paraId="67E951A5" w14:textId="77777777" w:rsidR="004D6CD0" w:rsidRDefault="004D6CD0" w:rsidP="004D6CD0">
      <w:pPr>
        <w:pStyle w:val="ListParagraph"/>
        <w:rPr>
          <w:rFonts w:asciiTheme="minorBidi" w:hAnsiTheme="minorBidi"/>
          <w:sz w:val="22"/>
          <w:szCs w:val="22"/>
          <w:lang w:val="en-AE"/>
        </w:rPr>
      </w:pPr>
    </w:p>
    <w:p w14:paraId="55C57A9B" w14:textId="0947DA18" w:rsidR="004D6CD0" w:rsidRPr="004D6CD0" w:rsidRDefault="004D6CD0" w:rsidP="004D6CD0">
      <w:pPr>
        <w:rPr>
          <w:rFonts w:asciiTheme="minorBidi" w:hAnsiTheme="minorBidi"/>
          <w:sz w:val="22"/>
          <w:szCs w:val="22"/>
        </w:rPr>
      </w:pPr>
      <w:r w:rsidRPr="004D6CD0">
        <w:rPr>
          <w:rFonts w:asciiTheme="minorBidi" w:hAnsiTheme="minorBidi"/>
          <w:sz w:val="22"/>
          <w:szCs w:val="22"/>
        </w:rPr>
        <w:t>This relationship indicates that vaccine attitudes at the population level are meaningfully related to differences in mortality outcomes, although causation cannot be inferred.</w:t>
      </w:r>
    </w:p>
    <w:p w14:paraId="494815A0" w14:textId="77777777" w:rsidR="004D6CD0" w:rsidRDefault="004D6CD0">
      <w:pPr>
        <w:pBdr>
          <w:bottom w:val="single" w:sz="12" w:space="1" w:color="auto"/>
        </w:pBdr>
      </w:pPr>
    </w:p>
    <w:p w14:paraId="3BFE2B21" w14:textId="77777777" w:rsidR="004D6CD0" w:rsidRDefault="004D6CD0"/>
    <w:p w14:paraId="2CDAE8FF" w14:textId="77777777" w:rsidR="004D6CD0" w:rsidRDefault="004D6CD0"/>
    <w:p w14:paraId="4FD4EB96" w14:textId="77777777" w:rsidR="002617F2" w:rsidRDefault="00000000" w:rsidP="004D6CD0">
      <w:pPr>
        <w:pStyle w:val="Heading2"/>
        <w:numPr>
          <w:ilvl w:val="0"/>
          <w:numId w:val="0"/>
        </w:numPr>
        <w:ind w:left="792"/>
      </w:pPr>
      <w:r w:rsidRPr="004D6CD0">
        <w:rPr>
          <w:highlight w:val="yellow"/>
        </w:rPr>
        <w:t>Table 2</w:t>
      </w:r>
      <w:r>
        <w:t>. Social Determinants of Health vs Cumulative Death Rate</w:t>
      </w:r>
    </w:p>
    <w:tbl>
      <w:tblPr>
        <w:tblW w:w="0" w:type="auto"/>
        <w:jc w:val="center"/>
        <w:tblLayout w:type="fixed"/>
        <w:tblLook w:val="0420" w:firstRow="1" w:lastRow="0" w:firstColumn="0" w:lastColumn="0" w:noHBand="0" w:noVBand="1"/>
      </w:tblPr>
      <w:tblGrid>
        <w:gridCol w:w="2967"/>
        <w:gridCol w:w="1487"/>
        <w:gridCol w:w="1719"/>
        <w:gridCol w:w="1206"/>
        <w:gridCol w:w="2331"/>
      </w:tblGrid>
      <w:tr w:rsidR="002617F2" w14:paraId="6DEA20F0" w14:textId="77777777">
        <w:trPr>
          <w:tblHeader/>
          <w:jc w:val="center"/>
        </w:trPr>
        <w:tc>
          <w:tcPr>
            <w:tcW w:w="29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5EB189"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Variable</w:t>
            </w:r>
          </w:p>
        </w:tc>
        <w:tc>
          <w:tcPr>
            <w:tcW w:w="148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CD98A7"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Correlation</w:t>
            </w:r>
          </w:p>
        </w:tc>
        <w:tc>
          <w:tcPr>
            <w:tcW w:w="171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662E3D"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CI_95</w:t>
            </w:r>
          </w:p>
        </w:tc>
        <w:tc>
          <w:tcPr>
            <w:tcW w:w="12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089F64"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roofErr w:type="spellStart"/>
            <w:r>
              <w:rPr>
                <w:rFonts w:ascii="Arial" w:eastAsia="Arial" w:hAnsi="Arial" w:cs="Arial"/>
                <w:color w:val="000000"/>
                <w:sz w:val="22"/>
                <w:szCs w:val="22"/>
              </w:rPr>
              <w:t>P_value</w:t>
            </w:r>
            <w:proofErr w:type="spellEnd"/>
          </w:p>
        </w:tc>
        <w:tc>
          <w:tcPr>
            <w:tcW w:w="23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D7B93D"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Interpretation</w:t>
            </w:r>
          </w:p>
        </w:tc>
      </w:tr>
      <w:tr w:rsidR="002617F2" w14:paraId="5839F564" w14:textId="77777777">
        <w:trPr>
          <w:jc w:val="center"/>
        </w:trPr>
        <w:tc>
          <w:tcPr>
            <w:tcW w:w="29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E97D7"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Aged 65+</w:t>
            </w:r>
          </w:p>
        </w:tc>
        <w:tc>
          <w:tcPr>
            <w:tcW w:w="148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3E84D"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0.21</w:t>
            </w:r>
          </w:p>
        </w:tc>
        <w:tc>
          <w:tcPr>
            <w:tcW w:w="171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3999A"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0.17 to 0.24</w:t>
            </w:r>
          </w:p>
        </w:tc>
        <w:tc>
          <w:tcPr>
            <w:tcW w:w="12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89BAA"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23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87FC2"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Weak positive</w:t>
            </w:r>
          </w:p>
        </w:tc>
      </w:tr>
      <w:tr w:rsidR="002617F2" w14:paraId="7986757E" w14:textId="77777777">
        <w:trPr>
          <w:jc w:val="center"/>
        </w:trPr>
        <w:tc>
          <w:tcPr>
            <w:tcW w:w="2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7D4D8"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Crowding</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D424D"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-0.03</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56A06"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-0.06 to 0.01</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1514E"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0.094</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8F11B"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Very weak negative</w:t>
            </w:r>
          </w:p>
        </w:tc>
      </w:tr>
      <w:tr w:rsidR="002617F2" w14:paraId="646DA053" w14:textId="77777777">
        <w:trPr>
          <w:jc w:val="center"/>
        </w:trPr>
        <w:tc>
          <w:tcPr>
            <w:tcW w:w="2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65710"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Housing Cost Burden</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6D70F"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-0.12</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5108D"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-0.16 to -0.09</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8AA3F"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7EF20"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Weak negative</w:t>
            </w:r>
          </w:p>
        </w:tc>
      </w:tr>
      <w:tr w:rsidR="002617F2" w14:paraId="65BD10F1" w14:textId="77777777">
        <w:trPr>
          <w:jc w:val="center"/>
        </w:trPr>
        <w:tc>
          <w:tcPr>
            <w:tcW w:w="2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C7A2D"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Broadband</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7EB02"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0.47</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FA3AF"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0.44 to 0.5</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7695B"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1C0C4"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Moderate positive</w:t>
            </w:r>
          </w:p>
        </w:tc>
      </w:tr>
      <w:tr w:rsidR="002617F2" w14:paraId="2B32BB98" w14:textId="77777777">
        <w:trPr>
          <w:jc w:val="center"/>
        </w:trPr>
        <w:tc>
          <w:tcPr>
            <w:tcW w:w="2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FE36A"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No High School Diploma</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428A2"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0.40</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7A17F"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0.37 to 0.43</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B6C64"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9F758"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Moderate positive</w:t>
            </w:r>
          </w:p>
        </w:tc>
      </w:tr>
      <w:tr w:rsidR="002617F2" w14:paraId="34431D77" w14:textId="77777777">
        <w:trPr>
          <w:jc w:val="center"/>
        </w:trPr>
        <w:tc>
          <w:tcPr>
            <w:tcW w:w="2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37AC7"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Poverty</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A05DA"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0.45</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F42B4"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0.42 to 0.48</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ECA50"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40727"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Moderate positive</w:t>
            </w:r>
          </w:p>
        </w:tc>
      </w:tr>
      <w:tr w:rsidR="002617F2" w14:paraId="48DF9C6A" w14:textId="77777777">
        <w:trPr>
          <w:jc w:val="center"/>
        </w:trPr>
        <w:tc>
          <w:tcPr>
            <w:tcW w:w="2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E1DD9"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Minority Status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BC97A"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0.06</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D1746"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0.03 to 0.1</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2BCFC"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8E040"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Very weak positive</w:t>
            </w:r>
          </w:p>
        </w:tc>
      </w:tr>
      <w:tr w:rsidR="002617F2" w14:paraId="1A8876E9" w14:textId="77777777">
        <w:trPr>
          <w:jc w:val="center"/>
        </w:trPr>
        <w:tc>
          <w:tcPr>
            <w:tcW w:w="2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06BF2"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Single-Parent Households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9E9CB"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0.16</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B0A80"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0.13 to 0.19</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ED712"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DB012"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Weak positive</w:t>
            </w:r>
          </w:p>
        </w:tc>
      </w:tr>
      <w:tr w:rsidR="002617F2" w14:paraId="2E7F9D74" w14:textId="77777777">
        <w:trPr>
          <w:jc w:val="center"/>
        </w:trPr>
        <w:tc>
          <w:tcPr>
            <w:tcW w:w="29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46905B"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Unemployment</w:t>
            </w:r>
          </w:p>
        </w:tc>
        <w:tc>
          <w:tcPr>
            <w:tcW w:w="148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1CA004"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0.15</w:t>
            </w:r>
          </w:p>
        </w:tc>
        <w:tc>
          <w:tcPr>
            <w:tcW w:w="171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3392B2"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0.11 to 0.18</w:t>
            </w:r>
          </w:p>
        </w:tc>
        <w:tc>
          <w:tcPr>
            <w:tcW w:w="12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8F8557"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23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FB29CE" w14:textId="77777777" w:rsidR="002617F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Weak positive</w:t>
            </w:r>
          </w:p>
        </w:tc>
      </w:tr>
    </w:tbl>
    <w:p w14:paraId="70C827E8" w14:textId="77777777" w:rsidR="00000000" w:rsidRDefault="00000000"/>
    <w:p w14:paraId="3E81A836" w14:textId="4B386A90" w:rsidR="004D6CD0" w:rsidRPr="004D6CD0" w:rsidRDefault="004D6CD0" w:rsidP="004D6CD0">
      <w:pPr>
        <w:pStyle w:val="ListParagraph"/>
        <w:numPr>
          <w:ilvl w:val="0"/>
          <w:numId w:val="8"/>
        </w:numPr>
        <w:rPr>
          <w:rFonts w:asciiTheme="minorBidi" w:hAnsiTheme="minorBidi"/>
          <w:sz w:val="22"/>
          <w:szCs w:val="22"/>
          <w:lang w:val="en-AE"/>
        </w:rPr>
      </w:pPr>
      <w:r w:rsidRPr="004D6CD0">
        <w:rPr>
          <w:rFonts w:asciiTheme="minorBidi" w:hAnsiTheme="minorBidi"/>
          <w:sz w:val="22"/>
          <w:szCs w:val="22"/>
          <w:lang w:val="en-AE"/>
        </w:rPr>
        <w:t xml:space="preserve">Strongest positive associations: </w:t>
      </w:r>
    </w:p>
    <w:p w14:paraId="0F1EEBE6" w14:textId="77777777" w:rsidR="004D6CD0" w:rsidRPr="004D6CD0" w:rsidRDefault="004D6CD0" w:rsidP="004D6CD0">
      <w:pPr>
        <w:ind w:left="720"/>
        <w:rPr>
          <w:rFonts w:asciiTheme="minorBidi" w:hAnsiTheme="minorBidi"/>
          <w:sz w:val="22"/>
          <w:szCs w:val="22"/>
          <w:lang w:val="en-AE"/>
        </w:rPr>
      </w:pPr>
      <w:r w:rsidRPr="004D6CD0">
        <w:rPr>
          <w:rFonts w:asciiTheme="minorBidi" w:hAnsiTheme="minorBidi"/>
          <w:sz w:val="22"/>
          <w:szCs w:val="22"/>
          <w:lang w:val="en-AE"/>
        </w:rPr>
        <w:t xml:space="preserve">No broadband (r = 0.47), Poverty (r = 0.45), Low education (r = 0.40) </w:t>
      </w:r>
    </w:p>
    <w:p w14:paraId="304C8696" w14:textId="4553FFD1" w:rsidR="004D6CD0" w:rsidRPr="004D6CD0" w:rsidRDefault="004D6CD0" w:rsidP="004D6CD0">
      <w:pPr>
        <w:pStyle w:val="ListParagraph"/>
        <w:numPr>
          <w:ilvl w:val="0"/>
          <w:numId w:val="8"/>
        </w:numPr>
        <w:rPr>
          <w:rFonts w:asciiTheme="minorBidi" w:hAnsiTheme="minorBidi"/>
          <w:sz w:val="22"/>
          <w:szCs w:val="22"/>
          <w:lang w:val="en-AE"/>
        </w:rPr>
      </w:pPr>
      <w:r w:rsidRPr="004D6CD0">
        <w:rPr>
          <w:rFonts w:asciiTheme="minorBidi" w:hAnsiTheme="minorBidi"/>
          <w:sz w:val="22"/>
          <w:szCs w:val="22"/>
          <w:lang w:val="en-AE"/>
        </w:rPr>
        <w:t xml:space="preserve">These suggest higher mortality in more socioeconomically disadvantaged counties </w:t>
      </w:r>
    </w:p>
    <w:p w14:paraId="02D3EC88" w14:textId="28E3BBD3" w:rsidR="004D6CD0" w:rsidRPr="004D6CD0" w:rsidRDefault="004D6CD0" w:rsidP="004D6CD0">
      <w:pPr>
        <w:pStyle w:val="ListParagraph"/>
        <w:numPr>
          <w:ilvl w:val="0"/>
          <w:numId w:val="8"/>
        </w:numPr>
        <w:rPr>
          <w:rFonts w:asciiTheme="minorBidi" w:hAnsiTheme="minorBidi"/>
          <w:sz w:val="22"/>
          <w:szCs w:val="22"/>
          <w:lang w:val="en-AE"/>
        </w:rPr>
      </w:pPr>
      <w:r w:rsidRPr="004D6CD0">
        <w:rPr>
          <w:rFonts w:asciiTheme="minorBidi" w:hAnsiTheme="minorBidi"/>
          <w:sz w:val="22"/>
          <w:szCs w:val="22"/>
          <w:lang w:val="en-AE"/>
        </w:rPr>
        <w:t xml:space="preserve">Most SDOH variables show positive but weaker associations (e.g., unemployment, single-parent households) </w:t>
      </w:r>
    </w:p>
    <w:p w14:paraId="24906E98" w14:textId="048F829D" w:rsidR="004D6CD0" w:rsidRPr="004D6CD0" w:rsidRDefault="004D6CD0" w:rsidP="004D6CD0">
      <w:pPr>
        <w:pStyle w:val="ListParagraph"/>
        <w:numPr>
          <w:ilvl w:val="0"/>
          <w:numId w:val="8"/>
        </w:numPr>
        <w:rPr>
          <w:rFonts w:asciiTheme="minorBidi" w:hAnsiTheme="minorBidi"/>
          <w:sz w:val="22"/>
          <w:szCs w:val="22"/>
        </w:rPr>
      </w:pPr>
      <w:r w:rsidRPr="004D6CD0">
        <w:rPr>
          <w:rFonts w:asciiTheme="minorBidi" w:hAnsiTheme="minorBidi"/>
          <w:sz w:val="22"/>
          <w:szCs w:val="22"/>
          <w:lang w:val="en-AE"/>
        </w:rPr>
        <w:t>Some variables differ: crowding not significant; housing cost burden shows a weak negative association</w:t>
      </w:r>
    </w:p>
    <w:p w14:paraId="644D54C2" w14:textId="77777777" w:rsidR="004D6CD0" w:rsidRDefault="004D6CD0" w:rsidP="004D6CD0">
      <w:pPr>
        <w:ind w:left="360"/>
        <w:rPr>
          <w:rFonts w:asciiTheme="minorBidi" w:hAnsiTheme="minorBidi"/>
          <w:sz w:val="22"/>
          <w:szCs w:val="22"/>
        </w:rPr>
      </w:pPr>
    </w:p>
    <w:p w14:paraId="3E6F5E66" w14:textId="3B8AD7A8" w:rsidR="004D6CD0" w:rsidRDefault="004D6CD0" w:rsidP="004D6CD0">
      <w:pPr>
        <w:ind w:left="360"/>
        <w:rPr>
          <w:rFonts w:asciiTheme="minorBidi" w:hAnsiTheme="minorBidi"/>
          <w:sz w:val="22"/>
          <w:szCs w:val="22"/>
        </w:rPr>
      </w:pPr>
      <w:r w:rsidRPr="004D6CD0">
        <w:rPr>
          <w:rFonts w:asciiTheme="minorBidi" w:hAnsiTheme="minorBidi"/>
          <w:sz w:val="22"/>
          <w:szCs w:val="22"/>
        </w:rPr>
        <w:t>Structural disadvantage indicators—particularly access to resources (internet, education, income)—appear to be more strongly related to mortality than other social factors.</w:t>
      </w:r>
    </w:p>
    <w:p w14:paraId="2D4B0FC7" w14:textId="77777777" w:rsidR="004D6CD0" w:rsidRDefault="004D6CD0" w:rsidP="004D6CD0">
      <w:pPr>
        <w:pBdr>
          <w:bottom w:val="single" w:sz="12" w:space="1" w:color="auto"/>
        </w:pBdr>
        <w:ind w:left="360"/>
        <w:rPr>
          <w:rFonts w:asciiTheme="minorBidi" w:hAnsiTheme="minorBidi"/>
          <w:sz w:val="22"/>
          <w:szCs w:val="22"/>
        </w:rPr>
      </w:pPr>
    </w:p>
    <w:p w14:paraId="7886AEB4" w14:textId="77777777" w:rsidR="004D6CD0" w:rsidRDefault="004D6CD0" w:rsidP="004D6CD0">
      <w:pPr>
        <w:ind w:left="360"/>
        <w:rPr>
          <w:rFonts w:asciiTheme="minorBidi" w:hAnsiTheme="minorBidi"/>
          <w:sz w:val="22"/>
          <w:szCs w:val="22"/>
        </w:rPr>
      </w:pPr>
    </w:p>
    <w:p w14:paraId="46D14EA0" w14:textId="5ECE82AE" w:rsidR="004D6CD0" w:rsidRDefault="004D6CD0" w:rsidP="004D6CD0">
      <w:pPr>
        <w:pStyle w:val="Heading1"/>
        <w:numPr>
          <w:ilvl w:val="0"/>
          <w:numId w:val="0"/>
        </w:numPr>
        <w:ind w:left="360"/>
        <w:rPr>
          <w:highlight w:val="yellow"/>
        </w:rPr>
      </w:pPr>
      <w:r w:rsidRPr="004D6CD0">
        <w:rPr>
          <w:highlight w:val="yellow"/>
        </w:rPr>
        <w:t>Two predictor regression (hesitancy + SDOH = Cumulative death)</w:t>
      </w:r>
    </w:p>
    <w:p w14:paraId="19D35588" w14:textId="77777777" w:rsidR="004D6CD0" w:rsidRDefault="004D6CD0" w:rsidP="004D6CD0">
      <w:pPr>
        <w:rPr>
          <w:highlight w:val="yellow"/>
        </w:rPr>
      </w:pPr>
    </w:p>
    <w:p w14:paraId="16E25063" w14:textId="77777777" w:rsidR="004D6CD0" w:rsidRDefault="004D6CD0" w:rsidP="004D6CD0">
      <w:pPr>
        <w:rPr>
          <w:highlight w:val="yellow"/>
        </w:rPr>
      </w:pPr>
    </w:p>
    <w:p w14:paraId="725075B9" w14:textId="77777777" w:rsidR="004D6CD0" w:rsidRDefault="004D6CD0" w:rsidP="004D6CD0">
      <w:pPr>
        <w:pStyle w:val="Heading1"/>
      </w:pPr>
      <w:r>
        <w:t>Table 3. Two-Predictor Models for Cumulative Death Rate</w:t>
      </w:r>
    </w:p>
    <w:p w14:paraId="13C12FEC" w14:textId="77777777" w:rsidR="004D6CD0" w:rsidRDefault="004D6CD0" w:rsidP="004D6CD0">
      <w:r>
        <w:t>Each model includes Hesitancy Rate and one SDOH variable as correlates of cumulative death rate.</w:t>
      </w:r>
    </w:p>
    <w:tbl>
      <w:tblPr>
        <w:tblW w:w="0" w:type="auto"/>
        <w:jc w:val="center"/>
        <w:tblLayout w:type="fixed"/>
        <w:tblLook w:val="0420" w:firstRow="1" w:lastRow="0" w:firstColumn="0" w:lastColumn="0" w:noHBand="0" w:noVBand="1"/>
      </w:tblPr>
      <w:tblGrid>
        <w:gridCol w:w="2967"/>
        <w:gridCol w:w="1952"/>
        <w:gridCol w:w="1646"/>
        <w:gridCol w:w="1621"/>
        <w:gridCol w:w="1315"/>
        <w:gridCol w:w="1487"/>
        <w:gridCol w:w="2465"/>
      </w:tblGrid>
      <w:tr w:rsidR="004D6CD0" w14:paraId="72689F7F" w14:textId="77777777" w:rsidTr="00A6202F">
        <w:trPr>
          <w:tblHeader/>
          <w:jc w:val="center"/>
        </w:trPr>
        <w:tc>
          <w:tcPr>
            <w:tcW w:w="29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5831FE"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roofErr w:type="spellStart"/>
            <w:r>
              <w:rPr>
                <w:rFonts w:ascii="Arial" w:eastAsia="Arial" w:hAnsi="Arial" w:cs="Arial"/>
                <w:color w:val="000000"/>
                <w:sz w:val="22"/>
                <w:szCs w:val="22"/>
              </w:rPr>
              <w:lastRenderedPageBreak/>
              <w:t>SDOH_Variable</w:t>
            </w:r>
            <w:proofErr w:type="spellEnd"/>
          </w:p>
        </w:tc>
        <w:tc>
          <w:tcPr>
            <w:tcW w:w="19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82E57E"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roofErr w:type="spellStart"/>
            <w:r>
              <w:rPr>
                <w:rFonts w:ascii="Arial" w:eastAsia="Arial" w:hAnsi="Arial" w:cs="Arial"/>
                <w:color w:val="000000"/>
                <w:sz w:val="22"/>
                <w:szCs w:val="22"/>
              </w:rPr>
              <w:t>Hesitancy_Beta</w:t>
            </w:r>
            <w:proofErr w:type="spellEnd"/>
          </w:p>
        </w:tc>
        <w:tc>
          <w:tcPr>
            <w:tcW w:w="16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AAF54D"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roofErr w:type="spellStart"/>
            <w:r>
              <w:rPr>
                <w:rFonts w:ascii="Arial" w:eastAsia="Arial" w:hAnsi="Arial" w:cs="Arial"/>
                <w:color w:val="000000"/>
                <w:sz w:val="22"/>
                <w:szCs w:val="22"/>
              </w:rPr>
              <w:t>Hesitancy_P</w:t>
            </w:r>
            <w:proofErr w:type="spellEnd"/>
          </w:p>
        </w:tc>
        <w:tc>
          <w:tcPr>
            <w:tcW w:w="162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9185B5"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roofErr w:type="spellStart"/>
            <w:r>
              <w:rPr>
                <w:rFonts w:ascii="Arial" w:eastAsia="Arial" w:hAnsi="Arial" w:cs="Arial"/>
                <w:color w:val="000000"/>
                <w:sz w:val="22"/>
                <w:szCs w:val="22"/>
              </w:rPr>
              <w:t>SDOH_Beta</w:t>
            </w:r>
            <w:proofErr w:type="spellEnd"/>
          </w:p>
        </w:tc>
        <w:tc>
          <w:tcPr>
            <w:tcW w:w="13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C33876"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SDOH_P</w:t>
            </w:r>
          </w:p>
        </w:tc>
        <w:tc>
          <w:tcPr>
            <w:tcW w:w="148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59DA31"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roofErr w:type="spellStart"/>
            <w:r>
              <w:rPr>
                <w:rFonts w:ascii="Arial" w:eastAsia="Arial" w:hAnsi="Arial" w:cs="Arial"/>
                <w:color w:val="000000"/>
                <w:sz w:val="22"/>
                <w:szCs w:val="22"/>
              </w:rPr>
              <w:t>R_squared</w:t>
            </w:r>
            <w:proofErr w:type="spellEnd"/>
          </w:p>
        </w:tc>
        <w:tc>
          <w:tcPr>
            <w:tcW w:w="246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143CAE"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roofErr w:type="spellStart"/>
            <w:r>
              <w:rPr>
                <w:rFonts w:ascii="Arial" w:eastAsia="Arial" w:hAnsi="Arial" w:cs="Arial"/>
                <w:color w:val="000000"/>
                <w:sz w:val="22"/>
                <w:szCs w:val="22"/>
              </w:rPr>
              <w:t>Adjusted_R_squared</w:t>
            </w:r>
            <w:proofErr w:type="spellEnd"/>
          </w:p>
        </w:tc>
      </w:tr>
      <w:tr w:rsidR="004D6CD0" w14:paraId="2DE5C4B3" w14:textId="77777777" w:rsidTr="00A6202F">
        <w:trPr>
          <w:jc w:val="center"/>
        </w:trPr>
        <w:tc>
          <w:tcPr>
            <w:tcW w:w="29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BC57F"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Aged 65+</w:t>
            </w:r>
          </w:p>
        </w:tc>
        <w:tc>
          <w:tcPr>
            <w:tcW w:w="19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46470"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1,454.62</w:t>
            </w:r>
          </w:p>
        </w:tc>
        <w:tc>
          <w:tcPr>
            <w:tcW w:w="164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E0B95"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162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F2660"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8.51</w:t>
            </w:r>
          </w:p>
        </w:tc>
        <w:tc>
          <w:tcPr>
            <w:tcW w:w="131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00325"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148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58D38"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0.191</w:t>
            </w:r>
          </w:p>
        </w:tc>
        <w:tc>
          <w:tcPr>
            <w:tcW w:w="24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74A99"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0.190</w:t>
            </w:r>
          </w:p>
        </w:tc>
      </w:tr>
      <w:tr w:rsidR="004D6CD0" w14:paraId="34DC8F26" w14:textId="77777777" w:rsidTr="00A6202F">
        <w:trPr>
          <w:jc w:val="center"/>
        </w:trPr>
        <w:tc>
          <w:tcPr>
            <w:tcW w:w="2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7CDD5"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Crowding</w:t>
            </w:r>
          </w:p>
        </w:tc>
        <w:tc>
          <w:tcPr>
            <w:tcW w:w="19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0572B"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1,413.61</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CF0F3"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47C6E"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-3.29</w:t>
            </w:r>
          </w:p>
        </w:tc>
        <w:tc>
          <w:tcPr>
            <w:tcW w:w="13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68636"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0.006</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7C84B"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0.140</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BB6B1"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0.139</w:t>
            </w:r>
          </w:p>
        </w:tc>
      </w:tr>
      <w:tr w:rsidR="004D6CD0" w14:paraId="08083D2D" w14:textId="77777777" w:rsidTr="00A6202F">
        <w:trPr>
          <w:jc w:val="center"/>
        </w:trPr>
        <w:tc>
          <w:tcPr>
            <w:tcW w:w="2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C7F65"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Housing Cost Burden</w:t>
            </w:r>
          </w:p>
        </w:tc>
        <w:tc>
          <w:tcPr>
            <w:tcW w:w="19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01052"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1,368.33</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EF055"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6BEDA"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-2.25</w:t>
            </w:r>
          </w:p>
        </w:tc>
        <w:tc>
          <w:tcPr>
            <w:tcW w:w="13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48018"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2FCD2"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0.142</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9F7E8"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0.142</w:t>
            </w:r>
          </w:p>
        </w:tc>
      </w:tr>
      <w:tr w:rsidR="004D6CD0" w14:paraId="322F9039" w14:textId="77777777" w:rsidTr="00A6202F">
        <w:trPr>
          <w:jc w:val="center"/>
        </w:trPr>
        <w:tc>
          <w:tcPr>
            <w:tcW w:w="2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F9C2C"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Broadband</w:t>
            </w:r>
          </w:p>
        </w:tc>
        <w:tc>
          <w:tcPr>
            <w:tcW w:w="19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71FFF"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837.22</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35593"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6BD5E"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8.47</w:t>
            </w:r>
          </w:p>
        </w:tc>
        <w:tc>
          <w:tcPr>
            <w:tcW w:w="13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BBE9A"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BF2BC"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0.261</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BF981"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0.260</w:t>
            </w:r>
          </w:p>
        </w:tc>
      </w:tr>
      <w:tr w:rsidR="004D6CD0" w14:paraId="275B3532" w14:textId="77777777" w:rsidTr="00A6202F">
        <w:trPr>
          <w:jc w:val="center"/>
        </w:trPr>
        <w:tc>
          <w:tcPr>
            <w:tcW w:w="2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CA3AF"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High School Diploma</w:t>
            </w:r>
          </w:p>
        </w:tc>
        <w:tc>
          <w:tcPr>
            <w:tcW w:w="19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06DA2"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1,067.24</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A9966"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BA4B6"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9.40</w:t>
            </w:r>
          </w:p>
        </w:tc>
        <w:tc>
          <w:tcPr>
            <w:tcW w:w="13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ABEF9"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D1CAA"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0.233</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1872B"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0.233</w:t>
            </w:r>
          </w:p>
        </w:tc>
      </w:tr>
      <w:tr w:rsidR="004D6CD0" w14:paraId="1FC3290D" w14:textId="77777777" w:rsidTr="00A6202F">
        <w:trPr>
          <w:jc w:val="center"/>
        </w:trPr>
        <w:tc>
          <w:tcPr>
            <w:tcW w:w="2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477F5"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Poverty</w:t>
            </w:r>
          </w:p>
        </w:tc>
        <w:tc>
          <w:tcPr>
            <w:tcW w:w="19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AE612"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851.84</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901F5"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CB713"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7.37</w:t>
            </w:r>
          </w:p>
        </w:tc>
        <w:tc>
          <w:tcPr>
            <w:tcW w:w="13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807AD"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B6565"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0.243</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D9CBF"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0.242</w:t>
            </w:r>
          </w:p>
        </w:tc>
      </w:tr>
      <w:tr w:rsidR="004D6CD0" w14:paraId="677285FE" w14:textId="77777777" w:rsidTr="00A6202F">
        <w:trPr>
          <w:jc w:val="center"/>
        </w:trPr>
        <w:tc>
          <w:tcPr>
            <w:tcW w:w="2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A8D26"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Minority Status</w:t>
            </w:r>
          </w:p>
        </w:tc>
        <w:tc>
          <w:tcPr>
            <w:tcW w:w="19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5B1D6"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1,398.05</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44012"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AF0DF"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0.37</w:t>
            </w:r>
          </w:p>
        </w:tc>
        <w:tc>
          <w:tcPr>
            <w:tcW w:w="13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75815"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0.010</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AD287"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0.140</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B6805"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0.139</w:t>
            </w:r>
          </w:p>
        </w:tc>
      </w:tr>
      <w:tr w:rsidR="004D6CD0" w14:paraId="610DB511" w14:textId="77777777" w:rsidTr="00A6202F">
        <w:trPr>
          <w:jc w:val="center"/>
        </w:trPr>
        <w:tc>
          <w:tcPr>
            <w:tcW w:w="2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B5CFB"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Single-Parent Households</w:t>
            </w:r>
          </w:p>
        </w:tc>
        <w:tc>
          <w:tcPr>
            <w:tcW w:w="19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ADEC1"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1,340.85</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05639"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8A6D0"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6.86</w:t>
            </w:r>
          </w:p>
        </w:tc>
        <w:tc>
          <w:tcPr>
            <w:tcW w:w="13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47F29"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F1CA3"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0.146</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A83C4"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0.146</w:t>
            </w:r>
          </w:p>
        </w:tc>
      </w:tr>
      <w:tr w:rsidR="004D6CD0" w14:paraId="0573BC21" w14:textId="77777777" w:rsidTr="00A6202F">
        <w:trPr>
          <w:jc w:val="center"/>
        </w:trPr>
        <w:tc>
          <w:tcPr>
            <w:tcW w:w="29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E83639"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Unemployment</w:t>
            </w:r>
          </w:p>
        </w:tc>
        <w:tc>
          <w:tcPr>
            <w:tcW w:w="19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51BE0"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1,352.25</w:t>
            </w:r>
          </w:p>
        </w:tc>
        <w:tc>
          <w:tcPr>
            <w:tcW w:w="164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BB1AD1"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162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00B7D7"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6.00</w:t>
            </w:r>
          </w:p>
        </w:tc>
        <w:tc>
          <w:tcPr>
            <w:tcW w:w="13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998CDF"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 0.001</w:t>
            </w:r>
          </w:p>
        </w:tc>
        <w:tc>
          <w:tcPr>
            <w:tcW w:w="148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BE11B8"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0.146</w:t>
            </w:r>
          </w:p>
        </w:tc>
        <w:tc>
          <w:tcPr>
            <w:tcW w:w="24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BA76FE" w14:textId="77777777" w:rsidR="004D6CD0" w:rsidRDefault="004D6CD0" w:rsidP="00A6202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0.145</w:t>
            </w:r>
          </w:p>
        </w:tc>
      </w:tr>
    </w:tbl>
    <w:p w14:paraId="4404E6E6" w14:textId="77777777" w:rsidR="004D6CD0" w:rsidRDefault="004D6CD0" w:rsidP="004D6CD0"/>
    <w:p w14:paraId="6CE739DE" w14:textId="77777777" w:rsidR="00F55B94" w:rsidRPr="00F55B94" w:rsidRDefault="00F55B94" w:rsidP="00F55B94">
      <w:pPr>
        <w:numPr>
          <w:ilvl w:val="0"/>
          <w:numId w:val="10"/>
        </w:numPr>
        <w:rPr>
          <w:rFonts w:asciiTheme="minorBidi" w:hAnsiTheme="minorBidi"/>
          <w:sz w:val="22"/>
          <w:szCs w:val="22"/>
          <w:lang w:val="en-AE"/>
        </w:rPr>
      </w:pPr>
      <w:r w:rsidRPr="00F55B94">
        <w:rPr>
          <w:rFonts w:asciiTheme="minorBidi" w:hAnsiTheme="minorBidi"/>
          <w:sz w:val="22"/>
          <w:szCs w:val="22"/>
          <w:lang w:val="en-AE"/>
        </w:rPr>
        <w:t xml:space="preserve">Hesitancy remains significant across all models (p &lt; 0.001) </w:t>
      </w:r>
    </w:p>
    <w:p w14:paraId="7DA3E578" w14:textId="77777777" w:rsidR="00F55B94" w:rsidRPr="00F55B94" w:rsidRDefault="00F55B94" w:rsidP="00F55B94">
      <w:pPr>
        <w:numPr>
          <w:ilvl w:val="0"/>
          <w:numId w:val="10"/>
        </w:numPr>
        <w:rPr>
          <w:rFonts w:asciiTheme="minorBidi" w:hAnsiTheme="minorBidi"/>
          <w:sz w:val="22"/>
          <w:szCs w:val="22"/>
          <w:lang w:val="en-AE"/>
        </w:rPr>
      </w:pPr>
      <w:r w:rsidRPr="00F55B94">
        <w:rPr>
          <w:rFonts w:asciiTheme="minorBidi" w:hAnsiTheme="minorBidi"/>
          <w:sz w:val="22"/>
          <w:szCs w:val="22"/>
          <w:lang w:val="en-AE"/>
        </w:rPr>
        <w:t xml:space="preserve">Strongest models include: </w:t>
      </w:r>
    </w:p>
    <w:p w14:paraId="13A7151F" w14:textId="77777777" w:rsidR="00F55B94" w:rsidRPr="00F55B94" w:rsidRDefault="00F55B94" w:rsidP="00F55B94">
      <w:pPr>
        <w:numPr>
          <w:ilvl w:val="1"/>
          <w:numId w:val="10"/>
        </w:numPr>
        <w:rPr>
          <w:rFonts w:asciiTheme="minorBidi" w:hAnsiTheme="minorBidi"/>
          <w:sz w:val="22"/>
          <w:szCs w:val="22"/>
          <w:lang w:val="en-AE"/>
        </w:rPr>
      </w:pPr>
      <w:r w:rsidRPr="00F55B94">
        <w:rPr>
          <w:rFonts w:asciiTheme="minorBidi" w:hAnsiTheme="minorBidi"/>
          <w:sz w:val="22"/>
          <w:szCs w:val="22"/>
          <w:lang w:val="en-AE"/>
        </w:rPr>
        <w:t xml:space="preserve">No broadband (R² = 0.26), Poverty (R² = 0.24), Low education (R² = 0.23) </w:t>
      </w:r>
    </w:p>
    <w:p w14:paraId="0BE208BA" w14:textId="77777777" w:rsidR="00F55B94" w:rsidRPr="00F55B94" w:rsidRDefault="00F55B94" w:rsidP="00F55B94">
      <w:pPr>
        <w:numPr>
          <w:ilvl w:val="0"/>
          <w:numId w:val="10"/>
        </w:numPr>
        <w:rPr>
          <w:rFonts w:asciiTheme="minorBidi" w:hAnsiTheme="minorBidi"/>
          <w:sz w:val="22"/>
          <w:szCs w:val="22"/>
          <w:lang w:val="en-AE"/>
        </w:rPr>
      </w:pPr>
      <w:r w:rsidRPr="00F55B94">
        <w:rPr>
          <w:rFonts w:asciiTheme="minorBidi" w:hAnsiTheme="minorBidi"/>
          <w:sz w:val="22"/>
          <w:szCs w:val="22"/>
          <w:lang w:val="en-AE"/>
        </w:rPr>
        <w:t xml:space="preserve">Models explain ~23–26% of variation in mortality </w:t>
      </w:r>
    </w:p>
    <w:p w14:paraId="79757F77" w14:textId="77777777" w:rsidR="00F55B94" w:rsidRPr="00F55B94" w:rsidRDefault="00F55B94" w:rsidP="00F55B94">
      <w:pPr>
        <w:numPr>
          <w:ilvl w:val="0"/>
          <w:numId w:val="10"/>
        </w:numPr>
        <w:rPr>
          <w:rFonts w:asciiTheme="minorBidi" w:hAnsiTheme="minorBidi"/>
          <w:sz w:val="22"/>
          <w:szCs w:val="22"/>
          <w:lang w:val="en-AE"/>
        </w:rPr>
      </w:pPr>
      <w:r w:rsidRPr="00F55B94">
        <w:rPr>
          <w:rFonts w:asciiTheme="minorBidi" w:hAnsiTheme="minorBidi"/>
          <w:sz w:val="22"/>
          <w:szCs w:val="22"/>
          <w:lang w:val="en-AE"/>
        </w:rPr>
        <w:t xml:space="preserve">Both </w:t>
      </w:r>
      <w:proofErr w:type="spellStart"/>
      <w:r w:rsidRPr="00F55B94">
        <w:rPr>
          <w:rFonts w:asciiTheme="minorBidi" w:hAnsiTheme="minorBidi"/>
          <w:sz w:val="22"/>
          <w:szCs w:val="22"/>
          <w:lang w:val="en-AE"/>
        </w:rPr>
        <w:t>behavioral</w:t>
      </w:r>
      <w:proofErr w:type="spellEnd"/>
      <w:r w:rsidRPr="00F55B94">
        <w:rPr>
          <w:rFonts w:asciiTheme="minorBidi" w:hAnsiTheme="minorBidi"/>
          <w:sz w:val="22"/>
          <w:szCs w:val="22"/>
          <w:lang w:val="en-AE"/>
        </w:rPr>
        <w:t xml:space="preserve"> (hesitancy) and structural (SDOH) factors contribute to mortality differences </w:t>
      </w:r>
    </w:p>
    <w:p w14:paraId="4B09899F" w14:textId="77777777" w:rsidR="004D6CD0" w:rsidRDefault="004D6CD0" w:rsidP="004D6CD0">
      <w:pPr>
        <w:rPr>
          <w:rFonts w:asciiTheme="minorBidi" w:hAnsiTheme="minorBidi"/>
          <w:sz w:val="22"/>
          <w:szCs w:val="22"/>
          <w:lang w:val="en-AE"/>
        </w:rPr>
      </w:pPr>
    </w:p>
    <w:p w14:paraId="418C59ED" w14:textId="77777777" w:rsidR="00F55B94" w:rsidRPr="00F55B94" w:rsidRDefault="00F55B94" w:rsidP="00F55B94">
      <w:pPr>
        <w:rPr>
          <w:rFonts w:asciiTheme="minorBidi" w:hAnsiTheme="minorBidi"/>
          <w:sz w:val="22"/>
          <w:szCs w:val="22"/>
          <w:lang w:val="en-AE"/>
        </w:rPr>
      </w:pPr>
      <w:r w:rsidRPr="00F55B94">
        <w:rPr>
          <w:rFonts w:asciiTheme="minorBidi" w:hAnsiTheme="minorBidi"/>
          <w:sz w:val="22"/>
          <w:szCs w:val="22"/>
          <w:lang w:val="en-AE"/>
        </w:rPr>
        <w:t>Both vaccine hesitancy and structural social conditions contribute to explaining differences in mortality, and their effects persist when considered together.</w:t>
      </w:r>
    </w:p>
    <w:p w14:paraId="34479B53" w14:textId="77777777" w:rsidR="00F55B94" w:rsidRDefault="00F55B94" w:rsidP="004D6CD0">
      <w:pPr>
        <w:rPr>
          <w:rFonts w:asciiTheme="minorBidi" w:hAnsiTheme="minorBidi"/>
          <w:sz w:val="22"/>
          <w:szCs w:val="22"/>
          <w:lang w:val="en-AE"/>
        </w:rPr>
      </w:pPr>
    </w:p>
    <w:p w14:paraId="649D5E70" w14:textId="77777777" w:rsidR="00F55B94" w:rsidRDefault="00F55B94" w:rsidP="004D6CD0">
      <w:pPr>
        <w:pBdr>
          <w:bottom w:val="single" w:sz="12" w:space="1" w:color="auto"/>
        </w:pBdr>
        <w:rPr>
          <w:rFonts w:asciiTheme="minorBidi" w:hAnsiTheme="minorBidi"/>
          <w:sz w:val="22"/>
          <w:szCs w:val="22"/>
          <w:lang w:val="en-AE"/>
        </w:rPr>
      </w:pPr>
    </w:p>
    <w:p w14:paraId="51C48199" w14:textId="77777777" w:rsidR="00F55B94" w:rsidRDefault="00F55B94" w:rsidP="004D6CD0">
      <w:pPr>
        <w:rPr>
          <w:rFonts w:asciiTheme="minorBidi" w:hAnsiTheme="minorBidi"/>
          <w:sz w:val="22"/>
          <w:szCs w:val="22"/>
          <w:lang w:val="en-AE"/>
        </w:rPr>
      </w:pPr>
    </w:p>
    <w:p w14:paraId="4F00F451" w14:textId="12F0DD79" w:rsidR="00F55B94" w:rsidRPr="00F55B94" w:rsidRDefault="00F55B94" w:rsidP="00F55B94">
      <w:pPr>
        <w:pStyle w:val="Heading1"/>
        <w:numPr>
          <w:ilvl w:val="0"/>
          <w:numId w:val="0"/>
        </w:numPr>
        <w:ind w:left="360"/>
        <w:rPr>
          <w:highlight w:val="yellow"/>
        </w:rPr>
      </w:pPr>
      <w:r w:rsidRPr="00F55B94">
        <w:rPr>
          <w:highlight w:val="yellow"/>
        </w:rPr>
        <w:t>Overall Conclusion</w:t>
      </w:r>
    </w:p>
    <w:p w14:paraId="1E497918" w14:textId="77777777" w:rsidR="00F55B94" w:rsidRDefault="00F55B94" w:rsidP="004D6CD0">
      <w:pPr>
        <w:rPr>
          <w:rFonts w:asciiTheme="minorBidi" w:hAnsiTheme="minorBidi"/>
          <w:sz w:val="22"/>
          <w:szCs w:val="22"/>
          <w:lang w:val="en-AE"/>
        </w:rPr>
      </w:pPr>
    </w:p>
    <w:p w14:paraId="35E076ED" w14:textId="77777777" w:rsidR="00F55B94" w:rsidRPr="00F55B94" w:rsidRDefault="00F55B94" w:rsidP="00F55B94">
      <w:pPr>
        <w:rPr>
          <w:rFonts w:asciiTheme="minorBidi" w:hAnsiTheme="minorBidi"/>
          <w:sz w:val="22"/>
          <w:szCs w:val="22"/>
          <w:lang w:val="en-AE"/>
        </w:rPr>
      </w:pPr>
      <w:r w:rsidRPr="00F55B94">
        <w:rPr>
          <w:rFonts w:asciiTheme="minorBidi" w:hAnsiTheme="minorBidi"/>
          <w:sz w:val="22"/>
          <w:szCs w:val="22"/>
          <w:lang w:val="en-AE"/>
        </w:rPr>
        <w:lastRenderedPageBreak/>
        <w:t>This analysis demonstrates that both vaccine hesitancy and social determinants of health are associated with COVID-19 mortality at the county level. Higher mortality rates were observed in counties with greater vaccine hesitancy and higher levels of socioeconomic disadvantage, particularly in terms of poverty, limited internet access, and lower educational attainment.</w:t>
      </w:r>
    </w:p>
    <w:p w14:paraId="7F3F3351" w14:textId="77777777" w:rsidR="00F55B94" w:rsidRPr="00F55B94" w:rsidRDefault="00F55B94" w:rsidP="00F55B94">
      <w:pPr>
        <w:rPr>
          <w:rFonts w:asciiTheme="minorBidi" w:hAnsiTheme="minorBidi"/>
          <w:sz w:val="22"/>
          <w:szCs w:val="22"/>
          <w:lang w:val="en-AE"/>
        </w:rPr>
      </w:pPr>
      <w:r w:rsidRPr="00F55B94">
        <w:rPr>
          <w:rFonts w:asciiTheme="minorBidi" w:hAnsiTheme="minorBidi"/>
          <w:sz w:val="22"/>
          <w:szCs w:val="22"/>
          <w:lang w:val="en-AE"/>
        </w:rPr>
        <w:t xml:space="preserve">When examined together, these factors remained significant, suggesting that mortality outcomes are shaped by a combination of </w:t>
      </w:r>
      <w:proofErr w:type="spellStart"/>
      <w:r w:rsidRPr="00F55B94">
        <w:rPr>
          <w:rFonts w:asciiTheme="minorBidi" w:hAnsiTheme="minorBidi"/>
          <w:sz w:val="22"/>
          <w:szCs w:val="22"/>
          <w:lang w:val="en-AE"/>
        </w:rPr>
        <w:t>behavioral</w:t>
      </w:r>
      <w:proofErr w:type="spellEnd"/>
      <w:r w:rsidRPr="00F55B94">
        <w:rPr>
          <w:rFonts w:asciiTheme="minorBidi" w:hAnsiTheme="minorBidi"/>
          <w:sz w:val="22"/>
          <w:szCs w:val="22"/>
          <w:lang w:val="en-AE"/>
        </w:rPr>
        <w:t xml:space="preserve"> and structural influences. While this analysis does not establish causation, it highlights important patterns that may inform public health strategies, particularly those addressing both access to resources and health-related attitudes.</w:t>
      </w:r>
    </w:p>
    <w:p w14:paraId="29A8BD30" w14:textId="77777777" w:rsidR="00F55B94" w:rsidRPr="00F55B94" w:rsidRDefault="00F55B94" w:rsidP="004D6CD0">
      <w:pPr>
        <w:rPr>
          <w:rFonts w:asciiTheme="minorBidi" w:hAnsiTheme="minorBidi"/>
          <w:sz w:val="22"/>
          <w:szCs w:val="22"/>
          <w:lang w:val="en-AE"/>
        </w:rPr>
      </w:pPr>
    </w:p>
    <w:sectPr w:rsidR="00F55B94" w:rsidRPr="00F55B94" w:rsidSect="00F55B94">
      <w:type w:val="continuous"/>
      <w:pgSz w:w="16840" w:h="11900"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8F35668"/>
    <w:multiLevelType w:val="hybridMultilevel"/>
    <w:tmpl w:val="A180126E"/>
    <w:lvl w:ilvl="0" w:tplc="4C090001">
      <w:start w:val="1"/>
      <w:numFmt w:val="bullet"/>
      <w:lvlText w:val=""/>
      <w:lvlJc w:val="left"/>
      <w:pPr>
        <w:ind w:left="720" w:hanging="360"/>
      </w:pPr>
      <w:rPr>
        <w:rFonts w:ascii="Symbol" w:hAnsi="Symbol"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BAB2F19"/>
    <w:multiLevelType w:val="hybridMultilevel"/>
    <w:tmpl w:val="25544E2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2F07689B"/>
    <w:multiLevelType w:val="multilevel"/>
    <w:tmpl w:val="9612A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60ADD"/>
    <w:multiLevelType w:val="hybridMultilevel"/>
    <w:tmpl w:val="F316180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644675A"/>
    <w:multiLevelType w:val="multilevel"/>
    <w:tmpl w:val="8C4A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8F6CDE"/>
    <w:multiLevelType w:val="hybridMultilevel"/>
    <w:tmpl w:val="9CA884E6"/>
    <w:lvl w:ilvl="0" w:tplc="55C00246">
      <w:numFmt w:val="bullet"/>
      <w:lvlText w:val=""/>
      <w:lvlJc w:val="left"/>
      <w:pPr>
        <w:ind w:left="720" w:hanging="360"/>
      </w:pPr>
      <w:rPr>
        <w:rFonts w:ascii="Cambria" w:eastAsiaTheme="minorEastAsia" w:hAnsi="Cambria" w:cstheme="minorBidi" w:hint="default"/>
        <w:sz w:val="24"/>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744403363">
    <w:abstractNumId w:val="5"/>
  </w:num>
  <w:num w:numId="2" w16cid:durableId="920917892">
    <w:abstractNumId w:val="6"/>
  </w:num>
  <w:num w:numId="3" w16cid:durableId="1204639182">
    <w:abstractNumId w:val="0"/>
  </w:num>
  <w:num w:numId="4" w16cid:durableId="733242839">
    <w:abstractNumId w:val="4"/>
  </w:num>
  <w:num w:numId="5" w16cid:durableId="1035423559">
    <w:abstractNumId w:val="8"/>
  </w:num>
  <w:num w:numId="6" w16cid:durableId="495849941">
    <w:abstractNumId w:val="1"/>
  </w:num>
  <w:num w:numId="7" w16cid:durableId="763259128">
    <w:abstractNumId w:val="7"/>
  </w:num>
  <w:num w:numId="8" w16cid:durableId="1300695557">
    <w:abstractNumId w:val="2"/>
  </w:num>
  <w:num w:numId="9" w16cid:durableId="1804805919">
    <w:abstractNumId w:val="0"/>
  </w:num>
  <w:num w:numId="10" w16cid:durableId="1702245654">
    <w:abstractNumId w:val="3"/>
  </w:num>
  <w:num w:numId="11" w16cid:durableId="1626153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7F2"/>
    <w:rsid w:val="001C4B34"/>
    <w:rsid w:val="002617F2"/>
    <w:rsid w:val="004D6CD0"/>
    <w:rsid w:val="00F55B9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C0561"/>
  <w15:docId w15:val="{6126FD9F-A832-43A9-852F-24699F0B2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ListParagraph">
    <w:name w:val="List Paragraph"/>
    <w:basedOn w:val="Normal"/>
    <w:uiPriority w:val="34"/>
    <w:qFormat/>
    <w:rsid w:val="004D6C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625</Words>
  <Characters>3323</Characters>
  <Application>Microsoft Office Word</Application>
  <DocSecurity>0</DocSecurity>
  <Lines>415</Lines>
  <Paragraphs>438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Manager/>
  <Company/>
  <LinksUpToDate>false</LinksUpToDate>
  <CharactersWithSpaces>3510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Sandi Alshahwan</cp:lastModifiedBy>
  <cp:revision>10</cp:revision>
  <dcterms:created xsi:type="dcterms:W3CDTF">2017-02-28T11:18:00Z</dcterms:created>
  <dcterms:modified xsi:type="dcterms:W3CDTF">2026-04-10T00:29:00Z</dcterms:modified>
  <cp:category/>
</cp:coreProperties>
</file>