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widowControl/>
        <w:jc w:val="center"/>
        <w:rPr>
          <w:kern w:val="0"/>
          <w:sz w:val="20"/>
          <w:szCs w:val="20"/>
        </w:rPr>
      </w:pPr>
      <w:r>
        <w:rPr>
          <w:rFonts w:hint="eastAsia"/>
        </w:rPr>
        <w:t>水果中蛋白质和糖类含量的测定</w:t>
      </w:r>
    </w:p>
    <w:p>
      <w:pPr>
        <w:widowControl/>
        <w:spacing w:line="324" w:lineRule="exact"/>
        <w:jc w:val="center"/>
        <w:rPr>
          <w:rFonts w:hint="eastAsia" w:eastAsia="宋体"/>
          <w:kern w:val="0"/>
          <w:szCs w:val="21"/>
          <w:lang w:eastAsia="zh-CN"/>
        </w:rPr>
      </w:pPr>
      <w:r>
        <w:rPr>
          <w:rFonts w:hint="eastAsia"/>
          <w:szCs w:val="21"/>
        </w:rPr>
        <w:t xml:space="preserve">学生姓名：王宇倩 </w:t>
      </w:r>
      <w:r>
        <w:rPr>
          <w:szCs w:val="21"/>
        </w:rPr>
        <w:t xml:space="preserve">      </w:t>
      </w:r>
      <w:r>
        <w:rPr>
          <w:rFonts w:hint="eastAsia"/>
          <w:szCs w:val="21"/>
        </w:rPr>
        <w:t>指导老师：</w:t>
      </w:r>
      <w:r>
        <w:rPr>
          <w:rFonts w:hint="eastAsia"/>
          <w:szCs w:val="21"/>
          <w:lang w:val="en-US" w:eastAsia="zh-CN"/>
        </w:rPr>
        <w:t>陈江锋</w:t>
      </w:r>
    </w:p>
    <w:p>
      <w:pPr>
        <w:widowControl/>
        <w:jc w:val="left"/>
        <w:rPr>
          <w:kern w:val="0"/>
          <w:sz w:val="20"/>
          <w:szCs w:val="20"/>
        </w:rPr>
      </w:pPr>
    </w:p>
    <w:p>
      <w:pPr>
        <w:widowControl/>
        <w:jc w:val="left"/>
        <w:rPr>
          <w:kern w:val="0"/>
          <w:szCs w:val="21"/>
        </w:rPr>
      </w:pPr>
      <w:r>
        <w:rPr>
          <w:rFonts w:hint="eastAsia"/>
          <w:szCs w:val="21"/>
        </w:rPr>
        <w:t>摘要：糖类和蛋白质是构成植物体的重要成分，也是新陈代谢的主要材料。不同水果中蛋白质和糖类的含量不同，因此可以通过检测水果中蛋白质和糖类的含量来了解和鉴定其品质的优劣。本文以苹果香蕉为材料，通过考马斯亮蓝G</w:t>
      </w:r>
      <w:r>
        <w:rPr>
          <w:szCs w:val="21"/>
        </w:rPr>
        <w:t>-250</w:t>
      </w:r>
      <w:r>
        <w:rPr>
          <w:rFonts w:hint="eastAsia"/>
          <w:szCs w:val="21"/>
        </w:rPr>
        <w:t>染色和蒽酮法来测定水果中蛋白质的糖类的含量。结果表明，</w:t>
      </w:r>
    </w:p>
    <w:p>
      <w:pPr>
        <w:widowControl/>
        <w:jc w:val="left"/>
        <w:rPr>
          <w:kern w:val="0"/>
          <w:sz w:val="20"/>
          <w:szCs w:val="20"/>
        </w:rPr>
      </w:pPr>
      <w:r>
        <w:rPr>
          <w:rFonts w:hint="eastAsia"/>
        </w:rPr>
        <w:t xml:space="preserve">关键词：苹果 </w:t>
      </w:r>
      <w:r>
        <w:t xml:space="preserve"> </w:t>
      </w:r>
      <w:r>
        <w:rPr>
          <w:rFonts w:hint="eastAsia"/>
        </w:rPr>
        <w:t xml:space="preserve">香蕉 </w:t>
      </w:r>
      <w:r>
        <w:t xml:space="preserve"> </w:t>
      </w:r>
      <w:r>
        <w:rPr>
          <w:rFonts w:hint="eastAsia"/>
        </w:rPr>
        <w:t xml:space="preserve">蛋白质 </w:t>
      </w:r>
      <w:r>
        <w:t xml:space="preserve"> </w:t>
      </w:r>
      <w:r>
        <w:rPr>
          <w:rFonts w:hint="eastAsia"/>
        </w:rPr>
        <w:t xml:space="preserve">糖 </w:t>
      </w:r>
      <w:r>
        <w:t xml:space="preserve"> </w:t>
      </w:r>
      <w:bookmarkStart w:id="7" w:name="_GoBack"/>
      <w:bookmarkEnd w:id="7"/>
    </w:p>
    <w:p>
      <w:pPr>
        <w:widowControl/>
        <w:jc w:val="left"/>
        <w:rPr>
          <w:kern w:val="0"/>
          <w:sz w:val="20"/>
          <w:szCs w:val="20"/>
        </w:rPr>
      </w:pPr>
    </w:p>
    <w:p>
      <w:pPr>
        <w:widowControl/>
        <w:jc w:val="left"/>
        <w:rPr>
          <w:kern w:val="0"/>
          <w:sz w:val="20"/>
          <w:szCs w:val="20"/>
        </w:rPr>
      </w:pPr>
    </w:p>
    <w:p>
      <w:pPr>
        <w:widowControl/>
        <w:numPr>
          <w:ilvl w:val="0"/>
          <w:numId w:val="1"/>
        </w:numPr>
        <w:jc w:val="left"/>
        <w:rPr>
          <w:szCs w:val="21"/>
        </w:rPr>
      </w:pPr>
      <w:r>
        <w:rPr>
          <w:rFonts w:hint="eastAsia"/>
          <w:szCs w:val="21"/>
        </w:rPr>
        <w:t>引言</w:t>
      </w:r>
    </w:p>
    <w:p>
      <w:pPr>
        <w:widowControl/>
        <w:ind w:firstLine="420" w:firstLineChars="200"/>
        <w:jc w:val="left"/>
        <w:rPr>
          <w:rFonts w:hint="eastAsia"/>
          <w:kern w:val="0"/>
          <w:szCs w:val="21"/>
        </w:rPr>
      </w:pPr>
      <w:r>
        <w:rPr>
          <w:rFonts w:hint="eastAsia"/>
          <w:kern w:val="0"/>
          <w:szCs w:val="21"/>
        </w:rPr>
        <w:t>现在人们对物质生活的品质越来越关心了，健康是人类永恒的主题。蛋白质、糖是食品的重要组织部分，同时也是营养物质。它们在人类的饮食中占很大的比重。水果可以说是老少皆宜的食物。香蕉能快速补充能量,其中的糖分可迅速转化为葡萄糖，立即被人体吸收，是一种快速的能量来源。</w:t>
      </w:r>
    </w:p>
    <w:p>
      <w:pPr>
        <w:widowControl/>
        <w:ind w:firstLine="420"/>
        <w:jc w:val="left"/>
        <w:rPr>
          <w:kern w:val="0"/>
          <w:szCs w:val="21"/>
        </w:rPr>
      </w:pPr>
      <w:r>
        <w:rPr>
          <w:rFonts w:hint="eastAsia"/>
          <w:kern w:val="0"/>
          <w:szCs w:val="21"/>
        </w:rPr>
        <w:t>香蕉中富含的镁还具有消除疲劳的效果。常吃香蕉可防便秘、防癌、预防心血管疾病、还可防治抑郁症。而苹果中的维生素C是心血管的保护神、心脏病患者的健康元素。苹果中的胶质和微量元素铬能保持血糖的稳定,所以苹果不但是糖尿病患者的健康小吃，而且是一切想要控制血糖的人必不可少的水果。并且它还能有效地降低胆固醇。苹果还能防癌，防铅中毒。这些水果是人们日常最离不开的,所以说对水果中可溶性蛋白和可溶性糖含量的测定可以帮助我们合理搭配饮食和平衡营养。本次实验将采用考马斯亮蓝法和蒽酮法进行测定。</w:t>
      </w:r>
    </w:p>
    <w:p>
      <w:pPr>
        <w:widowControl/>
        <w:numPr>
          <w:ilvl w:val="0"/>
          <w:numId w:val="1"/>
        </w:numPr>
        <w:jc w:val="left"/>
        <w:rPr>
          <w:kern w:val="0"/>
          <w:sz w:val="20"/>
          <w:szCs w:val="20"/>
        </w:rPr>
      </w:pPr>
      <w:r>
        <w:rPr>
          <w:rFonts w:hint="eastAsia"/>
        </w:rPr>
        <w:t>材料与方法</w:t>
      </w:r>
    </w:p>
    <w:p>
      <w:pPr>
        <w:widowControl/>
        <w:ind w:left="360"/>
        <w:jc w:val="left"/>
        <w:rPr>
          <w:kern w:val="0"/>
          <w:sz w:val="20"/>
          <w:szCs w:val="20"/>
        </w:rPr>
      </w:pPr>
      <w:r>
        <w:rPr>
          <w:rFonts w:hint="eastAsia"/>
        </w:rPr>
        <w:t>2.1材料</w:t>
      </w:r>
    </w:p>
    <w:p>
      <w:pPr>
        <w:widowControl/>
        <w:jc w:val="left"/>
        <w:rPr>
          <w:kern w:val="0"/>
          <w:sz w:val="20"/>
          <w:szCs w:val="20"/>
        </w:rPr>
      </w:pPr>
      <w:r>
        <w:rPr>
          <w:rFonts w:hint="eastAsia"/>
        </w:rPr>
        <w:t xml:space="preserve"> </w:t>
      </w:r>
      <w:r>
        <w:t xml:space="preserve">      </w:t>
      </w:r>
      <w:r>
        <w:rPr>
          <w:rFonts w:hint="eastAsia"/>
        </w:rPr>
        <w:t>2.1.1仪器</w:t>
      </w:r>
    </w:p>
    <w:p>
      <w:pPr>
        <w:widowControl/>
        <w:jc w:val="left"/>
        <w:rPr>
          <w:kern w:val="0"/>
          <w:sz w:val="20"/>
          <w:szCs w:val="20"/>
        </w:rPr>
      </w:pPr>
      <w:r>
        <w:rPr>
          <w:rFonts w:hint="eastAsia"/>
        </w:rPr>
        <w:t xml:space="preserve"> </w:t>
      </w:r>
      <w:r>
        <w:t xml:space="preserve">          </w:t>
      </w:r>
      <w:r>
        <w:rPr>
          <w:rFonts w:hint="eastAsia"/>
        </w:rPr>
        <w:t>水浴锅、分光温度计、电子天平、研钵、离心机、离心管、容量瓶、烧杯、玻璃棒、漏斗、试管、塑料吸管、量筒</w:t>
      </w:r>
    </w:p>
    <w:p>
      <w:pPr>
        <w:widowControl/>
        <w:jc w:val="left"/>
        <w:rPr>
          <w:kern w:val="0"/>
          <w:sz w:val="20"/>
          <w:szCs w:val="20"/>
        </w:rPr>
      </w:pPr>
      <w:r>
        <w:rPr>
          <w:rFonts w:hint="eastAsia"/>
        </w:rPr>
        <w:t xml:space="preserve"> </w:t>
      </w:r>
      <w:r>
        <w:t xml:space="preserve">      </w:t>
      </w:r>
      <w:r>
        <w:rPr>
          <w:rFonts w:hint="eastAsia"/>
        </w:rPr>
        <w:t>2.1.2试剂</w:t>
      </w:r>
    </w:p>
    <w:p>
      <w:pPr>
        <w:widowControl/>
        <w:jc w:val="left"/>
        <w:rPr>
          <w:kern w:val="0"/>
          <w:szCs w:val="21"/>
        </w:rPr>
      </w:pPr>
      <w:r>
        <w:rPr>
          <w:rFonts w:hint="eastAsia"/>
        </w:rPr>
        <w:t xml:space="preserve"> </w:t>
      </w:r>
      <w:r>
        <w:t xml:space="preserve">           </w:t>
      </w:r>
      <w:r>
        <w:rPr>
          <w:rFonts w:hint="eastAsia"/>
          <w:szCs w:val="21"/>
        </w:rPr>
        <w:t>蒽酮试剂、100</w:t>
      </w:r>
      <w:bookmarkStart w:id="0" w:name="_Hlk533264124"/>
      <w:r>
        <w:rPr>
          <w:rFonts w:hint="eastAsia"/>
          <w:szCs w:val="21"/>
        </w:rPr>
        <w:t>μ g/ml</w:t>
      </w:r>
      <w:bookmarkEnd w:id="0"/>
      <w:r>
        <w:rPr>
          <w:rFonts w:hint="eastAsia"/>
          <w:szCs w:val="21"/>
        </w:rPr>
        <w:t>标准葡萄糖溶液</w:t>
      </w:r>
      <w:bookmarkStart w:id="1" w:name="_Hlk533261924"/>
      <w:r>
        <w:rPr>
          <w:rFonts w:hint="eastAsia"/>
          <w:szCs w:val="21"/>
        </w:rPr>
        <w:t>、</w:t>
      </w:r>
      <w:bookmarkEnd w:id="1"/>
      <w:r>
        <w:rPr>
          <w:rFonts w:hint="eastAsia"/>
          <w:szCs w:val="21"/>
        </w:rPr>
        <w:t>0.9％</w:t>
      </w:r>
      <w:r>
        <w:rPr>
          <w:szCs w:val="21"/>
        </w:rPr>
        <w:t>NaCl</w:t>
      </w:r>
      <w:r>
        <w:rPr>
          <w:rFonts w:hint="eastAsia"/>
          <w:szCs w:val="21"/>
        </w:rPr>
        <w:t>溶液、标准蛋白液、考马斯亮蓝G-250染液</w:t>
      </w:r>
    </w:p>
    <w:p>
      <w:pPr>
        <w:widowControl/>
        <w:jc w:val="left"/>
        <w:rPr>
          <w:kern w:val="0"/>
          <w:sz w:val="20"/>
          <w:szCs w:val="20"/>
        </w:rPr>
      </w:pPr>
      <w:r>
        <w:rPr>
          <w:rFonts w:hint="eastAsia"/>
        </w:rPr>
        <w:t xml:space="preserve"> </w:t>
      </w:r>
      <w:r>
        <w:t xml:space="preserve">      </w:t>
      </w:r>
      <w:r>
        <w:rPr>
          <w:rFonts w:hint="eastAsia"/>
        </w:rPr>
        <w:t>2.1.3其他</w:t>
      </w:r>
    </w:p>
    <w:p>
      <w:pPr>
        <w:widowControl/>
        <w:jc w:val="left"/>
        <w:rPr>
          <w:kern w:val="0"/>
          <w:sz w:val="20"/>
          <w:szCs w:val="20"/>
        </w:rPr>
      </w:pPr>
      <w:r>
        <w:rPr>
          <w:rFonts w:hint="eastAsia"/>
        </w:rPr>
        <w:t xml:space="preserve"> </w:t>
      </w:r>
      <w:r>
        <w:t xml:space="preserve">           </w:t>
      </w:r>
      <w:r>
        <w:rPr>
          <w:rFonts w:hint="eastAsia"/>
        </w:rPr>
        <w:t>苹果、香蕉</w:t>
      </w:r>
    </w:p>
    <w:p>
      <w:pPr>
        <w:widowControl/>
        <w:jc w:val="left"/>
        <w:rPr>
          <w:kern w:val="0"/>
          <w:sz w:val="20"/>
          <w:szCs w:val="20"/>
        </w:rPr>
      </w:pPr>
      <w:r>
        <w:rPr>
          <w:rFonts w:hint="eastAsia"/>
        </w:rPr>
        <w:t xml:space="preserve"> </w:t>
      </w:r>
      <w:r>
        <w:t xml:space="preserve">    </w:t>
      </w:r>
      <w:r>
        <w:rPr>
          <w:rFonts w:hint="eastAsia"/>
        </w:rPr>
        <w:t>2.2方法</w:t>
      </w:r>
    </w:p>
    <w:p>
      <w:pPr>
        <w:widowControl/>
        <w:jc w:val="left"/>
        <w:rPr>
          <w:kern w:val="0"/>
          <w:sz w:val="20"/>
          <w:szCs w:val="20"/>
        </w:rPr>
      </w:pPr>
      <w:bookmarkStart w:id="2" w:name="_Hlk533263733"/>
      <w:r>
        <w:rPr>
          <w:rFonts w:hint="eastAsia"/>
        </w:rPr>
        <w:t xml:space="preserve"> </w:t>
      </w:r>
      <w:r>
        <w:t xml:space="preserve">        </w:t>
      </w:r>
      <w:r>
        <w:rPr>
          <w:rFonts w:hint="eastAsia"/>
        </w:rPr>
        <w:t>2.2.1葡萄糖标准曲线的绘制</w:t>
      </w:r>
    </w:p>
    <w:bookmarkEnd w:id="2"/>
    <w:p>
      <w:pPr>
        <w:widowControl/>
        <w:jc w:val="left"/>
        <w:rPr>
          <w:kern w:val="0"/>
          <w:sz w:val="20"/>
          <w:szCs w:val="20"/>
        </w:rPr>
      </w:pPr>
      <w:r>
        <w:rPr>
          <w:rFonts w:hint="eastAsia"/>
        </w:rPr>
        <w:t xml:space="preserve"> </w:t>
      </w:r>
      <w:r>
        <w:t xml:space="preserve">             </w:t>
      </w:r>
      <w:r>
        <w:rPr>
          <w:rFonts w:hint="eastAsia"/>
        </w:rPr>
        <w:t>取干净试管6支，按表1进行操作，在620nm波长下比色。</w:t>
      </w:r>
    </w:p>
    <w:p>
      <w:pPr>
        <w:widowControl/>
        <w:jc w:val="left"/>
        <w:rPr>
          <w:kern w:val="0"/>
          <w:sz w:val="20"/>
          <w:szCs w:val="20"/>
        </w:rPr>
      </w:pPr>
      <w:r>
        <w:rPr>
          <w:rFonts w:hint="eastAsia"/>
        </w:rPr>
        <w:t xml:space="preserve"> </w:t>
      </w:r>
      <w:r>
        <w:t xml:space="preserve">              </w:t>
      </w:r>
      <w:r>
        <w:rPr>
          <w:rFonts w:hint="eastAsia"/>
        </w:rPr>
        <w:t>以吸光度为纵坐标，各标准液浓度（mg/ml）为横坐标作图得标准曲线。</w:t>
      </w:r>
    </w:p>
    <w:p>
      <w:pPr>
        <w:widowControl/>
        <w:jc w:val="center"/>
        <w:rPr>
          <w:rFonts w:hint="eastAsia"/>
        </w:rPr>
      </w:pPr>
      <w:r>
        <w:rPr>
          <w:rFonts w:hint="eastAsia"/>
        </w:rPr>
        <w:t>表1</w:t>
      </w:r>
      <w:r>
        <w:t xml:space="preserve"> </w:t>
      </w:r>
      <w:r>
        <w:rPr>
          <w:rFonts w:hint="eastAsia"/>
        </w:rPr>
        <w:t>蒽酮比色法定糖—标准曲线的制作</w:t>
      </w:r>
    </w:p>
    <w:tbl>
      <w:tblPr>
        <w:tblStyle w:val="3"/>
        <w:tblW w:w="992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7"/>
        <w:gridCol w:w="1217"/>
        <w:gridCol w:w="1217"/>
        <w:gridCol w:w="1217"/>
        <w:gridCol w:w="1218"/>
        <w:gridCol w:w="1218"/>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管号</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w:t>
            </w:r>
          </w:p>
        </w:tc>
        <w:tc>
          <w:tcPr>
            <w:tcW w:w="1217" w:type="dxa"/>
            <w:shd w:val="clear" w:color="auto" w:fill="auto"/>
            <w:noWrap w:val="0"/>
            <w:vAlign w:val="top"/>
          </w:tcPr>
          <w:p>
            <w:pPr>
              <w:widowControl/>
              <w:jc w:val="center"/>
              <w:rPr>
                <w:rFonts w:hint="eastAsia"/>
                <w:kern w:val="0"/>
                <w:szCs w:val="21"/>
              </w:rPr>
            </w:pPr>
            <w:r>
              <w:rPr>
                <w:rFonts w:hint="eastAsia"/>
                <w:kern w:val="0"/>
                <w:szCs w:val="21"/>
              </w:rPr>
              <w:t>2</w:t>
            </w:r>
          </w:p>
        </w:tc>
        <w:tc>
          <w:tcPr>
            <w:tcW w:w="1218" w:type="dxa"/>
            <w:shd w:val="clear" w:color="auto" w:fill="auto"/>
            <w:noWrap w:val="0"/>
            <w:vAlign w:val="top"/>
          </w:tcPr>
          <w:p>
            <w:pPr>
              <w:widowControl/>
              <w:jc w:val="center"/>
              <w:rPr>
                <w:rFonts w:hint="eastAsia"/>
                <w:kern w:val="0"/>
                <w:szCs w:val="21"/>
              </w:rPr>
            </w:pPr>
            <w:r>
              <w:rPr>
                <w:rFonts w:hint="eastAsia"/>
                <w:kern w:val="0"/>
                <w:szCs w:val="21"/>
              </w:rPr>
              <w:t>3</w:t>
            </w:r>
          </w:p>
        </w:tc>
        <w:tc>
          <w:tcPr>
            <w:tcW w:w="1218" w:type="dxa"/>
            <w:shd w:val="clear" w:color="auto" w:fill="auto"/>
            <w:noWrap w:val="0"/>
            <w:vAlign w:val="top"/>
          </w:tcPr>
          <w:p>
            <w:pPr>
              <w:widowControl/>
              <w:jc w:val="center"/>
              <w:rPr>
                <w:rFonts w:hint="eastAsia"/>
                <w:kern w:val="0"/>
                <w:szCs w:val="21"/>
              </w:rPr>
            </w:pPr>
            <w:r>
              <w:rPr>
                <w:rFonts w:hint="eastAsia"/>
                <w:kern w:val="0"/>
                <w:szCs w:val="21"/>
              </w:rPr>
              <w:t>4</w:t>
            </w:r>
          </w:p>
        </w:tc>
        <w:tc>
          <w:tcPr>
            <w:tcW w:w="1811" w:type="dxa"/>
            <w:shd w:val="clear" w:color="auto" w:fill="auto"/>
            <w:noWrap w:val="0"/>
            <w:vAlign w:val="top"/>
          </w:tcPr>
          <w:p>
            <w:pPr>
              <w:widowControl/>
              <w:jc w:val="center"/>
              <w:rPr>
                <w:rFonts w:hint="eastAsia"/>
                <w:kern w:val="0"/>
                <w:szCs w:val="21"/>
              </w:rPr>
            </w:pP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标准葡萄糖溶液/ml</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w:t>
            </w:r>
          </w:p>
        </w:tc>
        <w:tc>
          <w:tcPr>
            <w:tcW w:w="1217" w:type="dxa"/>
            <w:shd w:val="clear" w:color="auto" w:fill="auto"/>
            <w:noWrap w:val="0"/>
            <w:vAlign w:val="top"/>
          </w:tcPr>
          <w:p>
            <w:pPr>
              <w:widowControl/>
              <w:jc w:val="center"/>
              <w:rPr>
                <w:rFonts w:hint="eastAsia"/>
                <w:kern w:val="0"/>
                <w:szCs w:val="21"/>
              </w:rPr>
            </w:pPr>
            <w:r>
              <w:rPr>
                <w:rFonts w:hint="eastAsia"/>
                <w:kern w:val="0"/>
                <w:szCs w:val="21"/>
              </w:rPr>
              <w:t>0.2</w:t>
            </w:r>
          </w:p>
        </w:tc>
        <w:tc>
          <w:tcPr>
            <w:tcW w:w="1218" w:type="dxa"/>
            <w:shd w:val="clear" w:color="auto" w:fill="auto"/>
            <w:noWrap w:val="0"/>
            <w:vAlign w:val="top"/>
          </w:tcPr>
          <w:p>
            <w:pPr>
              <w:widowControl/>
              <w:jc w:val="center"/>
              <w:rPr>
                <w:rFonts w:hint="eastAsia"/>
                <w:kern w:val="0"/>
                <w:szCs w:val="21"/>
              </w:rPr>
            </w:pPr>
            <w:r>
              <w:rPr>
                <w:rFonts w:hint="eastAsia"/>
                <w:kern w:val="0"/>
                <w:szCs w:val="21"/>
              </w:rPr>
              <w:t>0.3</w:t>
            </w:r>
          </w:p>
        </w:tc>
        <w:tc>
          <w:tcPr>
            <w:tcW w:w="1218" w:type="dxa"/>
            <w:shd w:val="clear" w:color="auto" w:fill="auto"/>
            <w:noWrap w:val="0"/>
            <w:vAlign w:val="top"/>
          </w:tcPr>
          <w:p>
            <w:pPr>
              <w:widowControl/>
              <w:jc w:val="center"/>
              <w:rPr>
                <w:rFonts w:hint="eastAsia"/>
                <w:kern w:val="0"/>
                <w:szCs w:val="21"/>
              </w:rPr>
            </w:pPr>
            <w:r>
              <w:rPr>
                <w:rFonts w:hint="eastAsia"/>
                <w:kern w:val="0"/>
                <w:szCs w:val="21"/>
              </w:rPr>
              <w:t>0.4</w:t>
            </w:r>
          </w:p>
        </w:tc>
        <w:tc>
          <w:tcPr>
            <w:tcW w:w="1811" w:type="dxa"/>
            <w:shd w:val="clear" w:color="auto" w:fill="auto"/>
            <w:noWrap w:val="0"/>
            <w:vAlign w:val="top"/>
          </w:tcPr>
          <w:p>
            <w:pPr>
              <w:widowControl/>
              <w:jc w:val="center"/>
              <w:rPr>
                <w:rFonts w:hint="eastAsia"/>
                <w:kern w:val="0"/>
                <w:szCs w:val="21"/>
              </w:rPr>
            </w:pPr>
            <w:r>
              <w:rPr>
                <w:rFonts w:hint="eastAsia"/>
                <w:kern w:val="0"/>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蒸馏水/ml</w:t>
            </w:r>
          </w:p>
        </w:tc>
        <w:tc>
          <w:tcPr>
            <w:tcW w:w="1217" w:type="dxa"/>
            <w:shd w:val="clear" w:color="auto" w:fill="auto"/>
            <w:noWrap w:val="0"/>
            <w:vAlign w:val="top"/>
          </w:tcPr>
          <w:p>
            <w:pPr>
              <w:widowControl/>
              <w:jc w:val="center"/>
              <w:rPr>
                <w:rFonts w:hint="eastAsia"/>
                <w:kern w:val="0"/>
                <w:szCs w:val="21"/>
              </w:rPr>
            </w:pPr>
            <w:r>
              <w:rPr>
                <w:rFonts w:hint="eastAsia"/>
                <w:kern w:val="0"/>
                <w:szCs w:val="21"/>
              </w:rPr>
              <w:t>1.0</w:t>
            </w:r>
          </w:p>
        </w:tc>
        <w:tc>
          <w:tcPr>
            <w:tcW w:w="1217" w:type="dxa"/>
            <w:shd w:val="clear" w:color="auto" w:fill="auto"/>
            <w:noWrap w:val="0"/>
            <w:vAlign w:val="top"/>
          </w:tcPr>
          <w:p>
            <w:pPr>
              <w:widowControl/>
              <w:jc w:val="center"/>
              <w:rPr>
                <w:rFonts w:hint="eastAsia"/>
                <w:kern w:val="0"/>
                <w:szCs w:val="21"/>
              </w:rPr>
            </w:pPr>
            <w:r>
              <w:rPr>
                <w:rFonts w:hint="eastAsia"/>
                <w:kern w:val="0"/>
                <w:szCs w:val="21"/>
              </w:rPr>
              <w:t>0.9</w:t>
            </w:r>
          </w:p>
        </w:tc>
        <w:tc>
          <w:tcPr>
            <w:tcW w:w="1217" w:type="dxa"/>
            <w:shd w:val="clear" w:color="auto" w:fill="auto"/>
            <w:noWrap w:val="0"/>
            <w:vAlign w:val="top"/>
          </w:tcPr>
          <w:p>
            <w:pPr>
              <w:widowControl/>
              <w:jc w:val="center"/>
              <w:rPr>
                <w:rFonts w:hint="eastAsia"/>
                <w:kern w:val="0"/>
                <w:szCs w:val="21"/>
              </w:rPr>
            </w:pPr>
            <w:r>
              <w:rPr>
                <w:rFonts w:hint="eastAsia"/>
                <w:kern w:val="0"/>
                <w:szCs w:val="21"/>
              </w:rPr>
              <w:t>0.8</w:t>
            </w:r>
          </w:p>
        </w:tc>
        <w:tc>
          <w:tcPr>
            <w:tcW w:w="1218" w:type="dxa"/>
            <w:shd w:val="clear" w:color="auto" w:fill="auto"/>
            <w:noWrap w:val="0"/>
            <w:vAlign w:val="top"/>
          </w:tcPr>
          <w:p>
            <w:pPr>
              <w:widowControl/>
              <w:jc w:val="center"/>
              <w:rPr>
                <w:rFonts w:hint="eastAsia"/>
                <w:kern w:val="0"/>
                <w:szCs w:val="21"/>
              </w:rPr>
            </w:pPr>
            <w:r>
              <w:rPr>
                <w:rFonts w:hint="eastAsia"/>
                <w:kern w:val="0"/>
                <w:szCs w:val="21"/>
              </w:rPr>
              <w:t>0.7</w:t>
            </w:r>
          </w:p>
        </w:tc>
        <w:tc>
          <w:tcPr>
            <w:tcW w:w="1218" w:type="dxa"/>
            <w:shd w:val="clear" w:color="auto" w:fill="auto"/>
            <w:noWrap w:val="0"/>
            <w:vAlign w:val="top"/>
          </w:tcPr>
          <w:p>
            <w:pPr>
              <w:widowControl/>
              <w:jc w:val="center"/>
              <w:rPr>
                <w:rFonts w:hint="eastAsia"/>
                <w:kern w:val="0"/>
                <w:szCs w:val="21"/>
              </w:rPr>
            </w:pPr>
            <w:r>
              <w:rPr>
                <w:rFonts w:hint="eastAsia"/>
                <w:kern w:val="0"/>
                <w:szCs w:val="21"/>
              </w:rPr>
              <w:t>0.6</w:t>
            </w:r>
          </w:p>
        </w:tc>
        <w:tc>
          <w:tcPr>
            <w:tcW w:w="1811" w:type="dxa"/>
            <w:shd w:val="clear" w:color="auto" w:fill="auto"/>
            <w:noWrap w:val="0"/>
            <w:vAlign w:val="top"/>
          </w:tcPr>
          <w:p>
            <w:pPr>
              <w:widowControl/>
              <w:jc w:val="center"/>
              <w:rPr>
                <w:rFonts w:hint="eastAsia"/>
                <w:kern w:val="0"/>
                <w:szCs w:val="21"/>
              </w:rPr>
            </w:pPr>
            <w:r>
              <w:rPr>
                <w:rFonts w:hint="eastAsia"/>
                <w:kern w:val="0"/>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left"/>
              <w:rPr>
                <w:rFonts w:hint="eastAsia"/>
                <w:kern w:val="0"/>
                <w:szCs w:val="21"/>
              </w:rPr>
            </w:pPr>
          </w:p>
        </w:tc>
        <w:tc>
          <w:tcPr>
            <w:tcW w:w="7898" w:type="dxa"/>
            <w:gridSpan w:val="6"/>
            <w:shd w:val="clear" w:color="auto" w:fill="auto"/>
            <w:noWrap w:val="0"/>
            <w:vAlign w:val="top"/>
          </w:tcPr>
          <w:p>
            <w:pPr>
              <w:widowControl/>
              <w:jc w:val="center"/>
              <w:rPr>
                <w:rFonts w:hint="eastAsia"/>
                <w:kern w:val="0"/>
                <w:szCs w:val="21"/>
              </w:rPr>
            </w:pPr>
            <w:r>
              <w:rPr>
                <w:rFonts w:hint="eastAsia"/>
                <w:kern w:val="0"/>
                <w:szCs w:val="21"/>
              </w:rPr>
              <w:t>置冰水浴中5min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蒽酮试剂/ml</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7"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811" w:type="dxa"/>
            <w:shd w:val="clear" w:color="auto" w:fill="auto"/>
            <w:noWrap w:val="0"/>
            <w:vAlign w:val="top"/>
          </w:tcPr>
          <w:p>
            <w:pPr>
              <w:widowControl/>
              <w:jc w:val="center"/>
              <w:rPr>
                <w:rFonts w:hint="eastAsia"/>
                <w:kern w:val="0"/>
                <w:szCs w:val="21"/>
              </w:rPr>
            </w:pPr>
            <w:r>
              <w:rPr>
                <w:rFonts w:hint="eastAsia"/>
                <w:kern w:val="0"/>
                <w:szCs w:val="21"/>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left"/>
              <w:rPr>
                <w:rFonts w:hint="eastAsia"/>
                <w:kern w:val="0"/>
                <w:szCs w:val="21"/>
              </w:rPr>
            </w:pPr>
          </w:p>
        </w:tc>
        <w:tc>
          <w:tcPr>
            <w:tcW w:w="7898" w:type="dxa"/>
            <w:gridSpan w:val="6"/>
            <w:shd w:val="clear" w:color="auto" w:fill="auto"/>
            <w:noWrap w:val="0"/>
            <w:vAlign w:val="top"/>
          </w:tcPr>
          <w:p>
            <w:pPr>
              <w:widowControl/>
              <w:jc w:val="center"/>
              <w:rPr>
                <w:rFonts w:hint="eastAsia"/>
                <w:kern w:val="0"/>
                <w:szCs w:val="21"/>
              </w:rPr>
            </w:pPr>
            <w:r>
              <w:rPr>
                <w:rFonts w:hint="eastAsia"/>
                <w:kern w:val="0"/>
                <w:szCs w:val="21"/>
              </w:rPr>
              <w:t>沸水浴中准确煮沸10min，取出，用自来水冷却，室温放置10min，在620nm处比色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7" w:type="dxa"/>
            <w:shd w:val="clear" w:color="auto" w:fill="auto"/>
            <w:noWrap w:val="0"/>
            <w:vAlign w:val="top"/>
          </w:tcPr>
          <w:p>
            <w:pPr>
              <w:widowControl/>
              <w:jc w:val="center"/>
              <w:rPr>
                <w:rFonts w:hint="eastAsia"/>
                <w:kern w:val="0"/>
                <w:szCs w:val="21"/>
              </w:rPr>
            </w:pPr>
            <w:r>
              <w:rPr>
                <w:rFonts w:hint="eastAsia"/>
                <w:kern w:val="0"/>
                <w:szCs w:val="21"/>
              </w:rPr>
              <w:t>A</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0.144</w:t>
            </w:r>
          </w:p>
        </w:tc>
        <w:tc>
          <w:tcPr>
            <w:tcW w:w="1217" w:type="dxa"/>
            <w:shd w:val="clear" w:color="auto" w:fill="auto"/>
            <w:noWrap w:val="0"/>
            <w:vAlign w:val="top"/>
          </w:tcPr>
          <w:p>
            <w:pPr>
              <w:widowControl/>
              <w:jc w:val="center"/>
              <w:rPr>
                <w:rFonts w:hint="eastAsia"/>
                <w:kern w:val="0"/>
                <w:szCs w:val="21"/>
              </w:rPr>
            </w:pPr>
            <w:r>
              <w:rPr>
                <w:rFonts w:hint="eastAsia"/>
                <w:kern w:val="0"/>
                <w:szCs w:val="21"/>
              </w:rPr>
              <w:t>0.316</w:t>
            </w:r>
          </w:p>
        </w:tc>
        <w:tc>
          <w:tcPr>
            <w:tcW w:w="1218" w:type="dxa"/>
            <w:shd w:val="clear" w:color="auto" w:fill="auto"/>
            <w:noWrap w:val="0"/>
            <w:vAlign w:val="top"/>
          </w:tcPr>
          <w:p>
            <w:pPr>
              <w:widowControl/>
              <w:jc w:val="center"/>
              <w:rPr>
                <w:rFonts w:hint="eastAsia"/>
                <w:kern w:val="0"/>
                <w:szCs w:val="21"/>
              </w:rPr>
            </w:pPr>
            <w:r>
              <w:rPr>
                <w:rFonts w:hint="eastAsia"/>
                <w:kern w:val="0"/>
                <w:szCs w:val="21"/>
              </w:rPr>
              <w:t>0.667</w:t>
            </w:r>
          </w:p>
        </w:tc>
        <w:tc>
          <w:tcPr>
            <w:tcW w:w="1218" w:type="dxa"/>
            <w:shd w:val="clear" w:color="auto" w:fill="auto"/>
            <w:noWrap w:val="0"/>
            <w:vAlign w:val="top"/>
          </w:tcPr>
          <w:p>
            <w:pPr>
              <w:widowControl/>
              <w:jc w:val="center"/>
              <w:rPr>
                <w:rFonts w:hint="eastAsia"/>
                <w:kern w:val="0"/>
                <w:szCs w:val="21"/>
              </w:rPr>
            </w:pPr>
            <w:r>
              <w:rPr>
                <w:rFonts w:hint="eastAsia"/>
                <w:kern w:val="0"/>
                <w:szCs w:val="21"/>
              </w:rPr>
              <w:t>0.749</w:t>
            </w:r>
          </w:p>
        </w:tc>
        <w:tc>
          <w:tcPr>
            <w:tcW w:w="1811" w:type="dxa"/>
            <w:shd w:val="clear" w:color="auto" w:fill="auto"/>
            <w:noWrap w:val="0"/>
            <w:vAlign w:val="top"/>
          </w:tcPr>
          <w:p>
            <w:pPr>
              <w:widowControl/>
              <w:jc w:val="center"/>
              <w:rPr>
                <w:rFonts w:hint="eastAsia"/>
                <w:kern w:val="0"/>
                <w:szCs w:val="21"/>
              </w:rPr>
            </w:pPr>
            <w:r>
              <w:rPr>
                <w:rFonts w:hint="eastAsia"/>
                <w:kern w:val="0"/>
                <w:szCs w:val="21"/>
              </w:rPr>
              <w:t>1.633</w:t>
            </w:r>
          </w:p>
        </w:tc>
      </w:tr>
    </w:tbl>
    <w:p>
      <w:pPr>
        <w:widowControl/>
        <w:jc w:val="left"/>
        <w:rPr>
          <w:rFonts w:hint="eastAsia"/>
          <w:szCs w:val="21"/>
        </w:rPr>
      </w:pPr>
    </w:p>
    <w:p>
      <w:pPr>
        <w:widowControl/>
        <w:ind w:left="360"/>
        <w:jc w:val="left"/>
        <w:rPr>
          <w:kern w:val="0"/>
          <w:sz w:val="20"/>
          <w:szCs w:val="20"/>
        </w:rPr>
      </w:pPr>
      <w:bookmarkStart w:id="3" w:name="_Hlk533341856"/>
      <w:r>
        <w:rPr>
          <w:rFonts w:hint="eastAsia"/>
        </w:rPr>
        <w:t xml:space="preserve">       2.2.2蛋白质标准曲线的绘制</w:t>
      </w:r>
    </w:p>
    <w:bookmarkEnd w:id="3"/>
    <w:p>
      <w:pPr>
        <w:widowControl/>
        <w:jc w:val="left"/>
      </w:pPr>
      <w:r>
        <w:rPr>
          <w:rFonts w:hint="eastAsia"/>
        </w:rPr>
        <w:t xml:space="preserve"> </w:t>
      </w:r>
      <w:r>
        <w:t xml:space="preserve">                </w:t>
      </w:r>
      <w:r>
        <w:rPr>
          <w:rFonts w:hint="eastAsia"/>
        </w:rPr>
        <w:t>取6支干净试管，按表2进行编号并加入试剂。混匀，室温静置5min，于波长595nm处比色，读取吸光度，以吸光度为纵坐标，各标准液浓度（μ</w:t>
      </w:r>
      <w:r>
        <w:t xml:space="preserve"> g/ml</w:t>
      </w:r>
      <w:r>
        <w:rPr>
          <w:rFonts w:hint="eastAsia"/>
        </w:rPr>
        <w:t>）作为横坐标作图得标准曲线。</w:t>
      </w:r>
    </w:p>
    <w:p>
      <w:pPr>
        <w:widowControl/>
        <w:jc w:val="center"/>
        <w:rPr>
          <w:rFonts w:hint="eastAsia"/>
          <w:kern w:val="0"/>
          <w:szCs w:val="21"/>
        </w:rPr>
      </w:pPr>
      <w:r>
        <w:rPr>
          <w:rFonts w:hint="eastAsia"/>
          <w:szCs w:val="21"/>
        </w:rPr>
        <w:t>表2</w:t>
      </w:r>
      <w:r>
        <w:rPr>
          <w:szCs w:val="21"/>
        </w:rPr>
        <w:t xml:space="preserve"> </w:t>
      </w:r>
      <w:r>
        <w:rPr>
          <w:rFonts w:hint="eastAsia"/>
          <w:szCs w:val="21"/>
        </w:rPr>
        <w:t>考马斯亮蓝法测定蛋白质浓度—标准曲线的测定</w:t>
      </w:r>
    </w:p>
    <w:tbl>
      <w:tblPr>
        <w:tblStyle w:val="3"/>
        <w:tblW w:w="8624" w:type="dxa"/>
        <w:jc w:val="center"/>
        <w:tblInd w:w="-11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3"/>
        <w:gridCol w:w="1065"/>
        <w:gridCol w:w="1065"/>
        <w:gridCol w:w="1065"/>
        <w:gridCol w:w="1065"/>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管号</w:t>
            </w:r>
          </w:p>
        </w:tc>
        <w:tc>
          <w:tcPr>
            <w:tcW w:w="1065" w:type="dxa"/>
            <w:shd w:val="clear" w:color="auto" w:fill="auto"/>
            <w:noWrap w:val="0"/>
            <w:vAlign w:val="top"/>
          </w:tcPr>
          <w:p>
            <w:pPr>
              <w:widowControl/>
              <w:jc w:val="center"/>
              <w:rPr>
                <w:rFonts w:hint="eastAsia"/>
              </w:rPr>
            </w:pPr>
            <w:r>
              <w:rPr>
                <w:rFonts w:hint="eastAsia"/>
              </w:rPr>
              <w:t>1</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2</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3</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5</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标准液浓度/ml</w:t>
            </w:r>
          </w:p>
        </w:tc>
        <w:tc>
          <w:tcPr>
            <w:tcW w:w="1065" w:type="dxa"/>
            <w:shd w:val="clear" w:color="auto" w:fill="auto"/>
            <w:noWrap w:val="0"/>
            <w:vAlign w:val="top"/>
          </w:tcPr>
          <w:p>
            <w:pPr>
              <w:widowControl/>
              <w:jc w:val="center"/>
              <w:rPr>
                <w:rFonts w:hint="eastAsia"/>
              </w:rPr>
            </w:pPr>
            <w:r>
              <w:rPr>
                <w:rFonts w:hint="eastAsia"/>
              </w:rPr>
              <w:t>—</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0.2</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0.6</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蒸馏水/ml</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1.0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0.6</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0.2</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蛋白质浓度/（μ</w:t>
            </w:r>
            <w:r>
              <w:rPr>
                <w:kern w:val="0"/>
                <w:sz w:val="20"/>
                <w:szCs w:val="20"/>
              </w:rPr>
              <w:t xml:space="preserve"> g/ml</w:t>
            </w:r>
            <w:r>
              <w:rPr>
                <w:rFonts w:hint="eastAsia"/>
                <w:kern w:val="0"/>
                <w:sz w:val="20"/>
                <w:szCs w:val="20"/>
              </w:rPr>
              <w:t>）</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20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40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60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80</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3" w:type="dxa"/>
            <w:shd w:val="clear" w:color="auto" w:fill="auto"/>
            <w:noWrap w:val="0"/>
            <w:vAlign w:val="top"/>
          </w:tcPr>
          <w:p>
            <w:pPr>
              <w:widowControl/>
              <w:jc w:val="center"/>
              <w:rPr>
                <w:rFonts w:hint="eastAsia"/>
                <w:kern w:val="0"/>
                <w:sz w:val="20"/>
                <w:szCs w:val="20"/>
              </w:rPr>
            </w:pPr>
            <w:r>
              <w:rPr>
                <w:rFonts w:hint="eastAsia"/>
                <w:kern w:val="0"/>
                <w:sz w:val="20"/>
                <w:szCs w:val="20"/>
              </w:rPr>
              <w:t>A</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0.794</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0.840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0.771</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0.810</w:t>
            </w:r>
          </w:p>
        </w:tc>
        <w:tc>
          <w:tcPr>
            <w:tcW w:w="1065" w:type="dxa"/>
            <w:shd w:val="clear" w:color="auto" w:fill="auto"/>
            <w:noWrap w:val="0"/>
            <w:vAlign w:val="top"/>
          </w:tcPr>
          <w:p>
            <w:pPr>
              <w:widowControl/>
              <w:jc w:val="center"/>
              <w:rPr>
                <w:rFonts w:hint="eastAsia"/>
                <w:kern w:val="0"/>
                <w:sz w:val="20"/>
                <w:szCs w:val="20"/>
              </w:rPr>
            </w:pPr>
            <w:r>
              <w:rPr>
                <w:rFonts w:hint="eastAsia"/>
                <w:kern w:val="0"/>
                <w:sz w:val="20"/>
                <w:szCs w:val="20"/>
              </w:rPr>
              <w:t>0.867</w:t>
            </w:r>
          </w:p>
        </w:tc>
        <w:tc>
          <w:tcPr>
            <w:tcW w:w="1066" w:type="dxa"/>
            <w:shd w:val="clear" w:color="auto" w:fill="auto"/>
            <w:noWrap w:val="0"/>
            <w:vAlign w:val="top"/>
          </w:tcPr>
          <w:p>
            <w:pPr>
              <w:widowControl/>
              <w:jc w:val="center"/>
              <w:rPr>
                <w:rFonts w:hint="eastAsia"/>
                <w:kern w:val="0"/>
                <w:sz w:val="20"/>
                <w:szCs w:val="20"/>
              </w:rPr>
            </w:pPr>
            <w:r>
              <w:rPr>
                <w:rFonts w:hint="eastAsia"/>
                <w:kern w:val="0"/>
                <w:sz w:val="20"/>
                <w:szCs w:val="20"/>
              </w:rPr>
              <w:t>0.889</w:t>
            </w:r>
          </w:p>
        </w:tc>
      </w:tr>
    </w:tbl>
    <w:p>
      <w:pPr>
        <w:widowControl/>
        <w:jc w:val="left"/>
      </w:pPr>
      <w:bookmarkStart w:id="4" w:name="_Hlk533348130"/>
      <w:r>
        <w:rPr>
          <w:rFonts w:hint="eastAsia"/>
        </w:rPr>
        <w:t xml:space="preserve">         </w:t>
      </w:r>
      <w:bookmarkEnd w:id="4"/>
      <w:r>
        <w:rPr>
          <w:rFonts w:hint="eastAsia"/>
        </w:rPr>
        <w:t>2.2.3糖含量的提取</w:t>
      </w:r>
    </w:p>
    <w:p>
      <w:pPr>
        <w:widowControl/>
        <w:jc w:val="left"/>
        <w:rPr>
          <w:rFonts w:hint="eastAsia"/>
        </w:rPr>
      </w:pPr>
      <w:r>
        <w:rPr>
          <w:rFonts w:hint="eastAsia"/>
        </w:rPr>
        <w:t xml:space="preserve"> </w:t>
      </w:r>
      <w:r>
        <w:t xml:space="preserve">             </w:t>
      </w:r>
      <w:r>
        <w:rPr>
          <w:rFonts w:hint="eastAsia"/>
        </w:rPr>
        <w:t>分别称取苹果和香蕉新鲜样品各0.5 g，剪碎，加人3ml蒸馏水，在研钵中磨成匀浆，转人锥形瓶中，并用12ml蒸馏水冲洗研钵2~3次，洗出液也转人锥形瓶中。用塑料薄膜封口，于沸水中加热煮沸30min,冷却后过滤并定容至100ml,此为待测液。吸取待测液0. 5ml于试管中，加蒸馏水0.5ml,浸于冰水浴中冷却，再加人4ml蔥酮试剂，沸水浴中煮沸10min, 取出用自来水冷却后比色，其他条件与做标准曲线相同，测得的吸光度值由标准曲线查算出样品液的糖含量。</w:t>
      </w:r>
    </w:p>
    <w:p>
      <w:pPr>
        <w:widowControl/>
        <w:jc w:val="left"/>
        <w:rPr>
          <w:rFonts w:hint="eastAsia" w:cs="Arial"/>
          <w:sz w:val="21"/>
          <w:szCs w:val="21"/>
        </w:rPr>
      </w:pPr>
      <w:r>
        <w:rPr>
          <w:rFonts w:cs="Arial"/>
        </w:rPr>
        <w:t xml:space="preserve">         </w:t>
      </w:r>
      <w:r>
        <w:rPr>
          <w:rFonts w:hint="eastAsia" w:cs="Arial"/>
          <w:sz w:val="21"/>
          <w:szCs w:val="21"/>
        </w:rPr>
        <w:t>2.2.4蛋白质含量的提取</w:t>
      </w:r>
    </w:p>
    <w:p>
      <w:pPr>
        <w:widowControl/>
        <w:jc w:val="left"/>
        <w:rPr>
          <w:rFonts w:hint="eastAsia" w:cs="Arial"/>
          <w:sz w:val="21"/>
          <w:szCs w:val="21"/>
        </w:rPr>
      </w:pPr>
      <w:r>
        <w:rPr>
          <w:rFonts w:hint="eastAsia" w:cs="Arial"/>
          <w:sz w:val="21"/>
          <w:szCs w:val="21"/>
        </w:rPr>
        <w:t xml:space="preserve"> </w:t>
      </w:r>
      <w:r>
        <w:rPr>
          <w:rFonts w:cs="Arial"/>
          <w:sz w:val="21"/>
          <w:szCs w:val="21"/>
        </w:rPr>
        <w:t xml:space="preserve">             </w:t>
      </w:r>
      <w:r>
        <w:rPr>
          <w:rFonts w:hint="eastAsia" w:cs="Arial"/>
          <w:sz w:val="21"/>
          <w:szCs w:val="21"/>
        </w:rPr>
        <w:t>分别称取苹果和香蕉新鲜样品各5g，剪碎，加入适量0.9％NaCl溶液，在研钵中磨成匀浆，定容至10ml，静置十分钟，转移到离心管中，在4000r/min离心5min，弃去沉淀，上清液即为待测液。吸取部分待测液进行比色，测得的吸光度值由标准曲线查算出样品液的蛋白质含量。</w:t>
      </w:r>
    </w:p>
    <w:p>
      <w:pPr>
        <w:widowControl/>
        <w:jc w:val="left"/>
        <w:rPr>
          <w:kern w:val="0"/>
          <w:sz w:val="20"/>
          <w:szCs w:val="20"/>
        </w:rPr>
      </w:pPr>
      <w:r>
        <w:rPr>
          <w:rFonts w:hint="eastAsia"/>
        </w:rPr>
        <w:t>3</w:t>
      </w:r>
      <w:r>
        <w:t>.</w:t>
      </w:r>
      <w:r>
        <w:rPr>
          <w:rFonts w:hint="eastAsia"/>
        </w:rPr>
        <w:t>结果与分析</w:t>
      </w:r>
    </w:p>
    <w:p>
      <w:pPr>
        <w:widowControl/>
        <w:jc w:val="left"/>
        <w:rPr>
          <w:kern w:val="0"/>
          <w:sz w:val="20"/>
          <w:szCs w:val="20"/>
        </w:rPr>
      </w:pPr>
      <w:bookmarkStart w:id="5" w:name="_Hlk533351250"/>
      <w:r>
        <w:rPr>
          <w:rFonts w:hint="eastAsia"/>
        </w:rPr>
        <w:t xml:space="preserve"> </w:t>
      </w:r>
      <w:r>
        <w:t xml:space="preserve"> 3.1</w:t>
      </w:r>
      <w:r>
        <w:rPr>
          <w:rFonts w:hint="eastAsia"/>
        </w:rPr>
        <w:t>糖类含量的测定</w:t>
      </w:r>
    </w:p>
    <w:bookmarkEnd w:id="5"/>
    <w:p>
      <w:pPr>
        <w:widowControl/>
        <w:jc w:val="left"/>
      </w:pPr>
      <w:bookmarkStart w:id="6" w:name="_Hlk533350621"/>
      <w:r>
        <w:rPr>
          <w:rFonts w:hint="eastAsia"/>
        </w:rPr>
        <w:t xml:space="preserve"> </w:t>
      </w:r>
      <w:r>
        <w:t xml:space="preserve">  </w:t>
      </w:r>
      <w:r>
        <w:rPr>
          <w:rFonts w:hint="eastAsia"/>
        </w:rPr>
        <w:t>3.1.1糖类标准曲线</w:t>
      </w:r>
    </w:p>
    <w:bookmarkEnd w:id="6"/>
    <w:p>
      <w:pPr>
        <w:widowControl/>
        <w:jc w:val="center"/>
        <w:rPr>
          <w:rFonts w:hint="eastAsia" w:cs="Arial"/>
          <w:sz w:val="21"/>
          <w:szCs w:val="21"/>
        </w:rPr>
      </w:pPr>
      <w:r>
        <w:rPr>
          <w:rFonts w:hint="eastAsia" w:cs="Arial"/>
          <w:sz w:val="21"/>
          <w:szCs w:val="21"/>
        </w:rPr>
        <w:t>表3</w:t>
      </w:r>
      <w:r>
        <w:rPr>
          <w:rFonts w:cs="Arial"/>
          <w:sz w:val="21"/>
          <w:szCs w:val="21"/>
        </w:rPr>
        <w:t xml:space="preserve">  </w:t>
      </w:r>
      <w:r>
        <w:rPr>
          <w:rFonts w:hint="eastAsia" w:cs="Arial"/>
          <w:sz w:val="21"/>
          <w:szCs w:val="21"/>
        </w:rPr>
        <w:t>糖的吸光度</w:t>
      </w:r>
    </w:p>
    <w:tbl>
      <w:tblPr>
        <w:tblStyle w:val="3"/>
        <w:tblW w:w="9123"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管号</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w:t>
            </w:r>
          </w:p>
        </w:tc>
        <w:tc>
          <w:tcPr>
            <w:tcW w:w="1217" w:type="dxa"/>
            <w:shd w:val="clear" w:color="auto" w:fill="auto"/>
            <w:noWrap w:val="0"/>
            <w:vAlign w:val="top"/>
          </w:tcPr>
          <w:p>
            <w:pPr>
              <w:widowControl/>
              <w:jc w:val="center"/>
              <w:rPr>
                <w:rFonts w:hint="eastAsia"/>
                <w:kern w:val="0"/>
                <w:szCs w:val="21"/>
              </w:rPr>
            </w:pPr>
            <w:r>
              <w:rPr>
                <w:rFonts w:hint="eastAsia"/>
                <w:kern w:val="0"/>
                <w:szCs w:val="21"/>
              </w:rPr>
              <w:t>2</w:t>
            </w:r>
          </w:p>
        </w:tc>
        <w:tc>
          <w:tcPr>
            <w:tcW w:w="1218" w:type="dxa"/>
            <w:shd w:val="clear" w:color="auto" w:fill="auto"/>
            <w:noWrap w:val="0"/>
            <w:vAlign w:val="top"/>
          </w:tcPr>
          <w:p>
            <w:pPr>
              <w:widowControl/>
              <w:jc w:val="center"/>
              <w:rPr>
                <w:rFonts w:hint="eastAsia"/>
                <w:kern w:val="0"/>
                <w:szCs w:val="21"/>
              </w:rPr>
            </w:pPr>
            <w:r>
              <w:rPr>
                <w:rFonts w:hint="eastAsia"/>
                <w:kern w:val="0"/>
                <w:szCs w:val="21"/>
              </w:rPr>
              <w:t>3</w:t>
            </w:r>
          </w:p>
        </w:tc>
        <w:tc>
          <w:tcPr>
            <w:tcW w:w="1218" w:type="dxa"/>
            <w:shd w:val="clear" w:color="auto" w:fill="auto"/>
            <w:noWrap w:val="0"/>
            <w:vAlign w:val="top"/>
          </w:tcPr>
          <w:p>
            <w:pPr>
              <w:widowControl/>
              <w:jc w:val="center"/>
              <w:rPr>
                <w:rFonts w:hint="eastAsia"/>
                <w:kern w:val="0"/>
                <w:szCs w:val="21"/>
              </w:rPr>
            </w:pPr>
            <w:r>
              <w:rPr>
                <w:rFonts w:hint="eastAsia"/>
                <w:kern w:val="0"/>
                <w:szCs w:val="21"/>
              </w:rPr>
              <w:t>4</w:t>
            </w:r>
          </w:p>
        </w:tc>
        <w:tc>
          <w:tcPr>
            <w:tcW w:w="1218" w:type="dxa"/>
            <w:shd w:val="clear" w:color="auto" w:fill="auto"/>
            <w:noWrap w:val="0"/>
            <w:vAlign w:val="top"/>
          </w:tcPr>
          <w:p>
            <w:pPr>
              <w:widowControl/>
              <w:jc w:val="center"/>
              <w:rPr>
                <w:rFonts w:hint="eastAsia"/>
                <w:kern w:val="0"/>
                <w:szCs w:val="21"/>
              </w:rPr>
            </w:pPr>
            <w:r>
              <w:rPr>
                <w:rFonts w:hint="eastAsia"/>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葡萄糖含量（μg）</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10</w:t>
            </w:r>
          </w:p>
        </w:tc>
        <w:tc>
          <w:tcPr>
            <w:tcW w:w="1217" w:type="dxa"/>
            <w:shd w:val="clear" w:color="auto" w:fill="auto"/>
            <w:noWrap w:val="0"/>
            <w:vAlign w:val="top"/>
          </w:tcPr>
          <w:p>
            <w:pPr>
              <w:widowControl/>
              <w:jc w:val="center"/>
              <w:rPr>
                <w:rFonts w:hint="eastAsia"/>
                <w:kern w:val="0"/>
                <w:szCs w:val="21"/>
              </w:rPr>
            </w:pPr>
            <w:r>
              <w:rPr>
                <w:rFonts w:hint="eastAsia"/>
                <w:kern w:val="0"/>
                <w:szCs w:val="21"/>
              </w:rPr>
              <w:t>20</w:t>
            </w:r>
          </w:p>
        </w:tc>
        <w:tc>
          <w:tcPr>
            <w:tcW w:w="1218" w:type="dxa"/>
            <w:shd w:val="clear" w:color="auto" w:fill="auto"/>
            <w:noWrap w:val="0"/>
            <w:vAlign w:val="top"/>
          </w:tcPr>
          <w:p>
            <w:pPr>
              <w:widowControl/>
              <w:jc w:val="center"/>
              <w:rPr>
                <w:rFonts w:hint="eastAsia"/>
                <w:kern w:val="0"/>
                <w:szCs w:val="21"/>
              </w:rPr>
            </w:pPr>
            <w:r>
              <w:rPr>
                <w:rFonts w:hint="eastAsia"/>
                <w:kern w:val="0"/>
                <w:szCs w:val="21"/>
              </w:rPr>
              <w:t>30</w:t>
            </w:r>
          </w:p>
        </w:tc>
        <w:tc>
          <w:tcPr>
            <w:tcW w:w="1218" w:type="dxa"/>
            <w:shd w:val="clear" w:color="auto" w:fill="auto"/>
            <w:noWrap w:val="0"/>
            <w:vAlign w:val="top"/>
          </w:tcPr>
          <w:p>
            <w:pPr>
              <w:widowControl/>
              <w:jc w:val="center"/>
              <w:rPr>
                <w:rFonts w:hint="eastAsia"/>
                <w:kern w:val="0"/>
                <w:szCs w:val="21"/>
              </w:rPr>
            </w:pPr>
            <w:r>
              <w:rPr>
                <w:rFonts w:hint="eastAsia"/>
                <w:kern w:val="0"/>
                <w:szCs w:val="21"/>
              </w:rPr>
              <w:t>40</w:t>
            </w:r>
          </w:p>
        </w:tc>
        <w:tc>
          <w:tcPr>
            <w:tcW w:w="1218" w:type="dxa"/>
            <w:shd w:val="clear" w:color="auto" w:fill="auto"/>
            <w:noWrap w:val="0"/>
            <w:vAlign w:val="top"/>
          </w:tcPr>
          <w:p>
            <w:pPr>
              <w:widowControl/>
              <w:jc w:val="center"/>
              <w:rPr>
                <w:rFonts w:hint="eastAsia"/>
                <w:kern w:val="0"/>
                <w:szCs w:val="21"/>
              </w:rPr>
            </w:pPr>
            <w:r>
              <w:rPr>
                <w:rFonts w:hint="eastAsia"/>
                <w:kern w:val="0"/>
                <w:szCs w:val="21"/>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shd w:val="clear" w:color="auto" w:fill="auto"/>
            <w:noWrap w:val="0"/>
            <w:vAlign w:val="top"/>
          </w:tcPr>
          <w:p>
            <w:pPr>
              <w:widowControl/>
              <w:jc w:val="center"/>
              <w:rPr>
                <w:rFonts w:hint="eastAsia"/>
                <w:kern w:val="0"/>
                <w:szCs w:val="21"/>
              </w:rPr>
            </w:pPr>
            <w:r>
              <w:rPr>
                <w:rFonts w:hint="eastAsia"/>
                <w:kern w:val="0"/>
                <w:szCs w:val="21"/>
              </w:rPr>
              <w:t>A</w:t>
            </w:r>
          </w:p>
        </w:tc>
        <w:tc>
          <w:tcPr>
            <w:tcW w:w="1217" w:type="dxa"/>
            <w:shd w:val="clear" w:color="auto" w:fill="auto"/>
            <w:noWrap w:val="0"/>
            <w:vAlign w:val="top"/>
          </w:tcPr>
          <w:p>
            <w:pPr>
              <w:widowControl/>
              <w:jc w:val="center"/>
              <w:rPr>
                <w:rFonts w:hint="eastAsia"/>
                <w:kern w:val="0"/>
                <w:szCs w:val="21"/>
              </w:rPr>
            </w:pPr>
            <w:r>
              <w:rPr>
                <w:rFonts w:hint="eastAsia"/>
                <w:kern w:val="0"/>
                <w:szCs w:val="21"/>
              </w:rPr>
              <w:t>0</w:t>
            </w:r>
          </w:p>
        </w:tc>
        <w:tc>
          <w:tcPr>
            <w:tcW w:w="1217" w:type="dxa"/>
            <w:shd w:val="clear" w:color="auto" w:fill="auto"/>
            <w:noWrap w:val="0"/>
            <w:vAlign w:val="top"/>
          </w:tcPr>
          <w:p>
            <w:pPr>
              <w:widowControl/>
              <w:jc w:val="center"/>
              <w:rPr>
                <w:rFonts w:hint="eastAsia"/>
                <w:kern w:val="0"/>
                <w:szCs w:val="21"/>
              </w:rPr>
            </w:pPr>
            <w:r>
              <w:rPr>
                <w:rFonts w:hint="eastAsia"/>
                <w:kern w:val="0"/>
                <w:szCs w:val="21"/>
              </w:rPr>
              <w:t>0.144</w:t>
            </w:r>
          </w:p>
        </w:tc>
        <w:tc>
          <w:tcPr>
            <w:tcW w:w="1217" w:type="dxa"/>
            <w:shd w:val="clear" w:color="auto" w:fill="auto"/>
            <w:noWrap w:val="0"/>
            <w:vAlign w:val="top"/>
          </w:tcPr>
          <w:p>
            <w:pPr>
              <w:widowControl/>
              <w:jc w:val="center"/>
              <w:rPr>
                <w:rFonts w:hint="eastAsia"/>
                <w:kern w:val="0"/>
                <w:szCs w:val="21"/>
              </w:rPr>
            </w:pPr>
            <w:r>
              <w:rPr>
                <w:rFonts w:hint="eastAsia"/>
                <w:kern w:val="0"/>
                <w:szCs w:val="21"/>
              </w:rPr>
              <w:t>0.316</w:t>
            </w:r>
          </w:p>
        </w:tc>
        <w:tc>
          <w:tcPr>
            <w:tcW w:w="1218" w:type="dxa"/>
            <w:shd w:val="clear" w:color="auto" w:fill="auto"/>
            <w:noWrap w:val="0"/>
            <w:vAlign w:val="top"/>
          </w:tcPr>
          <w:p>
            <w:pPr>
              <w:widowControl/>
              <w:jc w:val="center"/>
              <w:rPr>
                <w:rFonts w:hint="eastAsia"/>
                <w:kern w:val="0"/>
                <w:szCs w:val="21"/>
              </w:rPr>
            </w:pPr>
            <w:r>
              <w:rPr>
                <w:rFonts w:hint="eastAsia"/>
                <w:kern w:val="0"/>
                <w:szCs w:val="21"/>
              </w:rPr>
              <w:t>0.667</w:t>
            </w:r>
          </w:p>
        </w:tc>
        <w:tc>
          <w:tcPr>
            <w:tcW w:w="1218" w:type="dxa"/>
            <w:shd w:val="clear" w:color="auto" w:fill="auto"/>
            <w:noWrap w:val="0"/>
            <w:vAlign w:val="top"/>
          </w:tcPr>
          <w:p>
            <w:pPr>
              <w:widowControl/>
              <w:jc w:val="center"/>
              <w:rPr>
                <w:rFonts w:hint="eastAsia"/>
                <w:kern w:val="0"/>
                <w:szCs w:val="21"/>
              </w:rPr>
            </w:pPr>
            <w:r>
              <w:rPr>
                <w:rFonts w:hint="eastAsia"/>
                <w:kern w:val="0"/>
                <w:szCs w:val="21"/>
              </w:rPr>
              <w:t>0.749</w:t>
            </w:r>
          </w:p>
        </w:tc>
        <w:tc>
          <w:tcPr>
            <w:tcW w:w="1218" w:type="dxa"/>
            <w:shd w:val="clear" w:color="auto" w:fill="auto"/>
            <w:noWrap w:val="0"/>
            <w:vAlign w:val="top"/>
          </w:tcPr>
          <w:p>
            <w:pPr>
              <w:widowControl/>
              <w:jc w:val="center"/>
              <w:rPr>
                <w:rFonts w:hint="eastAsia"/>
                <w:kern w:val="0"/>
                <w:szCs w:val="21"/>
              </w:rPr>
            </w:pPr>
            <w:r>
              <w:rPr>
                <w:rFonts w:hint="eastAsia"/>
                <w:kern w:val="0"/>
                <w:szCs w:val="21"/>
              </w:rPr>
              <w:t>1.663</w:t>
            </w:r>
          </w:p>
        </w:tc>
      </w:tr>
    </w:tbl>
    <w:p>
      <w:pPr>
        <w:widowControl/>
        <w:jc w:val="center"/>
        <w:rPr>
          <w:rFonts w:hint="eastAsia"/>
          <w:szCs w:val="21"/>
        </w:rPr>
      </w:pPr>
    </w:p>
    <w:p>
      <w:pPr>
        <w:widowControl/>
        <w:jc w:val="center"/>
        <w:rPr>
          <w:kern w:val="0"/>
          <w:szCs w:val="21"/>
        </w:rPr>
      </w:pPr>
      <w:r>
        <w:rPr>
          <w:rFonts w:hint="eastAsia"/>
          <w:szCs w:val="21"/>
        </w:rPr>
        <w:t xml:space="preserve">图1 </w:t>
      </w:r>
      <w:r>
        <w:rPr>
          <w:szCs w:val="21"/>
        </w:rPr>
        <w:t xml:space="preserve"> </w:t>
      </w:r>
      <w:r>
        <w:rPr>
          <w:rFonts w:hint="eastAsia"/>
          <w:szCs w:val="21"/>
        </w:rPr>
        <w:t>糖的标准曲线</w:t>
      </w:r>
    </w:p>
    <w:p>
      <w:pPr>
        <w:widowControl/>
        <w:jc w:val="left"/>
      </w:pPr>
    </w:p>
    <w:p>
      <w:pPr>
        <w:widowControl/>
        <w:jc w:val="left"/>
        <w:rPr>
          <w:rFonts w:hint="eastAsia"/>
          <w:szCs w:val="21"/>
        </w:rPr>
      </w:pPr>
      <w:r>
        <w:rPr>
          <w:rFonts w:hint="eastAsia" w:asciiTheme="minorEastAsia" w:hAnsiTheme="minorEastAsia" w:eastAsiaTheme="minorEastAsia" w:cstheme="minorEastAsia"/>
          <w:sz w:val="21"/>
          <w:szCs w:val="21"/>
        </w:rPr>
        <w:drawing>
          <wp:anchor distT="0" distB="0" distL="114300" distR="114300" simplePos="0" relativeHeight="251700224" behindDoc="0" locked="0" layoutInCell="1" allowOverlap="1">
            <wp:simplePos x="0" y="0"/>
            <wp:positionH relativeFrom="column">
              <wp:posOffset>-204470</wp:posOffset>
            </wp:positionH>
            <wp:positionV relativeFrom="page">
              <wp:posOffset>7538720</wp:posOffset>
            </wp:positionV>
            <wp:extent cx="5562600" cy="1923415"/>
            <wp:effectExtent l="4445" t="4445" r="10795" b="7620"/>
            <wp:wrapTopAndBottom/>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anchor>
        </w:drawing>
      </w:r>
    </w:p>
    <w:p>
      <w:pPr>
        <w:widowControl/>
        <w:jc w:val="left"/>
        <w:rPr>
          <w:szCs w:val="21"/>
        </w:rPr>
      </w:pPr>
      <w:r>
        <w:rPr>
          <w:szCs w:val="21"/>
        </w:rPr>
        <w:t xml:space="preserve"> </w:t>
      </w:r>
      <w:r>
        <w:rPr>
          <w:rFonts w:hint="eastAsia"/>
          <w:szCs w:val="21"/>
        </w:rPr>
        <w:t xml:space="preserve"> 3.2蛋白质含量的测定</w:t>
      </w:r>
    </w:p>
    <w:p>
      <w:pPr>
        <w:widowControl/>
        <w:jc w:val="left"/>
        <w:rPr>
          <w:kern w:val="0"/>
          <w:szCs w:val="21"/>
        </w:rPr>
      </w:pPr>
      <w:r>
        <w:rPr>
          <w:szCs w:val="21"/>
        </w:rPr>
        <w:t xml:space="preserve"> </w:t>
      </w:r>
      <w:r>
        <w:rPr>
          <w:rFonts w:hint="eastAsia"/>
          <w:szCs w:val="21"/>
        </w:rPr>
        <w:t>3.2.1蛋白质标准曲线</w:t>
      </w:r>
    </w:p>
    <w:p>
      <w:pPr>
        <w:widowControl/>
        <w:jc w:val="center"/>
        <w:rPr>
          <w:kern w:val="0"/>
          <w:szCs w:val="21"/>
        </w:rPr>
      </w:pPr>
      <w:r>
        <w:rPr>
          <w:rFonts w:hint="eastAsia"/>
          <w:szCs w:val="21"/>
        </w:rPr>
        <w:t>表4</w:t>
      </w:r>
      <w:r>
        <w:rPr>
          <w:szCs w:val="21"/>
        </w:rPr>
        <w:t xml:space="preserve">  </w:t>
      </w:r>
      <w:r>
        <w:rPr>
          <w:rFonts w:hint="eastAsia"/>
          <w:szCs w:val="21"/>
        </w:rPr>
        <w:t>蛋白质的吸光度</w:t>
      </w:r>
    </w:p>
    <w:tbl>
      <w:tblPr>
        <w:tblStyle w:val="3"/>
        <w:tblW w:w="9123" w:type="dxa"/>
        <w:tblInd w:w="-6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3"/>
        <w:gridCol w:w="1199"/>
        <w:gridCol w:w="1217"/>
        <w:gridCol w:w="1236"/>
        <w:gridCol w:w="1236"/>
        <w:gridCol w:w="1236"/>
        <w:gridCol w:w="1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管号</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1</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2</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3</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4</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蛋白质含量(μg)</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20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40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60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80</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2" w:hRule="atLeast"/>
        </w:trPr>
        <w:tc>
          <w:tcPr>
            <w:tcW w:w="1763" w:type="dxa"/>
            <w:shd w:val="clear" w:color="auto" w:fill="auto"/>
            <w:noWrap w:val="0"/>
            <w:vAlign w:val="top"/>
          </w:tcPr>
          <w:p>
            <w:pPr>
              <w:widowControl/>
              <w:jc w:val="center"/>
              <w:rPr>
                <w:rFonts w:hint="eastAsia"/>
                <w:kern w:val="0"/>
                <w:sz w:val="20"/>
                <w:szCs w:val="20"/>
              </w:rPr>
            </w:pPr>
            <w:r>
              <w:rPr>
                <w:rFonts w:hint="eastAsia"/>
                <w:kern w:val="0"/>
                <w:sz w:val="20"/>
                <w:szCs w:val="20"/>
              </w:rPr>
              <w:t>A</w:t>
            </w:r>
          </w:p>
        </w:tc>
        <w:tc>
          <w:tcPr>
            <w:tcW w:w="1199" w:type="dxa"/>
            <w:shd w:val="clear" w:color="auto" w:fill="auto"/>
            <w:noWrap w:val="0"/>
            <w:vAlign w:val="top"/>
          </w:tcPr>
          <w:p>
            <w:pPr>
              <w:widowControl/>
              <w:jc w:val="center"/>
              <w:rPr>
                <w:rFonts w:hint="eastAsia"/>
                <w:kern w:val="0"/>
                <w:sz w:val="20"/>
                <w:szCs w:val="20"/>
              </w:rPr>
            </w:pPr>
            <w:r>
              <w:rPr>
                <w:rFonts w:hint="eastAsia"/>
                <w:kern w:val="0"/>
                <w:sz w:val="20"/>
                <w:szCs w:val="20"/>
              </w:rPr>
              <w:t>0</w:t>
            </w:r>
          </w:p>
        </w:tc>
        <w:tc>
          <w:tcPr>
            <w:tcW w:w="1217" w:type="dxa"/>
            <w:shd w:val="clear" w:color="auto" w:fill="auto"/>
            <w:noWrap w:val="0"/>
            <w:vAlign w:val="top"/>
          </w:tcPr>
          <w:p>
            <w:pPr>
              <w:widowControl/>
              <w:jc w:val="center"/>
              <w:rPr>
                <w:rFonts w:hint="eastAsia"/>
                <w:kern w:val="0"/>
                <w:sz w:val="20"/>
                <w:szCs w:val="20"/>
              </w:rPr>
            </w:pPr>
            <w:r>
              <w:rPr>
                <w:rFonts w:hint="eastAsia"/>
                <w:kern w:val="0"/>
                <w:sz w:val="20"/>
                <w:szCs w:val="20"/>
              </w:rPr>
              <w:t>0.239</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0.424</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0.608</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0.738</w:t>
            </w:r>
          </w:p>
        </w:tc>
        <w:tc>
          <w:tcPr>
            <w:tcW w:w="1236" w:type="dxa"/>
            <w:shd w:val="clear" w:color="auto" w:fill="auto"/>
            <w:noWrap w:val="0"/>
            <w:vAlign w:val="top"/>
          </w:tcPr>
          <w:p>
            <w:pPr>
              <w:widowControl/>
              <w:jc w:val="center"/>
              <w:rPr>
                <w:rFonts w:hint="eastAsia"/>
                <w:kern w:val="0"/>
                <w:sz w:val="20"/>
                <w:szCs w:val="20"/>
              </w:rPr>
            </w:pPr>
            <w:r>
              <w:rPr>
                <w:rFonts w:hint="eastAsia"/>
                <w:kern w:val="0"/>
                <w:sz w:val="20"/>
                <w:szCs w:val="20"/>
              </w:rPr>
              <w:t>0.881</w:t>
            </w:r>
          </w:p>
        </w:tc>
      </w:tr>
    </w:tbl>
    <w:p>
      <w:pPr>
        <w:widowControl/>
        <w:jc w:val="center"/>
        <w:rPr>
          <w:rFonts w:hint="eastAsia" w:cs="Arial"/>
          <w:sz w:val="21"/>
          <w:szCs w:val="21"/>
        </w:rPr>
      </w:pPr>
    </w:p>
    <w:p>
      <w:pPr>
        <w:widowControl/>
        <w:jc w:val="center"/>
        <w:rPr>
          <w:rFonts w:hint="eastAsia" w:cs="Arial"/>
          <w:sz w:val="21"/>
          <w:szCs w:val="21"/>
        </w:rPr>
      </w:pPr>
    </w:p>
    <w:p>
      <w:pPr>
        <w:widowControl/>
        <w:jc w:val="center"/>
      </w:pPr>
      <w:r>
        <w:rPr>
          <w:rFonts w:hint="eastAsia" w:asciiTheme="minorEastAsia" w:hAnsiTheme="minorEastAsia" w:eastAsiaTheme="minorEastAsia" w:cstheme="minorEastAsia"/>
          <w:sz w:val="21"/>
          <w:szCs w:val="21"/>
        </w:rPr>
        <w:drawing>
          <wp:anchor distT="0" distB="0" distL="114300" distR="114300" simplePos="0" relativeHeight="251688960" behindDoc="0" locked="0" layoutInCell="1" allowOverlap="1">
            <wp:simplePos x="0" y="0"/>
            <wp:positionH relativeFrom="column">
              <wp:posOffset>17145</wp:posOffset>
            </wp:positionH>
            <wp:positionV relativeFrom="page">
              <wp:posOffset>2880995</wp:posOffset>
            </wp:positionV>
            <wp:extent cx="5065395" cy="1962785"/>
            <wp:effectExtent l="4445" t="4445" r="5080" b="13970"/>
            <wp:wrapTopAndBottom/>
            <wp:docPr id="7"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Pr>
          <w:rFonts w:hint="eastAsia" w:cs="Arial"/>
          <w:sz w:val="21"/>
          <w:szCs w:val="21"/>
        </w:rPr>
        <w:t>图2</w:t>
      </w:r>
      <w:r>
        <w:rPr>
          <w:rFonts w:cs="Arial"/>
          <w:sz w:val="21"/>
          <w:szCs w:val="21"/>
        </w:rPr>
        <w:t xml:space="preserve">  </w:t>
      </w:r>
      <w:r>
        <w:rPr>
          <w:rFonts w:hint="eastAsia" w:cs="Arial"/>
          <w:sz w:val="21"/>
          <w:szCs w:val="21"/>
        </w:rPr>
        <w:t>蛋白质的标准曲线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EC77FA"/>
    <w:multiLevelType w:val="multilevel"/>
    <w:tmpl w:val="25EC77F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C0AF9"/>
    <w:rsid w:val="0A7C5F0F"/>
    <w:rsid w:val="1F5C0AF9"/>
    <w:rsid w:val="2C0B0CE2"/>
    <w:rsid w:val="31D96FF1"/>
    <w:rsid w:val="33A444B5"/>
    <w:rsid w:val="5B9A600E"/>
    <w:rsid w:val="5F6C4FA3"/>
    <w:rsid w:val="70324BB8"/>
    <w:rsid w:val="78C11E36"/>
    <w:rsid w:val="7DC103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Arial"/>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260273972603"/>
          <c:y val="0.196764608781776"/>
          <c:w val="0.820821917808219"/>
          <c:h val="0.671180087907099"/>
        </c:manualLayout>
      </c:layout>
      <c:scatterChart>
        <c:scatterStyle val="marker"/>
        <c:varyColors val="0"/>
        <c:ser>
          <c:idx val="0"/>
          <c:order val="0"/>
          <c:tx>
            <c:strRef>
              <c:f>[工作簿1]Sheet1!$A$2</c:f>
              <c:strCache>
                <c:ptCount val="1"/>
                <c:pt idx="0">
                  <c:v>吸光度</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01737007904829"/>
                  <c:y val="-0.276722683839458"/>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[工作簿1]Sheet1!$B$1:$G$1</c:f>
              <c:numCache>
                <c:formatCode>General</c:formatCode>
                <c:ptCount val="6"/>
                <c:pt idx="0">
                  <c:v>0</c:v>
                </c:pt>
                <c:pt idx="1">
                  <c:v>10</c:v>
                </c:pt>
                <c:pt idx="2">
                  <c:v>20</c:v>
                </c:pt>
                <c:pt idx="3">
                  <c:v>30</c:v>
                </c:pt>
                <c:pt idx="4">
                  <c:v>40</c:v>
                </c:pt>
                <c:pt idx="5">
                  <c:v>50</c:v>
                </c:pt>
              </c:numCache>
            </c:numRef>
          </c:xVal>
          <c:yVal>
            <c:numRef>
              <c:f>[工作簿1]Sheet1!$B$2:$G$2</c:f>
              <c:numCache>
                <c:formatCode>General</c:formatCode>
                <c:ptCount val="6"/>
                <c:pt idx="0">
                  <c:v>0</c:v>
                </c:pt>
                <c:pt idx="1">
                  <c:v>0.144</c:v>
                </c:pt>
                <c:pt idx="2">
                  <c:v>0.316</c:v>
                </c:pt>
                <c:pt idx="3">
                  <c:v>0.667</c:v>
                </c:pt>
                <c:pt idx="4">
                  <c:v>0.749</c:v>
                </c:pt>
                <c:pt idx="5">
                  <c:v>1.663</c:v>
                </c:pt>
              </c:numCache>
            </c:numRef>
          </c:yVal>
          <c:smooth val="0"/>
        </c:ser>
        <c:dLbls>
          <c:showLegendKey val="0"/>
          <c:showVal val="0"/>
          <c:showCatName val="0"/>
          <c:showSerName val="0"/>
          <c:showPercent val="0"/>
          <c:showBubbleSize val="0"/>
        </c:dLbls>
        <c:axId val="567467715"/>
        <c:axId val="970752300"/>
      </c:scatterChart>
      <c:valAx>
        <c:axId val="5674677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葡萄糖含量（μg）</a:t>
                </a:r>
              </a:p>
            </c:rich>
          </c:tx>
          <c:layout>
            <c:manualLayout>
              <c:xMode val="edge"/>
              <c:yMode val="edge"/>
              <c:x val="0.444840182648402"/>
              <c:y val="0.891389219241469"/>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70752300"/>
        <c:crosses val="autoZero"/>
        <c:crossBetween val="midCat"/>
      </c:valAx>
      <c:valAx>
        <c:axId val="9707523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吸光度</a:t>
                </a:r>
              </a:p>
            </c:rich>
          </c:tx>
          <c:layout>
            <c:manualLayout>
              <c:xMode val="edge"/>
              <c:yMode val="edge"/>
              <c:x val="0.0292237442922374"/>
              <c:y val="0.37851146110152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6746771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5397103366992"/>
          <c:y val="0.209050646877119"/>
          <c:w val="0.853997194950912"/>
          <c:h val="0.598136868505912"/>
        </c:manualLayout>
      </c:layout>
      <c:scatterChart>
        <c:scatterStyle val="marker"/>
        <c:varyColors val="0"/>
        <c:ser>
          <c:idx val="0"/>
          <c:order val="0"/>
          <c:tx>
            <c:strRef>
              <c:f>[工作簿1]Sheet1!$A$24</c:f>
              <c:strCache>
                <c:ptCount val="1"/>
                <c:pt idx="0">
                  <c:v>吸光度</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0845626673466786"/>
                  <c:y val="-0.186352959910824"/>
                </c:manualLayout>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[工作簿1]Sheet1!$B$23:$G$23</c:f>
              <c:numCache>
                <c:formatCode>General</c:formatCode>
                <c:ptCount val="6"/>
                <c:pt idx="0">
                  <c:v>0</c:v>
                </c:pt>
                <c:pt idx="1">
                  <c:v>20</c:v>
                </c:pt>
                <c:pt idx="2">
                  <c:v>40</c:v>
                </c:pt>
                <c:pt idx="3">
                  <c:v>60</c:v>
                </c:pt>
                <c:pt idx="4">
                  <c:v>80</c:v>
                </c:pt>
                <c:pt idx="5">
                  <c:v>100</c:v>
                </c:pt>
              </c:numCache>
            </c:numRef>
          </c:xVal>
          <c:yVal>
            <c:numRef>
              <c:f>[工作簿1]Sheet1!$B$24:$G$24</c:f>
              <c:numCache>
                <c:formatCode>General</c:formatCode>
                <c:ptCount val="6"/>
                <c:pt idx="0">
                  <c:v>0</c:v>
                </c:pt>
                <c:pt idx="1">
                  <c:v>0.239</c:v>
                </c:pt>
                <c:pt idx="2">
                  <c:v>0.424</c:v>
                </c:pt>
                <c:pt idx="3">
                  <c:v>0.608</c:v>
                </c:pt>
                <c:pt idx="4">
                  <c:v>0.738</c:v>
                </c:pt>
                <c:pt idx="5">
                  <c:v>0.881</c:v>
                </c:pt>
              </c:numCache>
            </c:numRef>
          </c:yVal>
          <c:smooth val="0"/>
        </c:ser>
        <c:dLbls>
          <c:showLegendKey val="0"/>
          <c:showVal val="0"/>
          <c:showCatName val="0"/>
          <c:showSerName val="0"/>
          <c:showPercent val="0"/>
          <c:showBubbleSize val="0"/>
        </c:dLbls>
        <c:axId val="511995245"/>
        <c:axId val="722378945"/>
      </c:scatterChart>
      <c:valAx>
        <c:axId val="51199524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蛋白质含量(μg)</a:t>
                </a:r>
              </a:p>
            </c:rich>
          </c:tx>
          <c:layout>
            <c:manualLayout>
              <c:xMode val="edge"/>
              <c:yMode val="edge"/>
              <c:x val="0.460760769511684"/>
              <c:y val="0.893885473956648"/>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22378945"/>
        <c:crosses val="autoZero"/>
        <c:crossBetween val="midCat"/>
      </c:valAx>
      <c:valAx>
        <c:axId val="72237894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吸光度</a:t>
                </a:r>
              </a:p>
            </c:rich>
          </c:tx>
          <c:layout>
            <c:manualLayout>
              <c:xMode val="edge"/>
              <c:yMode val="edge"/>
              <c:x val="0.037613158230269"/>
              <c:y val="0.441311357936224"/>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1199524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2018-12-23T10:12:00Z</dcterms:created>
  <dc:creator>人情世故 ₂₇ ²⁷ </dc:creator>
  <cp:lastModifiedBy>人情世故 ₂₇ ²⁷ </cp:lastModifiedBy>
  <dcterms:modified xsi:type="dcterms:W3CDTF">2018-12-25T02:37:05Z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y fmtid="{D5CDD505-2E9C-101B-9397-08002B2CF9AE}" pid="3" name="KSORubyTemplateID" linkTarget="0">
    <vt:lpwstr>6</vt:lpwstr>
  </property>
</Properties>
</file>