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中国移动通信集团山东有限公司嘉祥分公司系统存在SQL注入漏洞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归属：</w:t>
      </w:r>
    </w:p>
    <w:p>
      <w:r>
        <w:drawing>
          <wp:inline distT="0" distB="0" distL="114300" distR="114300">
            <wp:extent cx="5263515" cy="2528570"/>
            <wp:effectExtent l="0" t="0" r="1968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85720"/>
            <wp:effectExtent l="0" t="0" r="184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漏洞URL：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"http://zhihuifangxun.yuanzhihang.com/Home/Index/index_detail/?id/=1"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4"/>
          <w:rFonts w:hint="eastAsia"/>
          <w:lang w:val="en-US" w:eastAsia="zh-Hans"/>
        </w:rPr>
        <w:t>http://zhihuifangxun.yuanzhihang.com/Home/Index/index_detail\?id\=1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5420" cy="3771265"/>
            <wp:effectExtent l="0" t="0" r="177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ED6FF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2023-03-20T12:07:44Z</dcterms:created>
  <dc:creator>Data</dc:creator>
  <cp:lastModifiedBy>Adminhc</cp:lastModifiedBy>
  <dcterms:modified xsi:type="dcterms:W3CDTF">2023-03-20T12:13:31Z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D0C72DAFEFF6F8FC6BDD1764FE8B2855_42</vt:lpwstr>
  </property>
</Properties>
</file>