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idopNetwork proximal causal inference for molecular exposures and restricted survival</w:t>
      </w:r>
    </w:p>
    <w:p>
      <w:pPr>
        <w:pStyle w:val="FirstParagraph"/>
      </w:pPr>
      <w:r>
        <w:rPr>
          <w:b/>
          <w:bCs/>
        </w:rPr>
        <w:t xml:space="preserve">Short title:</w:t>
      </w:r>
      <w:r>
        <w:t xml:space="preserve"> </w:t>
      </w:r>
      <w:r>
        <w:t xml:space="preserve">Network-guided proximal causal inference</w:t>
      </w:r>
    </w:p>
    <w:p>
      <w:pPr>
        <w:pStyle w:val="BodyText"/>
      </w:pPr>
      <w:r>
        <w:rPr>
          <w:b/>
          <w:bCs/>
        </w:rPr>
        <w:t xml:space="preserve">Authors:</w:t>
      </w:r>
      <w:r>
        <w:t xml:space="preserve"> </w:t>
      </w:r>
      <w:r>
        <w:t xml:space="preserve">[First Author]</w:t>
      </w:r>
      <m:oMath>
        <m:sSup>
          <m:e>
            <m:r>
              <m:t>​</m:t>
            </m:r>
          </m:e>
          <m:sup>
            <m:r>
              <m:t>1</m:t>
            </m:r>
          </m:sup>
        </m:sSup>
      </m:oMath>
      <w:r>
        <w:t xml:space="preserve">, [Second Author]</w:t>
      </w:r>
      <m:oMath>
        <m:sSup>
          <m:e>
            <m:r>
              <m:t>​</m:t>
            </m:r>
          </m:e>
          <m:sup>
            <m:r>
              <m:t>2</m:t>
            </m:r>
          </m:sup>
        </m:sSup>
      </m:oMath>
      <w:r>
        <w:t xml:space="preserve">, [Corresponding Author]</w:t>
      </w:r>
      <m:oMath>
        <m:sSup>
          <m:e>
            <m:r>
              <m:t>​</m:t>
            </m:r>
          </m:e>
          <m:sup>
            <m:r>
              <m:t>1</m:t>
            </m:r>
            <m:r>
              <m:rPr>
                <m:sty m:val="p"/>
              </m:rPr>
              <m:t>,</m:t>
            </m:r>
            <m:r>
              <m:rPr>
                <m:sty m:val="p"/>
              </m:rPr>
              <m:t>*</m:t>
            </m:r>
          </m:sup>
        </m:sSup>
      </m:oMath>
    </w:p>
    <w:p>
      <w:pPr>
        <w:pStyle w:val="BodyText"/>
      </w:pPr>
      <m:oMath>
        <m:sSup>
          <m:e>
            <m:r>
              <m:t>​</m:t>
            </m:r>
          </m:e>
          <m:sup>
            <m:r>
              <m:t>1</m:t>
            </m:r>
          </m:sup>
        </m:sSup>
      </m:oMath>
      <w:r>
        <w:t xml:space="preserve"> </w:t>
      </w:r>
      <w:r>
        <w:t xml:space="preserve">[Department, Institution, City, Country]</w:t>
      </w:r>
      <w:r>
        <w:t xml:space="preserve"> </w:t>
      </w:r>
      <m:oMath>
        <m:sSup>
          <m:e>
            <m:r>
              <m:t>​</m:t>
            </m:r>
          </m:e>
          <m:sup>
            <m:r>
              <m:t>2</m:t>
            </m:r>
          </m:sup>
        </m:sSup>
      </m:oMath>
      <w:r>
        <w:t xml:space="preserve"> </w:t>
      </w:r>
      <w:r>
        <w:t xml:space="preserve">[Department, Institution, City, Country]</w:t>
      </w:r>
    </w:p>
    <w:p>
      <w:pPr>
        <w:pStyle w:val="BodyText"/>
      </w:pPr>
      <w:r>
        <w:rPr>
          <w:b/>
          <w:bCs/>
        </w:rPr>
        <w:t xml:space="preserve">*Correspondence:</w:t>
      </w:r>
      <w:r>
        <w:t xml:space="preserve"> </w:t>
      </w:r>
      <w:r>
        <w:t xml:space="preserve">[Name], [postal address]. Email: [address]. Telephone: [number].</w:t>
      </w:r>
    </w:p>
    <w:p>
      <w:pPr>
        <w:pStyle w:val="BodyText"/>
      </w:pPr>
      <w:r>
        <w:rPr>
          <w:b/>
          <w:bCs/>
        </w:rPr>
        <w:t xml:space="preserve">ORCID:</w:t>
      </w:r>
      <w:r>
        <w:t xml:space="preserve"> </w:t>
      </w:r>
      <w:r>
        <w:t xml:space="preserve">[iDs]</w:t>
      </w:r>
    </w:p>
    <w:p>
      <w:pPr>
        <w:pStyle w:val="BodyText"/>
      </w:pPr>
      <w:r>
        <w:rPr>
          <w:b/>
          <w:bCs/>
        </w:rPr>
        <w:t xml:space="preserve">Word count:</w:t>
      </w:r>
      <w:r>
        <w:t xml:space="preserve"> </w:t>
      </w:r>
      <w:r>
        <w:t xml:space="preserve">main text approximately 6114 words.</w:t>
      </w:r>
    </w:p>
    <w:p>
      <w:r>
        <w:br w:type="page"/>
      </w:r>
    </w:p>
    <w:bookmarkStart w:id="9" w:name="abstract"/>
    <w:p>
      <w:pPr>
        <w:pStyle w:val="Heading1"/>
      </w:pPr>
      <w:r>
        <w:t xml:space="preserve">Abstract</w:t>
      </w:r>
    </w:p>
    <w:p>
      <w:pPr>
        <w:pStyle w:val="FirstParagraph"/>
      </w:pPr>
      <w:r>
        <w:t xml:space="preserve">Protein abundance reflects molecular regulation and systemic variation that can confound survival associations. We develop idopNetwork–proximal inference for total molecular exposure effects. Niche-ordered curves and patient deviations guide network-based proxy construction. Structural conditions connect these roles to proximal exclusions, and a linear outcome bridge preserves downstream contributions to the total effect. Joint information learns systemic readout coordinates; conditional information selects an identifying design. Independent discovery and estimation combine this construction with concentrated moment inference. Inverse censoring weights extend the bridge to restricted mean survival time (RMST) and survival probability. A ten-estimator study compares seven molecular systems. In the modular system, linear-effect RMSE is 0.049, compared with 0.195 for a global-window design and 0.184 for correlation-selected proxies. Joint readout reduces linear bias from 0.203 to 0.013 in a weak two-factor system. Separate validation of the complete 75:25 discovery/estimation workflow uses 200 fresh datasets per system; coverage is 0.950–0.995, with bounded-set frequency quantifying precision. The ovarian-cancer application supplies 24 completed estimates from 60 proteins. PTEN has an estimated RMST contrast of 1.02 months per standard deviation and a 95% set of [-2.07, 4.24]; SERPINE1 and CCNE1 have negative point directions with real-line sets. Two ovarian proteins have bounded RMST sets; all sets include zero. These analyses connect molecular intervention questions to clinical effect scales and identifying information.</w:t>
      </w:r>
    </w:p>
    <w:p>
      <w:pPr>
        <w:pStyle w:val="BodyText"/>
      </w:pPr>
      <w:r>
        <w:rPr>
          <w:b/>
          <w:bCs/>
        </w:rPr>
        <w:t xml:space="preserve">Keywords:</w:t>
      </w:r>
      <w:r>
        <w:t xml:space="preserve"> </w:t>
      </w:r>
      <w:r>
        <w:t xml:space="preserve">proximal causal inference; idopNetwork; molecular networks; latent confounding; restricted mean survival time; outcome bridge</w:t>
      </w:r>
    </w:p>
    <w:p>
      <w:r>
        <w:br w:type="page"/>
      </w:r>
    </w:p>
    <w:bookmarkEnd w:id="9"/>
    <w:bookmarkStart w:id="10" w:name="introduction"/>
    <w:p>
      <w:pPr>
        <w:pStyle w:val="Heading1"/>
      </w:pPr>
      <w:r>
        <w:t xml:space="preserve">1 Introduction</w:t>
      </w:r>
    </w:p>
    <w:p>
      <w:pPr>
        <w:pStyle w:val="FirstParagraph"/>
      </w:pPr>
      <w:r>
        <w:t xml:space="preserve">Protein abundance is shaped by local regulation and systemic variation across patients. In tumour cohorts, purity, immune infiltration, stromal content and proliferation can influence many proteins together and also affect survival. A protein–outcome association therefore combines exposure effects with variation attributable to an incompletely measured biological state. Ovarian profiling documents stromal and mesenchymal variation [1] and multiple transcriptional subtypes [2]; intratumoral T cells are associated with survival [3]. These findings motivate measuring the shared biological state alongside an individual protein. Estimating the effect of changing that protein requires information about the state and a clinical intervention target.</w:t>
      </w:r>
    </w:p>
    <w:p>
      <w:pPr>
        <w:pStyle w:val="BodyText"/>
      </w:pPr>
      <w:r>
        <w:t xml:space="preserve">idopNetwork [4, 5] reconstructs a molecular network from cross-sectional observations by ordering patients along a niche index, fitting protein-specific population curves, and decomposing the curves into self and cross-protein contributions. Proximal causal inference [6, 7, 8] uses treatment-inducing proxies</w:t>
      </w:r>
      <w:r>
        <w:t xml:space="preserve"> </w:t>
      </w:r>
      <m:oMath>
        <m:r>
          <m:t>Z</m:t>
        </m:r>
      </m:oMath>
      <w:r>
        <w:t xml:space="preserve"> </w:t>
      </w:r>
      <w:r>
        <w:t xml:space="preserve">and outcome-inducing proxies</w:t>
      </w:r>
      <w:r>
        <w:t xml:space="preserve"> </w:t>
      </w:r>
      <m:oMath>
        <m:r>
          <m:t>W</m:t>
        </m:r>
      </m:oMath>
      <w:r>
        <w:t xml:space="preserve"> </w:t>
      </w:r>
      <w:r>
        <w:t xml:space="preserve">of an unmeasured confounder. An outcome bridge connects these measurements to the outcome and identifies an intervention contrast. The methodological task for a molecular panel is to connect network structure to exposure-specific proxy roles and then to identifying bridge information.</w:t>
      </w:r>
    </w:p>
    <w:p>
      <w:pPr>
        <w:pStyle w:val="BodyText"/>
      </w:pPr>
      <w:r>
        <w:t xml:space="preserve">We develop idopNetwork–proximal to estimate total protein-exposure effects from these molecular measurements. Exposure neighbourhoods and separated network components define candidate proxy roles. Structural conditions establish their exclusions, and an exposure-specific bridge identifies the total effect. Joint information learns systemic readout coordinates; conditional information selects a design that supplies the dimensions needed for causal estimation.</w:t>
      </w:r>
    </w:p>
    <w:p>
      <w:pPr>
        <w:pStyle w:val="BodyText"/>
      </w:pPr>
      <w:r>
        <w:t xml:space="preserve">The clinical target is a change in restricted mean survival time (RMST) or survival probability at a specified horizon. Inverse censoring weights preserve the complete-data conditional mean, extending the bridge to censored outcomes. Recent proximal methods for counterfactual survival curves and censored event regression provide related approaches [9, 10].</w:t>
      </w:r>
    </w:p>
    <w:p>
      <w:pPr>
        <w:pStyle w:val="BodyText"/>
      </w:pPr>
      <w:r>
        <w:t xml:space="preserve">The framework builds on negative-control designs [11, 12], proximal regression and semiparametric identification [6, 7, 8]. Fortified and adaptive proximal approaches [13, 14] address collections containing invalid proxies. We combine molecular design with independent discovery/estimation inference, evaluate network construction and readout learning in simulations, and study 36-month survival contrasts in ovarian cancer.</w:t>
      </w:r>
    </w:p>
    <w:bookmarkEnd w:id="10"/>
    <w:bookmarkStart w:id="11" w:name="setting-and-estimand"/>
    <w:p>
      <w:pPr>
        <w:pStyle w:val="Heading1"/>
      </w:pPr>
      <w:r>
        <w:t xml:space="preserve">2 Setting and estimand</w:t>
      </w:r>
    </w:p>
    <w:p>
      <w:pPr>
        <w:pStyle w:val="FirstParagraph"/>
      </w:pPr>
      <w:r>
        <w:t xml:space="preserve">For patient</w:t>
      </w:r>
      <w:r>
        <w:t xml:space="preserve"> </w:t>
      </w:r>
      <m:oMath>
        <m:r>
          <m:t>k</m:t>
        </m:r>
      </m:oMath>
      <w:r>
        <w:t xml:space="preserve">, observe a protein panel</w:t>
      </w:r>
      <w:r>
        <w:t xml:space="preserve"> </w:t>
      </w:r>
      <m:oMath>
        <m:sSub>
          <m:e>
            <m:r>
              <m:t>X</m:t>
            </m:r>
          </m:e>
          <m:sub>
            <m:r>
              <m:t>k</m:t>
            </m:r>
          </m:sub>
        </m:sSub>
        <m:r>
          <m:rPr>
            <m:sty m:val="p"/>
          </m:rPr>
          <m:t>∈</m:t>
        </m:r>
        <m:sSup>
          <m:e>
            <m:r>
              <m:rPr>
                <m:scr m:val="double-struck"/>
                <m:sty m:val="p"/>
              </m:rPr>
              <m:t>R</m:t>
            </m:r>
          </m:e>
          <m:sup>
            <m:r>
              <m:t>p</m:t>
            </m:r>
          </m:sup>
        </m:sSup>
      </m:oMath>
      <w:r>
        <w:t xml:space="preserve">, covariates</w:t>
      </w:r>
      <w:r>
        <w:t xml:space="preserve"> </w:t>
      </w:r>
      <m:oMath>
        <m:sSub>
          <m:e>
            <m:r>
              <m:t>C</m:t>
            </m:r>
          </m:e>
          <m:sub>
            <m:r>
              <m:t>k</m:t>
            </m:r>
          </m:sub>
        </m:sSub>
      </m:oMath>
      <w:r>
        <w:t xml:space="preserve">, and outcome</w:t>
      </w:r>
      <w:r>
        <w:t xml:space="preserve"> </w:t>
      </w:r>
      <m:oMath>
        <m:sSub>
          <m:e>
            <m:r>
              <m:t>Y</m:t>
            </m:r>
          </m:e>
          <m:sub>
            <m:r>
              <m:t>k</m:t>
            </m:r>
          </m:sub>
        </m:sSub>
      </m:oMath>
      <w:r>
        <w:t xml:space="preserve">. One protein</w:t>
      </w:r>
      <w:r>
        <w:t xml:space="preserve"> </w:t>
      </w:r>
      <m:oMath>
        <m:r>
          <m:t>A</m:t>
        </m:r>
        <m:r>
          <m:rPr>
            <m:sty m:val="p"/>
          </m:rPr>
          <m:t>=</m:t>
        </m:r>
        <m:sSub>
          <m:e>
            <m:r>
              <m:t>X</m:t>
            </m:r>
          </m:e>
          <m:sub>
            <m:r>
              <m:t>a</m:t>
            </m:r>
          </m:sub>
        </m:sSub>
      </m:oMath>
      <w:r>
        <w:t xml:space="preserve"> </w:t>
      </w:r>
      <w:r>
        <w:t xml:space="preserve">is the exposure. The total intervention contrast is</w:t>
      </w:r>
    </w:p>
    <w:p>
      <w:pPr>
        <w:pStyle w:val="BodyText"/>
      </w:pPr>
      <m:oMathPara>
        <m:oMathParaPr>
          <m:jc m:val="center"/>
        </m:oMathParaPr>
        <m:oMath>
          <m:sSub>
            <m:e>
              <m:r>
                <m:rPr>
                  <m:sty m:val="p"/>
                </m:rPr>
                <m:t>Δ</m:t>
              </m:r>
            </m:e>
            <m:sub>
              <m:r>
                <m:t>A</m:t>
              </m:r>
            </m:sub>
          </m:sSub>
          <m:r>
            <m:rPr>
              <m:sty m:val="p"/>
            </m:rPr>
            <m:t>(</m:t>
          </m:r>
          <m:r>
            <m:t>a</m:t>
          </m:r>
          <m:r>
            <m:rPr>
              <m:sty m:val="p"/>
            </m:rPr>
            <m:t>,</m:t>
          </m:r>
          <m:sSup>
            <m:e>
              <m:r>
                <m:t>a</m:t>
              </m:r>
            </m:e>
            <m:sup>
              <m:r>
                <m:rPr>
                  <m:sty m:val="p"/>
                </m:rPr>
                <m:t>′</m:t>
              </m:r>
            </m:sup>
          </m:sSup>
          <m:r>
            <m:rPr>
              <m:sty m:val="p"/>
            </m:rPr>
            <m:t>)</m:t>
          </m:r>
          <m:r>
            <m:rPr>
              <m:sty m:val="p"/>
            </m:rPr>
            <m:t>=</m:t>
          </m:r>
          <m:r>
            <m:t>E</m:t>
          </m:r>
          <m:r>
            <m:rPr>
              <m:sty m:val="p"/>
            </m:rPr>
            <m:t>[</m:t>
          </m:r>
          <m:sSup>
            <m:e>
              <m:r>
                <m:t>Y</m:t>
              </m:r>
            </m:e>
            <m:sup>
              <m:r>
                <m:t>a</m:t>
              </m:r>
            </m:sup>
          </m:sSup>
          <m:r>
            <m:rPr>
              <m:sty m:val="p"/>
            </m:rPr>
            <m:t>−</m:t>
          </m:r>
          <m:sSup>
            <m:e>
              <m:r>
                <m:t>Y</m:t>
              </m:r>
            </m:e>
            <m:sup>
              <m:sSup>
                <m:e>
                  <m:r>
                    <m:t>a</m:t>
                  </m:r>
                </m:e>
                <m:sup>
                  <m:r>
                    <m:rPr>
                      <m:sty m:val="p"/>
                    </m:rPr>
                    <m:t>′</m:t>
                  </m:r>
                </m:sup>
              </m:sSup>
            </m:sup>
          </m:sSup>
          <m:r>
            <m:rPr>
              <m:sty m:val="p"/>
            </m:rPr>
            <m:t>]</m:t>
          </m:r>
          <m:r>
            <m:rPr>
              <m:sty m:val="p"/>
            </m:rPr>
            <m:t>=</m:t>
          </m:r>
          <m:sSub>
            <m:e>
              <m:r>
                <m:t>τ</m:t>
              </m:r>
            </m:e>
            <m:sub>
              <m:r>
                <m:t>A</m:t>
              </m:r>
            </m:sub>
          </m:sSub>
          <m:r>
            <m:rPr>
              <m:sty m:val="p"/>
            </m:rPr>
            <m:t>(</m:t>
          </m:r>
          <m:r>
            <m:t>a</m:t>
          </m:r>
          <m:r>
            <m:rPr>
              <m:sty m:val="p"/>
            </m:rPr>
            <m:t>−</m:t>
          </m:r>
          <m:sSup>
            <m:e>
              <m:r>
                <m:t>a</m:t>
              </m:r>
            </m:e>
            <m:sup>
              <m:r>
                <m:rPr>
                  <m:sty m:val="p"/>
                </m:rPr>
                <m:t>′</m:t>
              </m:r>
            </m:sup>
          </m:sSup>
          <m:r>
            <m:rPr>
              <m:sty m:val="p"/>
            </m:rPr>
            <m:t>)</m:t>
          </m:r>
          <m:r>
            <m:rPr>
              <m:sty m:val="p"/>
            </m:rPr>
            <m:t>.</m:t>
          </m:r>
        </m:oMath>
      </m:oMathPara>
    </w:p>
    <w:p>
      <w:pPr>
        <w:pStyle w:val="FirstParagraph"/>
      </w:pPr>
      <w:r>
        <w:t xml:space="preserve">The last equality defines the constant-effect mean model over the exposure contrast under study. For survival, observe</w:t>
      </w:r>
      <w:r>
        <w:t xml:space="preserve"> </w:t>
      </w:r>
      <m:oMath>
        <m:r>
          <m:t>O</m:t>
        </m:r>
        <m:r>
          <m:rPr>
            <m:sty m:val="p"/>
          </m:rPr>
          <m:t>=</m:t>
        </m:r>
        <m:r>
          <m:rPr>
            <m:sty m:val="p"/>
          </m:rPr>
          <m:t>min</m:t>
        </m:r>
        <m:r>
          <m:rPr>
            <m:sty m:val="p"/>
          </m:rPr>
          <m:t>(</m:t>
        </m:r>
        <m:r>
          <m:t>T</m:t>
        </m:r>
        <m:r>
          <m:rPr>
            <m:sty m:val="p"/>
          </m:rPr>
          <m:t>,</m:t>
        </m:r>
        <m:r>
          <m:t>K</m:t>
        </m:r>
        <m:r>
          <m:rPr>
            <m:sty m:val="p"/>
          </m:rPr>
          <m:t>)</m:t>
        </m:r>
      </m:oMath>
      <w:r>
        <w:t xml:space="preserve"> </w:t>
      </w:r>
      <w:r>
        <w:t xml:space="preserve">and</w:t>
      </w:r>
      <w:r>
        <w:t xml:space="preserve"> </w:t>
      </w:r>
      <m:oMath>
        <m:r>
          <m:t>D</m:t>
        </m:r>
        <m:r>
          <m:rPr>
            <m:sty m:val="p"/>
          </m:rPr>
          <m:t>=</m:t>
        </m:r>
        <m:r>
          <m:t>I</m:t>
        </m:r>
        <m:r>
          <m:rPr>
            <m:sty m:val="p"/>
          </m:rPr>
          <m:t>(</m:t>
        </m:r>
        <m:r>
          <m:t>T</m:t>
        </m:r>
        <m:r>
          <m:rPr>
            <m:sty m:val="p"/>
          </m:rPr>
          <m:t>≤</m:t>
        </m:r>
        <m:r>
          <m:t>K</m:t>
        </m:r>
        <m:r>
          <m:rPr>
            <m:sty m:val="p"/>
          </m:rPr>
          <m:t>)</m:t>
        </m:r>
      </m:oMath>
      <w:r>
        <w:t xml:space="preserve">, where</w:t>
      </w:r>
      <w:r>
        <w:t xml:space="preserve"> </w:t>
      </w:r>
      <m:oMath>
        <m:r>
          <m:t>T</m:t>
        </m:r>
      </m:oMath>
      <w:r>
        <w:t xml:space="preserve"> </w:t>
      </w:r>
      <w:r>
        <w:t xml:space="preserve">is event time and</w:t>
      </w:r>
      <w:r>
        <w:t xml:space="preserve"> </w:t>
      </w:r>
      <m:oMath>
        <m:r>
          <m:t>K</m:t>
        </m:r>
      </m:oMath>
      <w:r>
        <w:t xml:space="preserve"> </w:t>
      </w:r>
      <w:r>
        <w:t xml:space="preserve">censoring time. The clinical targets at horizon</w:t>
      </w:r>
      <w:r>
        <w:t xml:space="preserve"> </w:t>
      </w:r>
      <m:oMath>
        <m:r>
          <m:t>ℓ</m:t>
        </m:r>
      </m:oMath>
      <w:r>
        <w:t xml:space="preserve"> </w:t>
      </w:r>
      <w:r>
        <w:t xml:space="preserve">are</w:t>
      </w:r>
    </w:p>
    <w:p>
      <w:pPr>
        <w:pStyle w:val="BodyText"/>
      </w:pPr>
      <m:oMathPara>
        <m:oMathParaPr>
          <m:jc m:val="center"/>
        </m:oMathParaPr>
        <m:oMath>
          <m:sSub>
            <m:e>
              <m:r>
                <m:t>M</m:t>
              </m:r>
            </m:e>
            <m:sub>
              <m:r>
                <m:t>ℓ</m:t>
              </m:r>
            </m:sub>
          </m:sSub>
          <m:r>
            <m:rPr>
              <m:sty m:val="p"/>
            </m:rPr>
            <m:t>(</m:t>
          </m:r>
          <m:r>
            <m:t>a</m:t>
          </m:r>
          <m:r>
            <m:rPr>
              <m:sty m:val="p"/>
            </m:rPr>
            <m:t>)</m:t>
          </m:r>
          <m:r>
            <m:rPr>
              <m:sty m:val="p"/>
            </m:rPr>
            <m:t>=</m:t>
          </m:r>
          <m:r>
            <m:t>E</m:t>
          </m:r>
          <m:r>
            <m:rPr>
              <m:sty m:val="p"/>
            </m:rPr>
            <m:t>[</m:t>
          </m:r>
          <m:r>
            <m:rPr>
              <m:sty m:val="p"/>
            </m:rPr>
            <m:t>min</m:t>
          </m:r>
          <m:r>
            <m:rPr>
              <m:sty m:val="p"/>
            </m:rPr>
            <m:t>(</m:t>
          </m:r>
          <m:sSup>
            <m:e>
              <m:r>
                <m:t>T</m:t>
              </m:r>
            </m:e>
            <m:sup>
              <m:r>
                <m:t>a</m:t>
              </m:r>
            </m:sup>
          </m:sSup>
          <m:r>
            <m:rPr>
              <m:sty m:val="p"/>
            </m:rPr>
            <m:t>,</m:t>
          </m:r>
          <m:r>
            <m:t>ℓ</m:t>
          </m:r>
          <m:r>
            <m:rPr>
              <m:sty m:val="p"/>
            </m:rPr>
            <m:t>)</m:t>
          </m:r>
          <m:r>
            <m:rPr>
              <m:sty m:val="p"/>
            </m:rPr>
            <m:t>]</m:t>
          </m:r>
          <m:r>
            <m:rPr>
              <m:sty m:val="p"/>
            </m:rPr>
            <m:t>,</m:t>
          </m:r>
          <m:r>
            <m:t>  </m:t>
          </m:r>
          <m:sSub>
            <m:e>
              <m:r>
                <m:t>S</m:t>
              </m:r>
            </m:e>
            <m:sub>
              <m:r>
                <m:t>a</m:t>
              </m:r>
            </m:sub>
          </m:sSub>
          <m:r>
            <m:rPr>
              <m:sty m:val="p"/>
            </m:rPr>
            <m:t>(</m:t>
          </m:r>
          <m:r>
            <m:t>ℓ</m:t>
          </m:r>
          <m:r>
            <m:rPr>
              <m:sty m:val="p"/>
            </m:rPr>
            <m:t>)</m:t>
          </m:r>
          <m:r>
            <m:rPr>
              <m:sty m:val="p"/>
            </m:rPr>
            <m:t>=</m:t>
          </m:r>
          <m:r>
            <m:t>P</m:t>
          </m:r>
          <m:r>
            <m:rPr>
              <m:sty m:val="p"/>
            </m:rPr>
            <m:t>(</m:t>
          </m:r>
          <m:sSup>
            <m:e>
              <m:r>
                <m:t>T</m:t>
              </m:r>
            </m:e>
            <m:sup>
              <m:r>
                <m:t>a</m:t>
              </m:r>
            </m:sup>
          </m:sSup>
          <m:r>
            <m:rPr>
              <m:sty m:val="p"/>
            </m:rPr>
            <m:t>&gt;</m:t>
          </m:r>
          <m:r>
            <m:t>ℓ</m:t>
          </m:r>
          <m:r>
            <m:rPr>
              <m:sty m:val="p"/>
            </m:rPr>
            <m:t>)</m:t>
          </m:r>
          <m:r>
            <m:rPr>
              <m:sty m:val="p"/>
            </m:rPr>
            <m:t>.</m:t>
          </m:r>
        </m:oMath>
      </m:oMathPara>
    </w:p>
    <w:p>
      <w:pPr>
        <w:pStyle w:val="FirstParagraph"/>
      </w:pPr>
      <w:r>
        <w:t xml:space="preserve">We estimate</w:t>
      </w:r>
      <w:r>
        <w:t xml:space="preserve"> </w:t>
      </w:r>
      <m:oMath>
        <m:sSub>
          <m:e>
            <m:r>
              <m:t>M</m:t>
            </m:r>
          </m:e>
          <m:sub>
            <m:r>
              <m:t>ℓ</m:t>
            </m:r>
          </m:sub>
        </m:sSub>
        <m:r>
          <m:rPr>
            <m:sty m:val="p"/>
          </m:rPr>
          <m:t>(</m:t>
        </m:r>
        <m:r>
          <m:t>a</m:t>
        </m:r>
        <m:r>
          <m:rPr>
            <m:sty m:val="p"/>
          </m:rPr>
          <m:t>)</m:t>
        </m:r>
        <m:r>
          <m:rPr>
            <m:sty m:val="p"/>
          </m:rPr>
          <m:t>−</m:t>
        </m:r>
        <m:sSub>
          <m:e>
            <m:r>
              <m:t>M</m:t>
            </m:r>
          </m:e>
          <m:sub>
            <m:r>
              <m:t>ℓ</m:t>
            </m:r>
          </m:sub>
        </m:sSub>
        <m:r>
          <m:rPr>
            <m:sty m:val="p"/>
          </m:rPr>
          <m:t>(</m:t>
        </m:r>
        <m:sSup>
          <m:e>
            <m:r>
              <m:t>a</m:t>
            </m:r>
          </m:e>
          <m:sup>
            <m:r>
              <m:rPr>
                <m:sty m:val="p"/>
              </m:rPr>
              <m:t>′</m:t>
            </m:r>
          </m:sup>
        </m:sSup>
        <m:r>
          <m:rPr>
            <m:sty m:val="p"/>
          </m:rPr>
          <m:t>)</m:t>
        </m:r>
      </m:oMath>
      <w:r>
        <w:t xml:space="preserve"> </w:t>
      </w:r>
      <w:r>
        <w:t xml:space="preserve">and</w:t>
      </w:r>
      <w:r>
        <w:t xml:space="preserve"> </w:t>
      </w:r>
      <m:oMath>
        <m:sSub>
          <m:e>
            <m:r>
              <m:t>S</m:t>
            </m:r>
          </m:e>
          <m:sub>
            <m:r>
              <m:t>a</m:t>
            </m:r>
          </m:sub>
        </m:sSub>
        <m:r>
          <m:rPr>
            <m:sty m:val="p"/>
          </m:rPr>
          <m:t>(</m:t>
        </m:r>
        <m:r>
          <m:t>ℓ</m:t>
        </m:r>
        <m:r>
          <m:rPr>
            <m:sty m:val="p"/>
          </m:rPr>
          <m:t>)</m:t>
        </m:r>
        <m:r>
          <m:rPr>
            <m:sty m:val="p"/>
          </m:rPr>
          <m:t>−</m:t>
        </m:r>
        <m:sSub>
          <m:e>
            <m:r>
              <m:t>S</m:t>
            </m:r>
          </m:e>
          <m:sub>
            <m:sSup>
              <m:e>
                <m:r>
                  <m:t>a</m:t>
                </m:r>
              </m:e>
              <m:sup>
                <m:r>
                  <m:rPr>
                    <m:sty m:val="p"/>
                  </m:rPr>
                  <m:t>′</m:t>
                </m:r>
              </m:sup>
            </m:sSup>
          </m:sub>
        </m:sSub>
        <m:r>
          <m:rPr>
            <m:sty m:val="p"/>
          </m:rPr>
          <m:t>(</m:t>
        </m:r>
        <m:r>
          <m:t>ℓ</m:t>
        </m:r>
        <m:r>
          <m:rPr>
            <m:sty m:val="p"/>
          </m:rPr>
          <m:t>)</m:t>
        </m:r>
      </m:oMath>
      <w:r>
        <w:t xml:space="preserve"> </w:t>
      </w:r>
      <w:r>
        <w:t xml:space="preserve">with target-specific linear mean bridges. The TCGA horizon is 36 months; a one-standard-deviation exposure contrast is expressed in months of restricted survival and in percentage points of survival probability. Probability mean models apply over contrasts within their probability range.</w:t>
      </w:r>
    </w:p>
    <w:p>
      <w:pPr>
        <w:pStyle w:val="BodyText"/>
      </w:pPr>
      <w:r>
        <w:t xml:space="preserve">After accounting for</w:t>
      </w:r>
      <w:r>
        <w:t xml:space="preserve"> </w:t>
      </w:r>
      <m:oMath>
        <m:r>
          <m:t>C</m:t>
        </m:r>
      </m:oMath>
      <w:r>
        <w:t xml:space="preserve">, represent the molecular system by</w:t>
      </w:r>
    </w:p>
    <w:p>
      <w:pPr>
        <w:pStyle w:val="BodyText"/>
      </w:pPr>
      <m:oMathPara>
        <m:oMathParaPr>
          <m:jc m:val="center"/>
        </m:oMathParaPr>
        <m:oMath>
          <m:r>
            <m:t>X</m:t>
          </m:r>
          <m:r>
            <m:rPr>
              <m:sty m:val="p"/>
            </m:rPr>
            <m:t>=</m:t>
          </m:r>
          <m:r>
            <m:t>X</m:t>
          </m:r>
          <m:r>
            <m:rPr>
              <m:sty m:val="p"/>
            </m:rPr>
            <m:t>Θ</m:t>
          </m:r>
          <m:r>
            <m:rPr>
              <m:sty m:val="p"/>
            </m:rPr>
            <m:t>+</m:t>
          </m:r>
          <m:r>
            <m:t>F</m:t>
          </m:r>
          <m:sSup>
            <m:e>
              <m:r>
                <m:rPr>
                  <m:sty m:val="p"/>
                </m:rPr>
                <m:t>Λ</m:t>
              </m:r>
            </m:e>
            <m:sup>
              <m:r>
                <m:rPr>
                  <m:sty m:val="p"/>
                </m:rPr>
                <m:t>⊤</m:t>
              </m:r>
            </m:sup>
          </m:sSup>
          <m:r>
            <m:rPr>
              <m:sty m:val="p"/>
            </m:rPr>
            <m:t>+</m:t>
          </m:r>
          <m:r>
            <m:t>E</m:t>
          </m:r>
          <m:r>
            <m:rPr>
              <m:sty m:val="p"/>
            </m:rPr>
            <m:t>,</m:t>
          </m:r>
          <m:r>
            <m:t>  </m:t>
          </m:r>
          <m:r>
            <m:rPr>
              <m:sty m:val="p"/>
            </m:rPr>
            <m:t>diag</m:t>
          </m:r>
          <m:r>
            <m:rPr>
              <m:sty m:val="p"/>
            </m:rPr>
            <m:t>(</m:t>
          </m:r>
          <m:r>
            <m:rPr>
              <m:sty m:val="p"/>
            </m:rPr>
            <m:t>Θ</m:t>
          </m:r>
          <m:r>
            <m:rPr>
              <m:sty m:val="p"/>
            </m:rPr>
            <m:t>)</m:t>
          </m:r>
          <m:r>
            <m:rPr>
              <m:sty m:val="p"/>
            </m:rPr>
            <m:t>=</m:t>
          </m:r>
          <m:r>
            <m:t>0</m:t>
          </m:r>
          <m:r>
            <m:rPr>
              <m:sty m:val="p"/>
            </m:rPr>
            <m:t>,</m:t>
          </m:r>
        </m:oMath>
      </m:oMathPara>
    </w:p>
    <w:p>
      <w:pPr>
        <w:pStyle w:val="FirstParagraph"/>
      </w:pPr>
      <w:r>
        <w:t xml:space="preserve">with regulatory coefficients</w:t>
      </w:r>
      <w:r>
        <w:t xml:space="preserve"> </w:t>
      </w:r>
      <m:oMath>
        <m:r>
          <m:rPr>
            <m:sty m:val="p"/>
          </m:rPr>
          <m:t>Θ</m:t>
        </m:r>
      </m:oMath>
      <w:r>
        <w:t xml:space="preserve">, unmeasured systemic state</w:t>
      </w:r>
      <w:r>
        <w:t xml:space="preserve"> </w:t>
      </w:r>
      <m:oMath>
        <m:r>
          <m:t>F</m:t>
        </m:r>
        <m:r>
          <m:rPr>
            <m:sty m:val="p"/>
          </m:rPr>
          <m:t>∈</m:t>
        </m:r>
        <m:sSup>
          <m:e>
            <m:r>
              <m:rPr>
                <m:scr m:val="double-struck"/>
                <m:sty m:val="p"/>
              </m:rPr>
              <m:t>R</m:t>
            </m:r>
          </m:e>
          <m:sup>
            <m:r>
              <m:t>r</m:t>
            </m:r>
          </m:sup>
        </m:sSup>
      </m:oMath>
      <w:r>
        <w:t xml:space="preserve">, and loadings</w:t>
      </w:r>
      <w:r>
        <w:t xml:space="preserve"> </w:t>
      </w:r>
      <m:oMath>
        <m:r>
          <m:rPr>
            <m:sty m:val="p"/>
          </m:rPr>
          <m:t>Λ</m:t>
        </m:r>
      </m:oMath>
      <w:r>
        <w:t xml:space="preserve">. The structural derivation uses an acyclic graph with independent structural errors given</w:t>
      </w:r>
      <w:r>
        <w:t xml:space="preserve"> </w:t>
      </w:r>
      <m:oMath>
        <m:r>
          <m:rPr>
            <m:sty m:val="p"/>
          </m:rPr>
          <m:t>(</m:t>
        </m:r>
        <m:r>
          <m:t>F</m:t>
        </m:r>
        <m:r>
          <m:rPr>
            <m:sty m:val="p"/>
          </m:rPr>
          <m:t>,</m:t>
        </m:r>
        <m:r>
          <m:t>C</m:t>
        </m:r>
        <m:r>
          <m:rPr>
            <m:sty m:val="p"/>
          </m:rPr>
          <m:t>)</m:t>
        </m:r>
      </m:oMath>
      <w:r>
        <w:t xml:space="preserve">. For a linear outcome,</w:t>
      </w:r>
    </w:p>
    <w:p>
      <w:pPr>
        <w:pStyle w:val="BodyText"/>
      </w:pPr>
      <m:oMathPara>
        <m:oMathParaPr>
          <m:jc m:val="center"/>
        </m:oMathParaPr>
        <m:oMath>
          <m:r>
            <m:t>Y</m:t>
          </m:r>
          <m:r>
            <m:rPr>
              <m:sty m:val="p"/>
            </m:rPr>
            <m:t>=</m:t>
          </m:r>
          <m:r>
            <m:t>γ</m:t>
          </m:r>
          <m:r>
            <m:t>A</m:t>
          </m:r>
          <m:r>
            <m:rPr>
              <m:sty m:val="p"/>
            </m:rPr>
            <m:t>+</m:t>
          </m:r>
          <m:nary>
            <m:naryPr>
              <m:chr m:val="∑"/>
              <m:limLoc m:val="undOvr"/>
              <m:subHide m:val="off"/>
              <m:supHide m:val="on"/>
            </m:naryPr>
            <m:sub>
              <m:r>
                <m:t>v</m:t>
              </m:r>
              <m:r>
                <m:rPr>
                  <m:sty m:val="p"/>
                </m:rPr>
                <m:t>≠</m:t>
              </m:r>
              <m:r>
                <m:t>a</m:t>
              </m:r>
            </m:sub>
            <m:sup>
              <m:r>
                <m:t>​</m:t>
              </m:r>
            </m:sup>
            <m:e>
              <m:sSub>
                <m:e>
                  <m:r>
                    <m:t>π</m:t>
                  </m:r>
                </m:e>
                <m:sub>
                  <m:r>
                    <m:t>v</m:t>
                  </m:r>
                </m:sub>
              </m:sSub>
            </m:e>
          </m:nary>
          <m:sSub>
            <m:e>
              <m:r>
                <m:t>X</m:t>
              </m:r>
            </m:e>
            <m:sub>
              <m:r>
                <m:t>v</m:t>
              </m:r>
            </m:sub>
          </m:sSub>
          <m:r>
            <m:rPr>
              <m:sty m:val="p"/>
            </m:rPr>
            <m:t>+</m:t>
          </m:r>
          <m:sSup>
            <m:e>
              <m:r>
                <m:t>λ</m:t>
              </m:r>
            </m:e>
            <m:sup>
              <m:r>
                <m:rPr>
                  <m:sty m:val="p"/>
                </m:rPr>
                <m:t>⊤</m:t>
              </m:r>
            </m:sup>
          </m:sSup>
          <m:r>
            <m:t>F</m:t>
          </m:r>
          <m:r>
            <m:rPr>
              <m:sty m:val="p"/>
            </m:rPr>
            <m:t>+</m:t>
          </m:r>
          <m:sSup>
            <m:e>
              <m:r>
                <m:t>d</m:t>
              </m:r>
            </m:e>
            <m:sup>
              <m:r>
                <m:rPr>
                  <m:sty m:val="p"/>
                </m:rPr>
                <m:t>⊤</m:t>
              </m:r>
            </m:sup>
          </m:sSup>
          <m:r>
            <m:t>C</m:t>
          </m:r>
          <m:r>
            <m:rPr>
              <m:sty m:val="p"/>
            </m:rPr>
            <m:t>+</m:t>
          </m:r>
          <m:sSub>
            <m:e>
              <m:r>
                <m:t>ϵ</m:t>
              </m:r>
            </m:e>
            <m:sub>
              <m:r>
                <m:t>Y</m:t>
              </m:r>
            </m:sub>
          </m:sSub>
          <m:r>
            <m:rPr>
              <m:sty m:val="p"/>
            </m:rPr>
            <m:t>,</m:t>
          </m:r>
          <m:r>
            <m:t>  </m:t>
          </m:r>
          <m:sSub>
            <m:e>
              <m:r>
                <m:t>τ</m:t>
              </m:r>
            </m:e>
            <m:sub>
              <m:r>
                <m:t>A</m:t>
              </m:r>
            </m:sub>
          </m:sSub>
          <m:r>
            <m:rPr>
              <m:sty m:val="p"/>
            </m:rPr>
            <m:t>=</m:t>
          </m:r>
          <m:r>
            <m:t>γ</m:t>
          </m:r>
          <m:r>
            <m:rPr>
              <m:sty m:val="p"/>
            </m:rPr>
            <m:t>+</m:t>
          </m:r>
          <m:nary>
            <m:naryPr>
              <m:chr m:val="∑"/>
              <m:limLoc m:val="undOvr"/>
              <m:subHide m:val="off"/>
              <m:supHide m:val="on"/>
            </m:naryPr>
            <m:sub>
              <m:r>
                <m:t>v</m:t>
              </m:r>
              <m:r>
                <m:rPr>
                  <m:sty m:val="p"/>
                </m:rPr>
                <m:t>≠</m:t>
              </m:r>
              <m:r>
                <m:t>a</m:t>
              </m:r>
            </m:sub>
            <m:sup>
              <m:r>
                <m:t>​</m:t>
              </m:r>
            </m:sup>
            <m:e>
              <m:sSub>
                <m:e>
                  <m:r>
                    <m:t>π</m:t>
                  </m:r>
                </m:e>
                <m:sub>
                  <m:r>
                    <m:t>v</m:t>
                  </m:r>
                </m:sub>
              </m:sSub>
            </m:e>
          </m:nary>
          <m:sSub>
            <m:e>
              <m:r>
                <m:t>ω</m:t>
              </m:r>
            </m:e>
            <m:sub>
              <m:r>
                <m:t>A</m:t>
              </m:r>
              <m:r>
                <m:t>v</m:t>
              </m:r>
            </m:sub>
          </m:sSub>
          <m:r>
            <m:rPr>
              <m:sty m:val="p"/>
            </m:rPr>
            <m:t>,</m:t>
          </m:r>
          <m:r>
            <m:t> </m:t>
          </m:r>
          <m:sSub>
            <m:e>
              <m:r>
                <m:t>ω</m:t>
              </m:r>
            </m:e>
            <m:sub>
              <m:r>
                <m:t>A</m:t>
              </m:r>
              <m:r>
                <m:t>v</m:t>
              </m:r>
            </m:sub>
          </m:sSub>
          <m:r>
            <m:rPr>
              <m:sty m:val="p"/>
            </m:rPr>
            <m:t>=</m:t>
          </m:r>
          <m:nary>
            <m:naryPr>
              <m:chr m:val="∑"/>
              <m:limLoc m:val="undOvr"/>
              <m:subHide m:val="off"/>
              <m:supHide m:val="on"/>
            </m:naryPr>
            <m:sub>
              <m:r>
                <m:rPr>
                  <m:scr m:val="script"/>
                  <m:sty m:val="p"/>
                </m:rPr>
                <m:t>P</m:t>
              </m:r>
              <m:r>
                <m:rPr>
                  <m:sty m:val="p"/>
                </m:rPr>
                <m:t>:</m:t>
              </m:r>
              <m:r>
                <m:t>A</m:t>
              </m:r>
              <m:r>
                <m:rPr>
                  <m:sty m:val="p"/>
                </m:rPr>
                <m:t>⤳</m:t>
              </m:r>
              <m:r>
                <m:t>v</m:t>
              </m:r>
            </m:sub>
            <m:sup>
              <m:r>
                <m:t>​</m:t>
              </m:r>
            </m:sup>
            <m:e>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P</m:t>
                  </m:r>
                </m:sub>
                <m:sup>
                  <m:r>
                    <m:t>​</m:t>
                  </m:r>
                </m:sup>
                <m:e>
                  <m:sSub>
                    <m:e>
                      <m:r>
                        <m:t>θ</m:t>
                      </m:r>
                    </m:e>
                    <m:sub>
                      <m:r>
                        <m:t>i</m:t>
                      </m:r>
                      <m:r>
                        <m:t>j</m:t>
                      </m:r>
                    </m:sub>
                  </m:sSub>
                </m:e>
              </m:nary>
            </m:e>
          </m:nary>
          <m:r>
            <m:rPr>
              <m:sty m:val="p"/>
            </m:rPr>
            <m:t>.</m:t>
          </m:r>
        </m:oMath>
      </m:oMathPara>
    </w:p>
    <w:p>
      <w:pPr>
        <w:pStyle w:val="FirstParagraph"/>
      </w:pPr>
      <w:r>
        <w:t xml:space="preserve">The path contribution is zero for a non-descendant. Substitution gives the exposure-specific mean model of Section 4.2 when its mean-zero error conditions hold. Thus the bridge retains downstream contributions to the total effect. The observed panel determines the niche ordering, representation, support, roles and information ranks; clinical outcomes enter estimation after this design is constructed.</w:t>
      </w:r>
    </w:p>
    <w:bookmarkEnd w:id="11"/>
    <w:bookmarkStart w:id="22" w:name="method"/>
    <w:p>
      <w:pPr>
        <w:pStyle w:val="Heading1"/>
      </w:pPr>
      <w:r>
        <w:t xml:space="preserve">3 Method</w:t>
      </w:r>
    </w:p>
    <w:p>
      <w:pPr>
        <w:pStyle w:val="FirstParagraph"/>
      </w:pPr>
      <w:r>
        <w:t xml:space="preserve">Figure 1 connects molecular representation, exposure-specific proxy information and clinical effect estimation. The application and simulation use the same network construction and bridge functions.</w:t>
      </w:r>
    </w:p>
    <w:bookmarkStart w:id="12" w:name="niche-index-power-curves-and-deviations"/>
    <w:p>
      <w:pPr>
        <w:pStyle w:val="Heading2"/>
      </w:pPr>
      <w:r>
        <w:t xml:space="preserve">3.1 Niche index, power curves and deviations</w:t>
      </w:r>
    </w:p>
    <w:p>
      <w:pPr>
        <w:pStyle w:val="FirstParagraph"/>
      </w:pPr>
      <w:r>
        <w:t xml:space="preserve">Levels are standardised per protein and shifted so that the minimum of each is 1. The niche index of patient</w:t>
      </w:r>
      <w:r>
        <w:t xml:space="preserve"> </w:t>
      </w:r>
      <m:oMath>
        <m:r>
          <m:t>k</m:t>
        </m:r>
      </m:oMath>
      <w:r>
        <w:t xml:space="preserve"> </w:t>
      </w:r>
      <w:r>
        <w:t xml:space="preserve">is</w:t>
      </w:r>
      <w:r>
        <w:t xml:space="preserve"> </w:t>
      </w:r>
      <m:oMath>
        <m:sSub>
          <m:e>
            <m:r>
              <m:t>s</m:t>
            </m:r>
          </m:e>
          <m:sub>
            <m:r>
              <m:t>k</m:t>
            </m:r>
          </m:sub>
        </m:sSub>
        <m:r>
          <m:rPr>
            <m:sty m:val="p"/>
          </m:rPr>
          <m:t>=</m:t>
        </m:r>
        <m:nary>
          <m:naryPr>
            <m:chr m:val="∑"/>
            <m:limLoc m:val="undOvr"/>
            <m:subHide m:val="off"/>
            <m:supHide m:val="on"/>
          </m:naryPr>
          <m:sub>
            <m:r>
              <m:t>j</m:t>
            </m:r>
          </m:sub>
          <m:sup>
            <m:r>
              <m:t>​</m:t>
            </m:r>
          </m:sup>
          <m:e>
            <m:sSub>
              <m:e>
                <m:r>
                  <m:t>X</m:t>
                </m:r>
              </m:e>
              <m:sub>
                <m:r>
                  <m:t>k</m:t>
                </m:r>
                <m:r>
                  <m:t>j</m:t>
                </m:r>
              </m:sub>
            </m:sSub>
          </m:e>
        </m:nary>
      </m:oMath>
      <w:r>
        <w:t xml:space="preserve">; sorting patients by</w:t>
      </w:r>
      <w:r>
        <w:t xml:space="preserve"> </w:t>
      </w:r>
      <m:oMath>
        <m:r>
          <m:t>s</m:t>
        </m:r>
      </m:oMath>
      <w:r>
        <w:t xml:space="preserve"> </w:t>
      </w:r>
      <w:r>
        <w:t xml:space="preserve">turns the cross-section into quasi-dynamic data</w:t>
      </w:r>
      <w:r>
        <w:t xml:space="preserve"> </w:t>
      </w:r>
      <m:oMath>
        <m:sSub>
          <m:e>
            <m:r>
              <m:t>X</m:t>
            </m:r>
          </m:e>
          <m:sub>
            <m:r>
              <m:t>j</m:t>
            </m:r>
          </m:sub>
        </m:sSub>
        <m:r>
          <m:rPr>
            <m:sty m:val="p"/>
          </m:rPr>
          <m:t>(</m:t>
        </m:r>
        <m:r>
          <m:t>s</m:t>
        </m:r>
        <m:r>
          <m:rPr>
            <m:sty m:val="p"/>
          </m:rPr>
          <m:t>)</m:t>
        </m:r>
      </m:oMath>
      <w:r>
        <w:t xml:space="preserve">, and each protein is fitted by a power curve</w:t>
      </w:r>
      <w:r>
        <w:t xml:space="preserve"> </w:t>
      </w:r>
      <m:oMath>
        <m:sSub>
          <m:e>
            <m:r>
              <m:t>c</m:t>
            </m:r>
          </m:e>
          <m:sub>
            <m:r>
              <m:t>j</m:t>
            </m:r>
          </m:sub>
        </m:sSub>
        <m:r>
          <m:rPr>
            <m:sty m:val="p"/>
          </m:rPr>
          <m:t>(</m:t>
        </m:r>
        <m:r>
          <m:t>s</m:t>
        </m:r>
        <m:r>
          <m:rPr>
            <m:sty m:val="p"/>
          </m:rPr>
          <m:t>)</m:t>
        </m:r>
        <m:r>
          <m:rPr>
            <m:sty m:val="p"/>
          </m:rPr>
          <m:t>=</m:t>
        </m:r>
        <m:sSub>
          <m:e>
            <m:r>
              <m:t>a</m:t>
            </m:r>
          </m:e>
          <m:sub>
            <m:r>
              <m:t>j</m:t>
            </m:r>
          </m:sub>
        </m:sSub>
        <m:sSup>
          <m:e>
            <m:r>
              <m:t>s</m:t>
            </m:r>
          </m:e>
          <m:sup>
            <m:sSub>
              <m:e>
                <m:r>
                  <m:t>b</m:t>
                </m:r>
              </m:e>
              <m:sub>
                <m:r>
                  <m:t>j</m:t>
                </m:r>
              </m:sub>
            </m:sSub>
          </m:sup>
        </m:sSup>
      </m:oMath>
      <w:r>
        <w:t xml:space="preserve"> </w:t>
      </w:r>
      <w:r>
        <w:t xml:space="preserve">by least squares (Figure 2). The fitted curves</w:t>
      </w:r>
      <w:r>
        <w:t xml:space="preserve"> </w:t>
      </w:r>
      <m:oMath>
        <m:r>
          <m:t>C</m:t>
        </m:r>
        <m:r>
          <m:rPr>
            <m:sty m:val="p"/>
          </m:rPr>
          <m:t>(</m:t>
        </m:r>
        <m:r>
          <m:t>s</m:t>
        </m:r>
        <m:r>
          <m:rPr>
            <m:sty m:val="p"/>
          </m:rPr>
          <m:t>)</m:t>
        </m:r>
      </m:oMath>
      <w:r>
        <w:t xml:space="preserve"> </w:t>
      </w:r>
      <w:r>
        <w:t xml:space="preserve">describe the population trend along the index; the deviations</w:t>
      </w:r>
      <w:r>
        <w:t xml:space="preserve"> </w:t>
      </w:r>
      <m:oMath>
        <m:r>
          <m:t>U</m:t>
        </m:r>
        <m:r>
          <m:rPr>
            <m:sty m:val="p"/>
          </m:rPr>
          <m:t>=</m:t>
        </m:r>
        <m:r>
          <m:t>X</m:t>
        </m:r>
        <m:r>
          <m:rPr>
            <m:sty m:val="p"/>
          </m:rPr>
          <m:t>−</m:t>
        </m:r>
        <m:r>
          <m:t>C</m:t>
        </m:r>
        <m:r>
          <m:rPr>
            <m:sty m:val="p"/>
          </m:rPr>
          <m:t>(</m:t>
        </m:r>
        <m:r>
          <m:t>s</m:t>
        </m:r>
        <m:r>
          <m:rPr>
            <m:sty m:val="p"/>
          </m:rPr>
          <m:t>)</m:t>
        </m:r>
      </m:oMath>
      <w:r>
        <w:t xml:space="preserve"> </w:t>
      </w:r>
      <w:r>
        <w:t xml:space="preserve">carry the patient-specific information. The proximal analysis uses the deviations to estimate the latent state and runs the estimator itself on the standardised levels. Retaining observed patient levels in the bridge preserves variation around the population curves.</w:t>
      </w:r>
    </w:p>
    <w:bookmarkEnd w:id="12"/>
    <w:bookmarkStart w:id="13" w:name="molecular-factor-representation"/>
    <w:p>
      <w:pPr>
        <w:pStyle w:val="Heading2"/>
      </w:pPr>
      <w:r>
        <w:t xml:space="preserve">3.2 Molecular factor representation</w:t>
      </w:r>
    </w:p>
    <w:p>
      <w:pPr>
        <w:pStyle w:val="FirstParagraph"/>
      </w:pPr>
      <w:r>
        <w:t xml:space="preserve">Let</w:t>
      </w:r>
      <w:r>
        <w:t xml:space="preserve"> </w:t>
      </w:r>
      <m:oMath>
        <m:sSub>
          <m:e>
            <m:r>
              <m:t>U</m:t>
            </m:r>
          </m:e>
          <m:sub>
            <m:r>
              <m:t>c</m:t>
            </m:r>
          </m:sub>
        </m:sSub>
      </m:oMath>
      <w:r>
        <w:t xml:space="preserve"> </w:t>
      </w:r>
      <w:r>
        <w:t xml:space="preserve">be the centred patient deviations. The spectrum dimension is</w:t>
      </w:r>
      <w:r>
        <w:t xml:space="preserve"> </w:t>
      </w:r>
      <m:oMath>
        <m:sSub>
          <m:e>
            <m:acc>
              <m:accPr>
                <m:chr m:val="̂"/>
              </m:accPr>
              <m:e>
                <m:r>
                  <m:t>r</m:t>
                </m:r>
              </m:e>
            </m:acc>
          </m:e>
          <m:sub>
            <m:r>
              <m:rPr>
                <m:sty m:val="p"/>
              </m:rPr>
              <m:t>P</m:t>
            </m:r>
            <m:r>
              <m:rPr>
                <m:sty m:val="p"/>
              </m:rPr>
              <m:t>C</m:t>
            </m:r>
            <m:r>
              <m:rPr>
                <m:sty m:val="p"/>
              </m:rPr>
              <m:t>A</m:t>
            </m:r>
          </m:sub>
        </m:sSub>
        <m:r>
          <m:rPr>
            <m:sty m:val="p"/>
          </m:rPr>
          <m:t>=</m:t>
        </m:r>
        <m:r>
          <m:rPr>
            <m:sty m:val="p"/>
          </m:rPr>
          <m:t>arg</m:t>
        </m:r>
        <m:sSub>
          <m:e>
            <m:r>
              <m:rPr>
                <m:sty m:val="p"/>
              </m:rPr>
              <m:t>max</m:t>
            </m:r>
          </m:e>
          <m:sub>
            <m:r>
              <m:t>k</m:t>
            </m:r>
            <m:r>
              <m:rPr>
                <m:sty m:val="p"/>
              </m:rPr>
              <m:t>≤</m:t>
            </m:r>
            <m:r>
              <m:t>8</m:t>
            </m:r>
          </m:sub>
        </m:sSub>
        <m:sSub>
          <m:e>
            <m:r>
              <m:t>σ</m:t>
            </m:r>
          </m:e>
          <m:sub>
            <m:r>
              <m:t>k</m:t>
            </m:r>
          </m:sub>
        </m:sSub>
        <m:r>
          <m:rPr>
            <m:sty m:val="p"/>
          </m:rPr>
          <m:t>/</m:t>
        </m:r>
        <m:sSub>
          <m:e>
            <m:r>
              <m:t>σ</m:t>
            </m:r>
          </m:e>
          <m:sub>
            <m:r>
              <m:t>k</m:t>
            </m:r>
            <m:r>
              <m:rPr>
                <m:sty m:val="p"/>
              </m:rPr>
              <m:t>+</m:t>
            </m:r>
            <m:r>
              <m:t>1</m:t>
            </m:r>
          </m:sub>
        </m:sSub>
      </m:oMath>
      <w:r>
        <w:t xml:space="preserve">. The retained singular vectors define</w:t>
      </w:r>
      <w:r>
        <w:t xml:space="preserve"> </w:t>
      </w:r>
      <m:oMath>
        <m:acc>
          <m:accPr>
            <m:chr m:val="̂"/>
          </m:accPr>
          <m:e>
            <m:r>
              <m:t>F</m:t>
            </m:r>
          </m:e>
        </m:acc>
        <m:r>
          <m:rPr>
            <m:sty m:val="p"/>
          </m:rPr>
          <m:t>,</m:t>
        </m:r>
        <m:acc>
          <m:accPr>
            <m:chr m:val="̂"/>
          </m:accPr>
          <m:e>
            <m:r>
              <m:rPr>
                <m:sty m:val="p"/>
              </m:rPr>
              <m:t>Λ</m:t>
            </m:r>
          </m:e>
        </m:acc>
      </m:oMath>
      <w:r>
        <w:t xml:space="preserve">, with</w:t>
      </w:r>
      <w:r>
        <w:t xml:space="preserve"> </w:t>
      </w:r>
      <m:oMath>
        <m:sSub>
          <m:e>
            <m:r>
              <m:t>U</m:t>
            </m:r>
          </m:e>
          <m:sub>
            <m:r>
              <m:t>c</m:t>
            </m:r>
          </m:sub>
        </m:sSub>
        <m:r>
          <m:rPr>
            <m:sty m:val="p"/>
          </m:rPr>
          <m:t>=</m:t>
        </m:r>
        <m:acc>
          <m:accPr>
            <m:chr m:val="̂"/>
          </m:accPr>
          <m:e>
            <m:r>
              <m:t>F</m:t>
            </m:r>
          </m:e>
        </m:acc>
        <m:sSup>
          <m:e>
            <m:acc>
              <m:accPr>
                <m:chr m:val="̂"/>
              </m:accPr>
              <m:e>
                <m:r>
                  <m:rPr>
                    <m:sty m:val="p"/>
                  </m:rPr>
                  <m:t>Λ</m:t>
                </m:r>
              </m:e>
            </m:acc>
          </m:e>
          <m:sup>
            <m:r>
              <m:rPr>
                <m:sty m:val="p"/>
              </m:rPr>
              <m:t>⊤</m:t>
            </m:r>
          </m:sup>
        </m:sSup>
        <m:r>
          <m:rPr>
            <m:sty m:val="p"/>
          </m:rPr>
          <m:t>+</m:t>
        </m:r>
        <m:acc>
          <m:accPr>
            <m:chr m:val="̂"/>
          </m:accPr>
          <m:e>
            <m:r>
              <m:rPr>
                <m:sty m:val="p"/>
              </m:rPr>
              <m:t>Ξ</m:t>
            </m:r>
          </m:e>
        </m:acc>
      </m:oMath>
      <w:r>
        <w:t xml:space="preserve">. Report</w:t>
      </w:r>
    </w:p>
    <w:p>
      <w:pPr>
        <w:pStyle w:val="BodyText"/>
      </w:pPr>
      <m:oMathPara>
        <m:oMathParaPr>
          <m:jc m:val="center"/>
        </m:oMathParaPr>
        <m:oMath>
          <m:sSub>
            <m:e>
              <m:r>
                <m:t>ρ</m:t>
              </m:r>
            </m:e>
            <m:sub>
              <m:r>
                <m:t>i</m:t>
              </m:r>
            </m:sub>
          </m:sSub>
          <m:r>
            <m:rPr>
              <m:sty m:val="p"/>
            </m:rPr>
            <m:t>=</m:t>
          </m:r>
          <m:r>
            <m:rPr>
              <m:sty m:val="p"/>
            </m:rPr>
            <m:t>∥</m:t>
          </m:r>
          <m:sSub>
            <m:e>
              <m:acc>
                <m:accPr>
                  <m:chr m:val="̂"/>
                </m:accPr>
                <m:e>
                  <m:r>
                    <m:rPr>
                      <m:sty m:val="p"/>
                    </m:rPr>
                    <m:t>Ξ</m:t>
                  </m:r>
                </m:e>
              </m:acc>
            </m:e>
            <m:sub>
              <m:r>
                <m:t>i</m:t>
              </m:r>
            </m:sub>
          </m:sSub>
          <m:r>
            <m:rPr>
              <m:sty m:val="p"/>
            </m:rPr>
            <m:t>∥</m:t>
          </m:r>
          <m:r>
            <m:rPr>
              <m:sty m:val="p"/>
            </m:rPr>
            <m:t>/</m:t>
          </m:r>
          <m:r>
            <m:rPr>
              <m:sty m:val="p"/>
            </m:rPr>
            <m:t>∥</m:t>
          </m:r>
          <m:sSub>
            <m:e>
              <m:r>
                <m:t>U</m:t>
              </m:r>
            </m:e>
            <m:sub>
              <m:r>
                <m:t>c</m:t>
              </m:r>
              <m:r>
                <m:rPr>
                  <m:sty m:val="p"/>
                </m:rPr>
                <m:t>,</m:t>
              </m:r>
              <m:r>
                <m:t>i</m:t>
              </m:r>
            </m:sub>
          </m:sSub>
          <m:r>
            <m:rPr>
              <m:sty m:val="p"/>
            </m:rPr>
            <m:t>∥</m:t>
          </m:r>
          <m:r>
            <m:rPr>
              <m:sty m:val="p"/>
            </m:rPr>
            <m:t>,</m:t>
          </m:r>
        </m:oMath>
      </m:oMathPara>
    </w:p>
    <w:p>
      <w:pPr>
        <w:pStyle w:val="FirstParagraph"/>
      </w:pPr>
      <w:r>
        <w:t xml:space="preserve">the residual-to-total norm ratio;</w:t>
      </w:r>
      <w:r>
        <w:t xml:space="preserve"> </w:t>
      </w:r>
      <m:oMath>
        <m:sSubSup>
          <m:e>
            <m:r>
              <m:t>ρ</m:t>
            </m:r>
          </m:e>
          <m:sub>
            <m:r>
              <m:t>i</m:t>
            </m:r>
          </m:sub>
          <m:sup>
            <m:r>
              <m:t>2</m:t>
            </m:r>
          </m:sup>
        </m:sSubSup>
      </m:oMath>
      <w:r>
        <w:t xml:space="preserve"> </w:t>
      </w:r>
      <w:r>
        <w:t xml:space="preserve">is the residual variance fraction. Loadings with row norm exceeding</w:t>
      </w:r>
      <w:r>
        <w:t xml:space="preserve"> </w:t>
      </w:r>
      <m:oMath>
        <m:sSup>
          <m:e>
            <m:r>
              <m:t>10</m:t>
            </m:r>
          </m:e>
          <m:sup>
            <m:r>
              <m:rPr>
                <m:sty m:val="p"/>
              </m:rPr>
              <m:t>−</m:t>
            </m:r>
            <m:r>
              <m:t>8</m:t>
            </m:r>
          </m:sup>
        </m:sSup>
      </m:oMath>
      <w:r>
        <w:t xml:space="preserve"> </w:t>
      </w:r>
      <w:r>
        <w:t xml:space="preserve">are eligible as systemic readouts. The spectrum dimension describes the panel representation, while Section 3.5 determines the bridge dimension from exposure-specific proxy information. Proposition 4 describes propagation of the latent factor space through the regulatory system.</w:t>
      </w:r>
    </w:p>
    <w:bookmarkEnd w:id="13"/>
    <w:bookmarkStart w:id="14" w:name="support-across-niche-windows"/>
    <w:p>
      <w:pPr>
        <w:pStyle w:val="Heading2"/>
      </w:pPr>
      <w:r>
        <w:t xml:space="preserve">3.3 Support across niche windows</w:t>
      </w:r>
    </w:p>
    <w:p>
      <w:pPr>
        <w:pStyle w:val="FirstParagraph"/>
      </w:pPr>
      <w:r>
        <w:t xml:space="preserve">For each width</w:t>
      </w:r>
      <w:r>
        <w:t xml:space="preserve"> </w:t>
      </w:r>
      <m:oMath>
        <m:r>
          <m:t>w</m:t>
        </m:r>
        <m:r>
          <m:rPr>
            <m:sty m:val="p"/>
          </m:rPr>
          <m:t>∈</m:t>
        </m:r>
        <m:r>
          <m:rPr>
            <m:sty m:val="p"/>
          </m:rPr>
          <m:t>{</m:t>
        </m:r>
        <m:r>
          <m:t>0.2</m:t>
        </m:r>
        <m:r>
          <m:rPr>
            <m:sty m:val="p"/>
          </m:rPr>
          <m:t>,</m:t>
        </m:r>
        <m:r>
          <m:t>0.4</m:t>
        </m:r>
        <m:r>
          <m:rPr>
            <m:sty m:val="p"/>
          </m:rPr>
          <m:t>}</m:t>
        </m:r>
      </m:oMath>
      <w:r>
        <w:t xml:space="preserve">, construct five niche windows. Width 0.2 uses consecutive non-overlapping partitions; width 0.4 uses windows of</w:t>
      </w:r>
      <w:r>
        <w:t xml:space="preserve"> </w:t>
      </w:r>
      <m:oMath>
        <m:r>
          <m:rPr>
            <m:sty m:val="p"/>
          </m:rPr>
          <m:t>⌈</m:t>
        </m:r>
        <m:r>
          <m:t>0.4</m:t>
        </m:r>
        <m:r>
          <m:t>n</m:t>
        </m:r>
        <m:r>
          <m:rPr>
            <m:sty m:val="p"/>
          </m:rPr>
          <m:t>⌉</m:t>
        </m:r>
      </m:oMath>
      <w:r>
        <w:t xml:space="preserve"> </w:t>
      </w:r>
      <w:r>
        <w:t xml:space="preserve">patients whose five starting indices are equally spaced and rounded to the nearest integer. Within each, fit every protein on the other proteins by nodewise LASSO with penalty</w:t>
      </w:r>
      <w:r>
        <w:t xml:space="preserve"> </w:t>
      </w:r>
      <m:oMath>
        <m:r>
          <m:t>α</m:t>
        </m:r>
      </m:oMath>
      <w:r>
        <w:t xml:space="preserve">, standardising predictors and response within the window [15, 16]. Retain a directed support entry when its nonzero coefficient frequency is strictly greater than 0.6. With</w:t>
      </w:r>
      <w:r>
        <w:t xml:space="preserve"> </w:t>
      </w:r>
      <m:oMath>
        <m:r>
          <m:t>k</m:t>
        </m:r>
        <m:r>
          <m:rPr>
            <m:sty m:val="p"/>
          </m:rPr>
          <m:t>=</m:t>
        </m:r>
        <m:r>
          <m:t>5</m:t>
        </m:r>
      </m:oMath>
      <w:r>
        <w:t xml:space="preserve">, this requires four windows. Symmetrise by taking the union with the transpose to obtain</w:t>
      </w:r>
      <w:r>
        <w:t xml:space="preserve"> </w:t>
      </w:r>
      <m:oMath>
        <m:r>
          <m:t>G</m:t>
        </m:r>
      </m:oMath>
      <w:r>
        <w:t xml:space="preserve">. Frequency aggregation uses the idea of repeated support selection [17]; Appendix A.1 gives its quantile-window consistency argument.</w:t>
      </w:r>
    </w:p>
    <w:p>
      <w:pPr>
        <w:pStyle w:val="BodyText"/>
      </w:pPr>
      <w:r>
        <w:t xml:space="preserve">The TCGA setting is</w:t>
      </w:r>
      <w:r>
        <w:t xml:space="preserve"> </w:t>
      </w:r>
      <m:oMath>
        <m:r>
          <m:t>k</m:t>
        </m:r>
        <m:r>
          <m:rPr>
            <m:sty m:val="p"/>
          </m:rPr>
          <m:t>=</m:t>
        </m:r>
        <m:r>
          <m:t>5</m:t>
        </m:r>
      </m:oMath>
      <w:r>
        <w:t xml:space="preserve"> </w:t>
      </w:r>
      <w:r>
        <w:t xml:space="preserve">for the 60 most variable proteins;</w:t>
      </w:r>
      <w:r>
        <w:t xml:space="preserve"> </w:t>
      </w:r>
      <m:oMath>
        <m:r>
          <m:t>α</m:t>
        </m:r>
        <m:r>
          <m:rPr>
            <m:sty m:val="p"/>
          </m:rPr>
          <m:t>=</m:t>
        </m:r>
        <m:r>
          <m:t>0.15</m:t>
        </m:r>
      </m:oMath>
      <w:r>
        <w:t xml:space="preserve"> </w:t>
      </w:r>
      <w:r>
        <w:t xml:space="preserve">supplies the reference cohort graph. Both TCGA and simulations cross the two widths with penalties</w:t>
      </w:r>
      <w:r>
        <w:t xml:space="preserve"> </w:t>
      </w:r>
      <m:oMath>
        <m:r>
          <m:rPr>
            <m:sty m:val="p"/>
          </m:rPr>
          <m:t>(</m:t>
        </m:r>
        <m:r>
          <m:t>0.15</m:t>
        </m:r>
        <m:r>
          <m:rPr>
            <m:sty m:val="p"/>
          </m:rPr>
          <m:t>,</m:t>
        </m:r>
        <m:r>
          <m:t>0.20</m:t>
        </m:r>
        <m:r>
          <m:rPr>
            <m:sty m:val="p"/>
          </m:rPr>
          <m:t>,</m:t>
        </m:r>
        <m:r>
          <m:t>0.25</m:t>
        </m:r>
        <m:r>
          <m:rPr>
            <m:sty m:val="p"/>
          </m:rPr>
          <m:t>,</m:t>
        </m:r>
        <m:r>
          <m:t>0.30</m:t>
        </m:r>
        <m:r>
          <m:rPr>
            <m:sty m:val="p"/>
          </m:rPr>
          <m:t>)</m:t>
        </m:r>
      </m:oMath>
      <w:r>
        <w:t xml:space="preserve">, producing eight designs. All designs enter the information calculation before the outcome is used. Grid order is width 0.2 followed by width 0.4, with increasing penalty within each width. The one-window comparator applies the same penalty grid and remaining estimator steps to a single global nodewise fit.</w:t>
      </w:r>
    </w:p>
    <w:bookmarkEnd w:id="14"/>
    <w:bookmarkStart w:id="15" w:name="exposure-specific-proxy-construction"/>
    <w:p>
      <w:pPr>
        <w:pStyle w:val="Heading2"/>
      </w:pPr>
      <w:r>
        <w:t xml:space="preserve">3.4 Exposure-specific proxy construction</w:t>
      </w:r>
    </w:p>
    <w:p>
      <w:pPr>
        <w:pStyle w:val="FirstParagraph"/>
      </w:pPr>
      <w:r>
        <w:t xml:space="preserve">Let</w:t>
      </w:r>
      <w:r>
        <w:t xml:space="preserve"> </w:t>
      </w:r>
      <m:oMath>
        <m:sSub>
          <m:e>
            <m:r>
              <m:rPr>
                <m:scr m:val="script"/>
                <m:sty m:val="p"/>
              </m:rPr>
              <m:t>E</m:t>
            </m:r>
          </m:e>
          <m:sub>
            <m:r>
              <m:t>A</m:t>
            </m:r>
          </m:sub>
        </m:sSub>
      </m:oMath>
      <w:r>
        <w:t xml:space="preserve"> </w:t>
      </w:r>
      <w:r>
        <w:t xml:space="preserve">be a prespecified set of treatment-proxy-eligible proteins. Define</w:t>
      </w:r>
      <w:r>
        <w:t xml:space="preserve"> </w:t>
      </w:r>
      <m:oMath>
        <m:sSub>
          <m:e>
            <m:r>
              <m:t>Z</m:t>
            </m:r>
          </m:e>
          <m:sub>
            <m:r>
              <m:t>A</m:t>
            </m:r>
          </m:sub>
        </m:sSub>
        <m:r>
          <m:rPr>
            <m:sty m:val="p"/>
          </m:rPr>
          <m:t>=</m:t>
        </m:r>
        <m:sSub>
          <m:e>
            <m:r>
              <m:t>N</m:t>
            </m:r>
          </m:e>
          <m:sub>
            <m:r>
              <m:t>G</m:t>
            </m:r>
          </m:sub>
        </m:sSub>
        <m:r>
          <m:rPr>
            <m:sty m:val="p"/>
          </m:rPr>
          <m:t>(</m:t>
        </m:r>
        <m:r>
          <m:t>A</m:t>
        </m:r>
        <m:r>
          <m:rPr>
            <m:sty m:val="p"/>
          </m:rPr>
          <m:t>)</m:t>
        </m:r>
        <m:r>
          <m:rPr>
            <m:sty m:val="p"/>
          </m:rPr>
          <m:t>∩</m:t>
        </m:r>
        <m:sSub>
          <m:e>
            <m:r>
              <m:rPr>
                <m:scr m:val="script"/>
                <m:sty m:val="p"/>
              </m:rPr>
              <m:t>E</m:t>
            </m:r>
          </m:e>
          <m:sub>
            <m:r>
              <m:t>A</m:t>
            </m:r>
          </m:sub>
        </m:sSub>
      </m:oMath>
      <w:r>
        <w:t xml:space="preserve">. The default includes all neighbours and is used in TCGA and the seven simulation systems. Structural annotations can exclude a known outcome-directed branch or mediator from</w:t>
      </w:r>
      <w:r>
        <w:t xml:space="preserve"> </w:t>
      </w:r>
      <m:oMath>
        <m:sSub>
          <m:e>
            <m:r>
              <m:rPr>
                <m:scr m:val="script"/>
                <m:sty m:val="p"/>
              </m:rPr>
              <m:t>E</m:t>
            </m:r>
          </m:e>
          <m:sub>
            <m:r>
              <m:t>A</m:t>
            </m:r>
          </m:sub>
        </m:sSub>
      </m:oMath>
      <w:r>
        <w:t xml:space="preserve"> </w:t>
      </w:r>
      <w:r>
        <w:t xml:space="preserve">before estimation; the resulting boundary is the one used in Proposition 1. Define</w:t>
      </w:r>
      <w:r>
        <w:t xml:space="preserve"> </w:t>
      </w:r>
      <m:oMath>
        <m:sSub>
          <m:e>
            <m:r>
              <m:t>W</m:t>
            </m:r>
          </m:e>
          <m:sub>
            <m:r>
              <m:t>A</m:t>
            </m:r>
          </m:sub>
        </m:sSub>
      </m:oMath>
      <w:r>
        <w:t xml:space="preserve"> </w:t>
      </w:r>
      <w:r>
        <w:t xml:space="preserve">as all proteins outside the component containing</w:t>
      </w:r>
      <w:r>
        <w:t xml:space="preserve"> </w:t>
      </w:r>
      <m:oMath>
        <m:r>
          <m:t>A</m:t>
        </m:r>
      </m:oMath>
      <w:r>
        <w:t xml:space="preserve"> </w:t>
      </w:r>
      <w:r>
        <w:t xml:space="preserve">and its neighbours, with eligible loading norm. These proteins form the full separated readout pool. The outcome-proxy pool can be larger than the treatment-proxy set: the reduced bridge needs</w:t>
      </w:r>
      <w:r>
        <w:t xml:space="preserve"> </w:t>
      </w:r>
      <m:oMath>
        <m:r>
          <m:rPr>
            <m:sty m:val="p"/>
          </m:rPr>
          <m:t>|</m:t>
        </m:r>
        <m:sSub>
          <m:e>
            <m:r>
              <m:t>W</m:t>
            </m:r>
          </m:e>
          <m:sub>
            <m:r>
              <m:t>A</m:t>
            </m:r>
          </m:sub>
        </m:sSub>
        <m:r>
          <m:rPr>
            <m:sty m:val="p"/>
          </m:rPr>
          <m:t>|</m:t>
        </m:r>
        <m:r>
          <m:rPr>
            <m:sty m:val="p"/>
          </m:rPr>
          <m:t>≥</m:t>
        </m:r>
        <m:sSub>
          <m:e>
            <m:r>
              <m:t>r</m:t>
            </m:r>
          </m:e>
          <m:sub>
            <m:r>
              <m:t>b</m:t>
            </m:r>
          </m:sub>
        </m:sSub>
      </m:oMath>
      <w:r>
        <w:t xml:space="preserve"> </w:t>
      </w:r>
      <w:r>
        <w:t xml:space="preserve">and</w:t>
      </w:r>
      <w:r>
        <w:t xml:space="preserve"> </w:t>
      </w:r>
      <m:oMath>
        <m:r>
          <m:rPr>
            <m:sty m:val="p"/>
          </m:rPr>
          <m:t>|</m:t>
        </m:r>
        <m:sSub>
          <m:e>
            <m:r>
              <m:t>Z</m:t>
            </m:r>
          </m:e>
          <m:sub>
            <m:r>
              <m:t>A</m:t>
            </m:r>
          </m:sub>
        </m:sSub>
        <m:r>
          <m:rPr>
            <m:sty m:val="p"/>
          </m:rPr>
          <m:t>|</m:t>
        </m:r>
        <m:r>
          <m:rPr>
            <m:sty m:val="p"/>
          </m:rPr>
          <m:t>≥</m:t>
        </m:r>
        <m:sSub>
          <m:e>
            <m:r>
              <m:t>r</m:t>
            </m:r>
          </m:e>
          <m:sub>
            <m:r>
              <m:t>b</m:t>
            </m:r>
          </m:sub>
        </m:sSub>
      </m:oMath>
      <w:r>
        <w:t xml:space="preserve">. Proposition 1 supplies the structural graph conditions giving these measurements their proximal roles. The eight cohort graphs are reused across exposures, while role sets, information dimension and selected penalty change with</w:t>
      </w:r>
      <w:r>
        <w:t xml:space="preserve"> </w:t>
      </w:r>
      <m:oMath>
        <m:r>
          <m:t>A</m:t>
        </m:r>
      </m:oMath>
      <w:r>
        <w:t xml:space="preserve">.</w:t>
      </w:r>
    </w:p>
    <w:bookmarkEnd w:id="15"/>
    <w:bookmarkStart w:id="16" w:name="X8bee3aa7575c2f4cb9f490e6809709036627393"/>
    <w:p>
      <w:pPr>
        <w:pStyle w:val="Heading2"/>
      </w:pPr>
      <w:r>
        <w:t xml:space="preserve">3.5 Joint readout information and reduced bridge</w:t>
      </w:r>
    </w:p>
    <w:p>
      <w:pPr>
        <w:pStyle w:val="FirstParagraph"/>
      </w:pPr>
      <w:r>
        <w:t xml:space="preserve">For every design</w:t>
      </w:r>
      <w:r>
        <w:t xml:space="preserve"> </w:t>
      </w:r>
      <m:oMath>
        <m:r>
          <m:t>d</m:t>
        </m:r>
        <m:r>
          <m:rPr>
            <m:sty m:val="p"/>
          </m:rPr>
          <m:t>=</m:t>
        </m:r>
        <m:r>
          <m:rPr>
            <m:sty m:val="p"/>
          </m:rPr>
          <m:t>(</m:t>
        </m:r>
        <m:r>
          <m:t>w</m:t>
        </m:r>
        <m:r>
          <m:rPr>
            <m:sty m:val="p"/>
          </m:rPr>
          <m:t>,</m:t>
        </m:r>
        <m:r>
          <m:t>α</m:t>
        </m:r>
        <m:r>
          <m:rPr>
            <m:sty m:val="p"/>
          </m:rPr>
          <m:t>)</m:t>
        </m:r>
      </m:oMath>
      <w:r>
        <w:t xml:space="preserve">, residualise</w:t>
      </w:r>
      <w:r>
        <w:t xml:space="preserve"> </w:t>
      </w:r>
      <m:oMath>
        <m:sSub>
          <m:e>
            <m:r>
              <m:t>W</m:t>
            </m:r>
          </m:e>
          <m:sub>
            <m:r>
              <m:t>d</m:t>
            </m:r>
          </m:sub>
        </m:sSub>
      </m:oMath>
      <w:r>
        <w:t xml:space="preserve"> </w:t>
      </w:r>
      <w:r>
        <w:t xml:space="preserve">and</w:t>
      </w:r>
      <w:r>
        <w:t xml:space="preserve"> </w:t>
      </w:r>
      <m:oMath>
        <m:sSub>
          <m:e>
            <m:r>
              <m:t>M</m:t>
            </m:r>
          </m:e>
          <m:sub>
            <m:r>
              <m:t>d</m:t>
            </m:r>
          </m:sub>
        </m:sSub>
        <m:r>
          <m:rPr>
            <m:sty m:val="p"/>
          </m:rPr>
          <m:t>=</m:t>
        </m:r>
        <m:r>
          <m:rPr>
            <m:sty m:val="p"/>
          </m:rPr>
          <m:t>(</m:t>
        </m:r>
        <m:r>
          <m:t>A</m:t>
        </m:r>
        <m:r>
          <m:rPr>
            <m:sty m:val="p"/>
          </m:rPr>
          <m:t>,</m:t>
        </m:r>
        <m:sSubSup>
          <m:e>
            <m:r>
              <m:t>Z</m:t>
            </m:r>
          </m:e>
          <m:sub>
            <m:r>
              <m:t>d</m:t>
            </m:r>
          </m:sub>
          <m:sup>
            <m:r>
              <m:rPr>
                <m:sty m:val="p"/>
              </m:rPr>
              <m:t>⊤</m:t>
            </m:r>
          </m:sup>
        </m:sSubSup>
        <m:sSup>
          <m:e>
            <m:r>
              <m:rPr>
                <m:sty m:val="p"/>
              </m:rPr>
              <m:t>)</m:t>
            </m:r>
          </m:e>
          <m:sup>
            <m:r>
              <m:rPr>
                <m:sty m:val="p"/>
              </m:rPr>
              <m:t>⊤</m:t>
            </m:r>
          </m:sup>
        </m:sSup>
      </m:oMath>
      <w:r>
        <w:t xml:space="preserve"> </w:t>
      </w:r>
      <w:r>
        <w:t xml:space="preserve">on</w:t>
      </w:r>
      <w:r>
        <w:t xml:space="preserve"> </w:t>
      </w:r>
      <m:oMath>
        <m:r>
          <m:rPr>
            <m:sty m:val="p"/>
          </m:rPr>
          <m:t>(</m:t>
        </m:r>
        <m:r>
          <m:t>1</m:t>
        </m:r>
        <m:r>
          <m:rPr>
            <m:sty m:val="p"/>
          </m:rPr>
          <m:t>,</m:t>
        </m:r>
        <m:r>
          <m:t>C</m:t>
        </m:r>
        <m:r>
          <m:rPr>
            <m:sty m:val="p"/>
          </m:rPr>
          <m:t>)</m:t>
        </m:r>
      </m:oMath>
      <w:r>
        <w:t xml:space="preserve"> </w:t>
      </w:r>
      <w:r>
        <w:t xml:space="preserve">to estimate their joint information rank</w:t>
      </w:r>
      <w:r>
        <w:t xml:space="preserve"> </w:t>
      </w:r>
      <m:oMath>
        <m:sSub>
          <m:e>
            <m:acc>
              <m:accPr>
                <m:chr m:val="̂"/>
              </m:accPr>
              <m:e>
                <m:r>
                  <m:t>q</m:t>
                </m:r>
              </m:e>
            </m:acc>
          </m:e>
          <m:sub>
            <m:r>
              <m:t>d</m:t>
            </m:r>
          </m:sub>
        </m:sSub>
      </m:oMath>
      <w:r>
        <w:t xml:space="preserve">.</w:t>
      </w:r>
    </w:p>
    <w:p>
      <w:pPr>
        <w:pStyle w:val="BodyText"/>
      </w:pPr>
      <w:r>
        <w:t xml:space="preserve">Whiten each pair by its residual covariance matrices and compute canonical roots</w:t>
      </w:r>
      <w:r>
        <w:t xml:space="preserve"> </w:t>
      </w:r>
      <m:oMath>
        <m:sSub>
          <m:e>
            <m:acc>
              <m:accPr>
                <m:chr m:val="̂"/>
              </m:accPr>
              <m:e>
                <m:r>
                  <m:t>ρ</m:t>
                </m:r>
              </m:e>
            </m:acc>
          </m:e>
          <m:sub>
            <m:r>
              <m:t>j</m:t>
            </m:r>
          </m:sub>
        </m:sSub>
      </m:oMath>
      <w:r>
        <w:t xml:space="preserve">. For candidate rank</w:t>
      </w:r>
      <w:r>
        <w:t xml:space="preserve"> </w:t>
      </w:r>
      <m:oMath>
        <m:r>
          <m:t>q</m:t>
        </m:r>
      </m:oMath>
      <w:r>
        <w:t xml:space="preserve">, the sequential statistic is</w:t>
      </w:r>
    </w:p>
    <w:p>
      <w:pPr>
        <w:pStyle w:val="BodyText"/>
      </w:pPr>
      <m:oMathPara>
        <m:oMathParaPr>
          <m:jc m:val="center"/>
        </m:oMathParaPr>
        <m:oMath>
          <m:sSub>
            <m:e>
              <m:r>
                <m:t>B</m:t>
              </m:r>
            </m:e>
            <m:sub>
              <m:r>
                <m:t>q</m:t>
              </m:r>
            </m:sub>
          </m:sSub>
          <m:r>
            <m:rPr>
              <m:sty m:val="p"/>
            </m:rPr>
            <m:t>=</m:t>
          </m:r>
          <m:r>
            <m:rPr>
              <m:sty m:val="p"/>
            </m:rPr>
            <m:t>−</m:t>
          </m:r>
          <m:d>
            <m:dPr>
              <m:begChr m:val="["/>
              <m:sepChr m:val=""/>
              <m:endChr m:val="]"/>
              <m:grow/>
            </m:dPr>
            <m:e>
              <m:r>
                <m:t>n</m:t>
              </m:r>
              <m:r>
                <m:rPr>
                  <m:sty m:val="p"/>
                </m:rPr>
                <m:t>−</m:t>
              </m:r>
              <m:r>
                <m:rPr>
                  <m:sty m:val="p"/>
                </m:rPr>
                <m:t>rank</m:t>
              </m:r>
              <m:r>
                <m:rPr>
                  <m:sty m:val="p"/>
                </m:rPr>
                <m:t>(</m:t>
              </m:r>
              <m:sSub>
                <m:e>
                  <m:r>
                    <m:t>D</m:t>
                  </m:r>
                </m:e>
                <m:sub>
                  <m:r>
                    <m:t>0</m:t>
                  </m:r>
                </m:sub>
              </m:sSub>
              <m:r>
                <m:rPr>
                  <m:sty m:val="p"/>
                </m:rPr>
                <m:t>)</m:t>
              </m:r>
              <m:r>
                <m:rPr>
                  <m:sty m:val="p"/>
                </m:rPr>
                <m:t>−</m:t>
              </m:r>
              <m:f>
                <m:fPr>
                  <m:type m:val="bar"/>
                </m:fPr>
                <m:num>
                  <m:sSub>
                    <m:e>
                      <m:r>
                        <m:t>p</m:t>
                      </m:r>
                    </m:e>
                    <m:sub>
                      <m:r>
                        <m:t>W</m:t>
                      </m:r>
                    </m:sub>
                  </m:sSub>
                  <m:r>
                    <m:rPr>
                      <m:sty m:val="p"/>
                    </m:rPr>
                    <m:t>+</m:t>
                  </m:r>
                  <m:sSub>
                    <m:e>
                      <m:r>
                        <m:t>p</m:t>
                      </m:r>
                    </m:e>
                    <m:sub>
                      <m:r>
                        <m:t>M</m:t>
                      </m:r>
                    </m:sub>
                  </m:sSub>
                  <m:r>
                    <m:rPr>
                      <m:sty m:val="p"/>
                    </m:rPr>
                    <m:t>+</m:t>
                  </m:r>
                  <m:r>
                    <m:t>1</m:t>
                  </m:r>
                </m:num>
                <m:den>
                  <m:r>
                    <m:t>2</m:t>
                  </m:r>
                </m:den>
              </m:f>
            </m:e>
          </m:d>
          <m:nary>
            <m:naryPr>
              <m:chr m:val="∑"/>
              <m:limLoc m:val="undOvr"/>
              <m:subHide m:val="off"/>
              <m:supHide m:val="on"/>
            </m:naryPr>
            <m:sub>
              <m:r>
                <m:t>j</m:t>
              </m:r>
              <m:r>
                <m:rPr>
                  <m:sty m:val="p"/>
                </m:rPr>
                <m:t>&gt;</m:t>
              </m:r>
              <m:r>
                <m:t>q</m:t>
              </m:r>
            </m:sub>
            <m:sup>
              <m:r>
                <m:t>​</m:t>
              </m:r>
            </m:sup>
            <m:e>
              <m:r>
                <m:rPr>
                  <m:sty m:val="p"/>
                </m:rPr>
                <m:t>log</m:t>
              </m:r>
            </m:e>
          </m:nary>
          <m:r>
            <m:rPr>
              <m:sty m:val="p"/>
            </m:rPr>
            <m:t>(</m:t>
          </m:r>
          <m:r>
            <m:t>1</m:t>
          </m:r>
          <m:r>
            <m:rPr>
              <m:sty m:val="p"/>
            </m:rPr>
            <m:t>−</m:t>
          </m:r>
          <m:sSubSup>
            <m:e>
              <m:acc>
                <m:accPr>
                  <m:chr m:val="̂"/>
                </m:accPr>
                <m:e>
                  <m:r>
                    <m:t>ρ</m:t>
                  </m:r>
                </m:e>
              </m:acc>
            </m:e>
            <m:sub>
              <m:r>
                <m:t>j</m:t>
              </m:r>
            </m:sub>
            <m:sup>
              <m:r>
                <m:t>2</m:t>
              </m:r>
            </m:sup>
          </m:sSubSup>
          <m:r>
            <m:rPr>
              <m:sty m:val="p"/>
            </m:rPr>
            <m:t>)</m:t>
          </m:r>
          <m:r>
            <m:rPr>
              <m:sty m:val="p"/>
            </m:rPr>
            <m:t>,</m:t>
          </m:r>
          <m:r>
            <m:t>  </m:t>
          </m:r>
          <m:sSub>
            <m:e>
              <m:r>
                <m:t>d</m:t>
              </m:r>
            </m:e>
            <m:sub>
              <m:r>
                <m:t>q</m:t>
              </m:r>
            </m:sub>
          </m:sSub>
          <m:r>
            <m:rPr>
              <m:sty m:val="p"/>
            </m:rPr>
            <m:t>=</m:t>
          </m:r>
          <m:r>
            <m:rPr>
              <m:sty m:val="p"/>
            </m:rPr>
            <m:t>(</m:t>
          </m:r>
          <m:sSub>
            <m:e>
              <m:r>
                <m:t>p</m:t>
              </m:r>
            </m:e>
            <m:sub>
              <m:r>
                <m:t>W</m:t>
              </m:r>
            </m:sub>
          </m:sSub>
          <m:r>
            <m:rPr>
              <m:sty m:val="p"/>
            </m:rPr>
            <m:t>−</m:t>
          </m:r>
          <m:r>
            <m:t>q</m:t>
          </m:r>
          <m:r>
            <m:rPr>
              <m:sty m:val="p"/>
            </m:rPr>
            <m:t>)</m:t>
          </m:r>
          <m:r>
            <m:rPr>
              <m:sty m:val="p"/>
            </m:rPr>
            <m:t>(</m:t>
          </m:r>
          <m:sSub>
            <m:e>
              <m:r>
                <m:t>p</m:t>
              </m:r>
            </m:e>
            <m:sub>
              <m:r>
                <m:t>M</m:t>
              </m:r>
            </m:sub>
          </m:sSub>
          <m:r>
            <m:rPr>
              <m:sty m:val="p"/>
            </m:rPr>
            <m:t>−</m:t>
          </m:r>
          <m:r>
            <m:t>q</m:t>
          </m:r>
          <m:r>
            <m:rPr>
              <m:sty m:val="p"/>
            </m:rPr>
            <m:t>)</m:t>
          </m:r>
          <m:r>
            <m:rPr>
              <m:sty m:val="p"/>
            </m:rPr>
            <m:t>.</m:t>
          </m:r>
        </m:oMath>
      </m:oMathPara>
    </w:p>
    <w:p>
      <w:pPr>
        <w:pStyle w:val="FirstParagraph"/>
      </w:pPr>
      <w:r>
        <w:t xml:space="preserve">Here</w:t>
      </w:r>
      <w:r>
        <w:t xml:space="preserve"> </w:t>
      </w:r>
      <m:oMath>
        <m:sSub>
          <m:e>
            <m:r>
              <m:t>D</m:t>
            </m:r>
          </m:e>
          <m:sub>
            <m:r>
              <m:t>0</m:t>
            </m:r>
          </m:sub>
        </m:sSub>
      </m:oMath>
      <w:r>
        <w:t xml:space="preserve"> </w:t>
      </w:r>
      <w:r>
        <w:t xml:space="preserve">is the residualisation design and</w:t>
      </w:r>
      <w:r>
        <w:t xml:space="preserve"> </w:t>
      </w:r>
      <m:oMath>
        <m:sSub>
          <m:e>
            <m:r>
              <m:t>p</m:t>
            </m:r>
          </m:e>
          <m:sub>
            <m:r>
              <m:t>M</m:t>
            </m:r>
          </m:sub>
        </m:sSub>
      </m:oMath>
      <w:r>
        <w:t xml:space="preserve"> </w:t>
      </w:r>
      <w:r>
        <w:t xml:space="preserve">is the residual predictor dimension. Compare</w:t>
      </w:r>
      <w:r>
        <w:t xml:space="preserve"> </w:t>
      </w:r>
      <m:oMath>
        <m:sSub>
          <m:e>
            <m:r>
              <m:t>B</m:t>
            </m:r>
          </m:e>
          <m:sub>
            <m:r>
              <m:t>q</m:t>
            </m:r>
          </m:sub>
        </m:sSub>
      </m:oMath>
      <w:r>
        <w:t xml:space="preserve"> </w:t>
      </w:r>
      <w:r>
        <w:t xml:space="preserve">with the chi-square reference of</w:t>
      </w:r>
      <w:r>
        <w:t xml:space="preserve"> </w:t>
      </w:r>
      <m:oMath>
        <m:sSub>
          <m:e>
            <m:r>
              <m:t>d</m:t>
            </m:r>
          </m:e>
          <m:sub>
            <m:r>
              <m:t>q</m:t>
            </m:r>
          </m:sub>
        </m:sSub>
      </m:oMath>
      <w:r>
        <w:t xml:space="preserve"> </w:t>
      </w:r>
      <w:r>
        <w:t xml:space="preserve">degrees of freedom at level</w:t>
      </w:r>
      <w:r>
        <w:t xml:space="preserve"> </w:t>
      </w:r>
      <m:oMath>
        <m:sSub>
          <m:e>
            <m:r>
              <m:t>α</m:t>
            </m:r>
          </m:e>
          <m:sub>
            <m:r>
              <m:t>n</m:t>
            </m:r>
          </m:sub>
        </m:sSub>
        <m:r>
          <m:rPr>
            <m:sty m:val="p"/>
          </m:rPr>
          <m:t>=</m:t>
        </m:r>
        <m:r>
          <m:rPr>
            <m:sty m:val="p"/>
          </m:rPr>
          <m:t>min</m:t>
        </m:r>
        <m:r>
          <m:rPr>
            <m:sty m:val="p"/>
          </m:rPr>
          <m:t>(</m:t>
        </m:r>
        <m:r>
          <m:t>0.05</m:t>
        </m:r>
        <m:r>
          <m:rPr>
            <m:sty m:val="p"/>
          </m:rPr>
          <m:t>,</m:t>
        </m:r>
        <m:sSup>
          <m:e>
            <m:r>
              <m:t>n</m:t>
            </m:r>
          </m:e>
          <m:sup>
            <m:r>
              <m:rPr>
                <m:sty m:val="p"/>
              </m:rPr>
              <m:t>−</m:t>
            </m:r>
            <m:r>
              <m:t>1</m:t>
            </m:r>
            <m:r>
              <m:rPr>
                <m:sty m:val="p"/>
              </m:rPr>
              <m:t>/</m:t>
            </m:r>
            <m:r>
              <m:t>2</m:t>
            </m:r>
          </m:sup>
        </m:sSup>
        <m:r>
          <m:rPr>
            <m:sty m:val="p"/>
          </m:rPr>
          <m:t>)</m:t>
        </m:r>
      </m:oMath>
      <w:r>
        <w:t xml:space="preserve">, starting at</w:t>
      </w:r>
      <w:r>
        <w:t xml:space="preserve"> </w:t>
      </w:r>
      <m:oMath>
        <m:r>
          <m:t>q</m:t>
        </m:r>
        <m:r>
          <m:rPr>
            <m:sty m:val="p"/>
          </m:rPr>
          <m:t>=</m:t>
        </m:r>
        <m:r>
          <m:t>0</m:t>
        </m:r>
      </m:oMath>
      <w:r>
        <w:t xml:space="preserve"> </w:t>
      </w:r>
      <w:r>
        <w:t xml:space="preserve">and stopping at the first accepted rank, with an upper bound of eight. Bartlett’s reference gives the Gaussian calibration; Proposition 3 establishes consistency through a root-</w:t>
      </w:r>
      <m:oMath>
        <m:r>
          <m:t>n</m:t>
        </m:r>
      </m:oMath>
      <w:r>
        <w:t xml:space="preserve"> </w:t>
      </w:r>
      <w:r>
        <w:t xml:space="preserve">covariance expansion. Determine</w:t>
      </w:r>
      <w:r>
        <w:t xml:space="preserve"> </w:t>
      </w:r>
      <m:oMath>
        <m:sSub>
          <m:e>
            <m:acc>
              <m:accPr>
                <m:chr m:val="̂"/>
              </m:accPr>
              <m:e>
                <m:r>
                  <m:t>r</m:t>
                </m:r>
              </m:e>
            </m:acc>
          </m:e>
          <m:sub>
            <m:r>
              <m:rPr>
                <m:sty m:val="p"/>
              </m:rPr>
              <m:t>*</m:t>
            </m:r>
          </m:sub>
        </m:sSub>
        <m:r>
          <m:rPr>
            <m:sty m:val="p"/>
          </m:rPr>
          <m:t>=</m:t>
        </m:r>
        <m:sSub>
          <m:e>
            <m:r>
              <m:rPr>
                <m:sty m:val="p"/>
              </m:rPr>
              <m:t>max</m:t>
            </m:r>
          </m:e>
          <m:sub>
            <m:r>
              <m:t>d</m:t>
            </m:r>
          </m:sub>
        </m:sSub>
        <m:sSub>
          <m:e>
            <m:acc>
              <m:accPr>
                <m:chr m:val="̂"/>
              </m:accPr>
              <m:e>
                <m:r>
                  <m:t>q</m:t>
                </m:r>
              </m:e>
            </m:acc>
          </m:e>
          <m:sub>
            <m:r>
              <m:t>d</m:t>
            </m:r>
          </m:sub>
        </m:sSub>
      </m:oMath>
      <w:r>
        <w:t xml:space="preserve">. For each candidate with</w:t>
      </w:r>
      <w:r>
        <w:t xml:space="preserve"> </w:t>
      </w:r>
      <m:oMath>
        <m:sSub>
          <m:e>
            <m:acc>
              <m:accPr>
                <m:chr m:val="̂"/>
              </m:accPr>
              <m:e>
                <m:r>
                  <m:t>q</m:t>
                </m:r>
              </m:e>
            </m:acc>
          </m:e>
          <m:sub>
            <m:r>
              <m:t>d</m:t>
            </m:r>
          </m:sub>
        </m:sSub>
        <m:r>
          <m:rPr>
            <m:sty m:val="p"/>
          </m:rPr>
          <m:t>=</m:t>
        </m:r>
        <m:sSub>
          <m:e>
            <m:acc>
              <m:accPr>
                <m:chr m:val="̂"/>
              </m:accPr>
              <m:e>
                <m:r>
                  <m:t>r</m:t>
                </m:r>
              </m:e>
            </m:acc>
          </m:e>
          <m:sub>
            <m:r>
              <m:rPr>
                <m:sty m:val="p"/>
              </m:rPr>
              <m:t>*</m:t>
            </m:r>
          </m:sub>
        </m:sSub>
        <m:r>
          <m:rPr>
            <m:sty m:val="p"/>
          </m:rPr>
          <m:t>&gt;</m:t>
        </m:r>
        <m:r>
          <m:t>0</m:t>
        </m:r>
      </m:oMath>
      <w:r>
        <w:t xml:space="preserve"> </w:t>
      </w:r>
      <w:r>
        <w:t xml:space="preserve">and</w:t>
      </w:r>
      <w:r>
        <w:t xml:space="preserve"> </w:t>
      </w:r>
      <m:oMath>
        <m:r>
          <m:rPr>
            <m:sty m:val="p"/>
          </m:rPr>
          <m:t>min</m:t>
        </m:r>
        <m:r>
          <m:rPr>
            <m:sty m:val="p"/>
          </m:rPr>
          <m:t>(</m:t>
        </m:r>
        <m:r>
          <m:rPr>
            <m:sty m:val="p"/>
          </m:rPr>
          <m:t>|</m:t>
        </m:r>
        <m:sSub>
          <m:e>
            <m:r>
              <m:t>W</m:t>
            </m:r>
          </m:e>
          <m:sub>
            <m:r>
              <m:t>d</m:t>
            </m:r>
          </m:sub>
        </m:sSub>
        <m:r>
          <m:rPr>
            <m:sty m:val="p"/>
          </m:rPr>
          <m:t>|</m:t>
        </m:r>
        <m:r>
          <m:rPr>
            <m:sty m:val="p"/>
          </m:rPr>
          <m:t>,</m:t>
        </m:r>
        <m:r>
          <m:rPr>
            <m:sty m:val="p"/>
          </m:rPr>
          <m:t>|</m:t>
        </m:r>
        <m:sSub>
          <m:e>
            <m:r>
              <m:t>Z</m:t>
            </m:r>
          </m:e>
          <m:sub>
            <m:r>
              <m:t>d</m:t>
            </m:r>
          </m:sub>
        </m:sSub>
        <m:r>
          <m:rPr>
            <m:sty m:val="p"/>
          </m:rPr>
          <m:t>|</m:t>
        </m:r>
        <m:r>
          <m:rPr>
            <m:sty m:val="p"/>
          </m:rPr>
          <m:t>)</m:t>
        </m:r>
        <m:r>
          <m:rPr>
            <m:sty m:val="p"/>
          </m:rPr>
          <m:t>≥</m:t>
        </m:r>
        <m:sSub>
          <m:e>
            <m:acc>
              <m:accPr>
                <m:chr m:val="̂"/>
              </m:accPr>
              <m:e>
                <m:r>
                  <m:t>r</m:t>
                </m:r>
              </m:e>
            </m:acc>
          </m:e>
          <m:sub>
            <m:r>
              <m:rPr>
                <m:sty m:val="p"/>
              </m:rPr>
              <m:t>*</m:t>
            </m:r>
          </m:sub>
        </m:sSub>
      </m:oMath>
      <w:r>
        <w:t xml:space="preserve">, construct the joint projection below and estimate the conditional information rank</w:t>
      </w:r>
      <w:r>
        <w:t xml:space="preserve"> </w:t>
      </w:r>
      <m:oMath>
        <m:sSub>
          <m:e>
            <m:acc>
              <m:accPr>
                <m:chr m:val="̂"/>
              </m:accPr>
              <m:e>
                <m:r>
                  <m:t>k</m:t>
                </m:r>
              </m:e>
            </m:acc>
          </m:e>
          <m:sub>
            <m:r>
              <m:t>d</m:t>
            </m:r>
          </m:sub>
        </m:sSub>
      </m:oMath>
      <w:r>
        <w:t xml:space="preserve"> </w:t>
      </w:r>
      <w:r>
        <w:t xml:space="preserve">of its observed reduced readouts and</w:t>
      </w:r>
      <w:r>
        <w:t xml:space="preserve"> </w:t>
      </w:r>
      <m:oMath>
        <m:sSub>
          <m:e>
            <m:r>
              <m:t>Z</m:t>
            </m:r>
          </m:e>
          <m:sub>
            <m:r>
              <m:t>d</m:t>
            </m:r>
          </m:sub>
        </m:sSub>
      </m:oMath>
      <w:r>
        <w:t xml:space="preserve"> </w:t>
      </w:r>
      <w:r>
        <w:t xml:space="preserve">after residualising</w:t>
      </w:r>
      <w:r>
        <w:t xml:space="preserve"> </w:t>
      </w:r>
      <m:oMath>
        <m:r>
          <m:rPr>
            <m:sty m:val="p"/>
          </m:rPr>
          <m:t>(</m:t>
        </m:r>
        <m:r>
          <m:t>1</m:t>
        </m:r>
        <m:r>
          <m:rPr>
            <m:sty m:val="p"/>
          </m:rPr>
          <m:t>,</m:t>
        </m:r>
        <m:r>
          <m:t>A</m:t>
        </m:r>
        <m:r>
          <m:rPr>
            <m:sty m:val="p"/>
          </m:rPr>
          <m:t>,</m:t>
        </m:r>
        <m:r>
          <m:t>C</m:t>
        </m:r>
        <m:r>
          <m:rPr>
            <m:sty m:val="p"/>
          </m:rPr>
          <m:t>)</m:t>
        </m:r>
      </m:oMath>
      <w:r>
        <w:t xml:space="preserve">. Define</w:t>
      </w:r>
    </w:p>
    <w:p>
      <w:pPr>
        <w:pStyle w:val="BodyText"/>
      </w:pPr>
      <m:oMathPara>
        <m:oMathParaPr>
          <m:jc m:val="center"/>
        </m:oMathParaPr>
        <m:oMath>
          <m:acc>
            <m:accPr>
              <m:chr m:val="̂"/>
            </m:accPr>
            <m:e>
              <m:r>
                <m:rPr>
                  <m:scr m:val="script"/>
                  <m:sty m:val="p"/>
                </m:rPr>
                <m:t>E</m:t>
              </m:r>
            </m:e>
          </m:acc>
          <m:r>
            <m:rPr>
              <m:sty m:val="p"/>
            </m:rPr>
            <m:t>=</m:t>
          </m:r>
          <m:r>
            <m:rPr>
              <m:sty m:val="p"/>
            </m:rPr>
            <m:t>{</m:t>
          </m:r>
          <m:r>
            <m:t>d</m:t>
          </m:r>
          <m:r>
            <m:rPr>
              <m:sty m:val="p"/>
            </m:rPr>
            <m:t>:</m:t>
          </m:r>
          <m:sSub>
            <m:e>
              <m:acc>
                <m:accPr>
                  <m:chr m:val="̂"/>
                </m:accPr>
                <m:e>
                  <m:r>
                    <m:t>q</m:t>
                  </m:r>
                </m:e>
              </m:acc>
            </m:e>
            <m:sub>
              <m:r>
                <m:t>d</m:t>
              </m:r>
            </m:sub>
          </m:sSub>
          <m:r>
            <m:rPr>
              <m:sty m:val="p"/>
            </m:rPr>
            <m:t>=</m:t>
          </m:r>
          <m:sSub>
            <m:e>
              <m:acc>
                <m:accPr>
                  <m:chr m:val="̂"/>
                </m:accPr>
                <m:e>
                  <m:r>
                    <m:t>r</m:t>
                  </m:r>
                </m:e>
              </m:acc>
            </m:e>
            <m:sub>
              <m:r>
                <m:rPr>
                  <m:sty m:val="p"/>
                </m:rPr>
                <m:t>*</m:t>
              </m:r>
            </m:sub>
          </m:sSub>
          <m:r>
            <m:rPr>
              <m:sty m:val="p"/>
            </m:rPr>
            <m:t>,</m:t>
          </m:r>
          <m:r>
            <m:t> </m:t>
          </m:r>
          <m:sSub>
            <m:e>
              <m:acc>
                <m:accPr>
                  <m:chr m:val="̂"/>
                </m:accPr>
                <m:e>
                  <m:r>
                    <m:t>k</m:t>
                  </m:r>
                </m:e>
              </m:acc>
            </m:e>
            <m:sub>
              <m:r>
                <m:t>d</m:t>
              </m:r>
            </m:sub>
          </m:sSub>
          <m:r>
            <m:rPr>
              <m:sty m:val="p"/>
            </m:rPr>
            <m:t>=</m:t>
          </m:r>
          <m:sSub>
            <m:e>
              <m:acc>
                <m:accPr>
                  <m:chr m:val="̂"/>
                </m:accPr>
                <m:e>
                  <m:r>
                    <m:t>r</m:t>
                  </m:r>
                </m:e>
              </m:acc>
            </m:e>
            <m:sub>
              <m:r>
                <m:rPr>
                  <m:sty m:val="p"/>
                </m:rPr>
                <m:t>*</m:t>
              </m:r>
            </m:sub>
          </m:sSub>
          <m:r>
            <m:rPr>
              <m:sty m:val="p"/>
            </m:rPr>
            <m:t>,</m:t>
          </m:r>
          <m:r>
            <m:t> </m:t>
          </m:r>
          <m:r>
            <m:rPr>
              <m:sty m:val="p"/>
            </m:rPr>
            <m:t>min</m:t>
          </m:r>
          <m:r>
            <m:rPr>
              <m:sty m:val="p"/>
            </m:rPr>
            <m:t>(</m:t>
          </m:r>
          <m:r>
            <m:rPr>
              <m:sty m:val="p"/>
            </m:rPr>
            <m:t>|</m:t>
          </m:r>
          <m:sSub>
            <m:e>
              <m:r>
                <m:t>W</m:t>
              </m:r>
            </m:e>
            <m:sub>
              <m:r>
                <m:t>d</m:t>
              </m:r>
            </m:sub>
          </m:sSub>
          <m:r>
            <m:rPr>
              <m:sty m:val="p"/>
            </m:rPr>
            <m:t>|</m:t>
          </m:r>
          <m:r>
            <m:rPr>
              <m:sty m:val="p"/>
            </m:rPr>
            <m:t>,</m:t>
          </m:r>
          <m:r>
            <m:rPr>
              <m:sty m:val="p"/>
            </m:rPr>
            <m:t>|</m:t>
          </m:r>
          <m:sSub>
            <m:e>
              <m:r>
                <m:t>Z</m:t>
              </m:r>
            </m:e>
            <m:sub>
              <m:r>
                <m:t>d</m:t>
              </m:r>
            </m:sub>
          </m:sSub>
          <m:r>
            <m:rPr>
              <m:sty m:val="p"/>
            </m:rPr>
            <m:t>|</m:t>
          </m:r>
          <m:r>
            <m:rPr>
              <m:sty m:val="p"/>
            </m:rPr>
            <m:t>)</m:t>
          </m:r>
          <m:r>
            <m:rPr>
              <m:sty m:val="p"/>
            </m:rPr>
            <m:t>≥</m:t>
          </m:r>
          <m:sSub>
            <m:e>
              <m:acc>
                <m:accPr>
                  <m:chr m:val="̂"/>
                </m:accPr>
                <m:e>
                  <m:r>
                    <m:t>r</m:t>
                  </m:r>
                </m:e>
              </m:acc>
            </m:e>
            <m:sub>
              <m:r>
                <m:rPr>
                  <m:sty m:val="p"/>
                </m:rPr>
                <m:t>*</m:t>
              </m:r>
            </m:sub>
          </m:sSub>
          <m:r>
            <m:rPr>
              <m:sty m:val="p"/>
            </m:rPr>
            <m:t>}</m:t>
          </m:r>
          <m:r>
            <m:rPr>
              <m:sty m:val="p"/>
            </m:rPr>
            <m:t>.</m:t>
          </m:r>
        </m:oMath>
      </m:oMathPara>
    </w:p>
    <w:p>
      <w:pPr>
        <w:pStyle w:val="FirstParagraph"/>
      </w:pPr>
      <w:r>
        <w:t xml:space="preserve">Among these candidates choose the largest smallest conditional canonical root</w:t>
      </w:r>
      <w:r>
        <w:t xml:space="preserve"> </w:t>
      </w:r>
      <m:oMath>
        <m:sSub>
          <m:e>
            <m:acc>
              <m:accPr>
                <m:chr m:val="̂"/>
              </m:accPr>
              <m:e>
                <m:r>
                  <m:t>γ</m:t>
                </m:r>
              </m:e>
            </m:acc>
          </m:e>
          <m:sub>
            <m:r>
              <m:t>d</m:t>
            </m:r>
          </m:sub>
        </m:sSub>
        <m:r>
          <m:rPr>
            <m:sty m:val="p"/>
          </m:rPr>
          <m:t>=</m:t>
        </m:r>
        <m:sSubSup>
          <m:e>
            <m:acc>
              <m:accPr>
                <m:chr m:val="̂"/>
              </m:accPr>
              <m:e>
                <m:r>
                  <m:t>ρ</m:t>
                </m:r>
              </m:e>
            </m:acc>
          </m:e>
          <m:sub>
            <m:sSub>
              <m:e>
                <m:acc>
                  <m:accPr>
                    <m:chr m:val="̂"/>
                  </m:accPr>
                  <m:e>
                    <m:r>
                      <m:t>r</m:t>
                    </m:r>
                  </m:e>
                </m:acc>
              </m:e>
              <m:sub>
                <m:r>
                  <m:rPr>
                    <m:sty m:val="p"/>
                  </m:rPr>
                  <m:t>*</m:t>
                </m:r>
              </m:sub>
            </m:sSub>
            <m:r>
              <m:rPr>
                <m:sty m:val="p"/>
              </m:rPr>
              <m:t>,</m:t>
            </m:r>
            <m:r>
              <m:t>d</m:t>
            </m:r>
          </m:sub>
          <m:sup>
            <m:r>
              <m:rPr>
                <m:sty m:val="p"/>
              </m:rPr>
              <m:t>c</m:t>
            </m:r>
            <m:r>
              <m:rPr>
                <m:sty m:val="p"/>
              </m:rPr>
              <m:t>o</m:t>
            </m:r>
            <m:r>
              <m:rPr>
                <m:sty m:val="p"/>
              </m:rPr>
              <m:t>n</m:t>
            </m:r>
            <m:r>
              <m:rPr>
                <m:sty m:val="p"/>
              </m:rPr>
              <m:t>d</m:t>
            </m:r>
            <m:r>
              <m:rPr>
                <m:sty m:val="p"/>
              </m:rPr>
              <m:t>i</m:t>
            </m:r>
            <m:r>
              <m:rPr>
                <m:sty m:val="p"/>
              </m:rPr>
              <m:t>t</m:t>
            </m:r>
            <m:r>
              <m:rPr>
                <m:sty m:val="p"/>
              </m:rPr>
              <m:t>i</m:t>
            </m:r>
            <m:r>
              <m:rPr>
                <m:sty m:val="p"/>
              </m:rPr>
              <m:t>o</m:t>
            </m:r>
            <m:r>
              <m:rPr>
                <m:sty m:val="p"/>
              </m:rPr>
              <m:t>n</m:t>
            </m:r>
            <m:r>
              <m:rPr>
                <m:sty m:val="p"/>
              </m:rPr>
              <m:t>a</m:t>
            </m:r>
            <m:r>
              <m:rPr>
                <m:sty m:val="p"/>
              </m:rPr>
              <m:t>l</m:t>
            </m:r>
          </m:sup>
        </m:sSubSup>
      </m:oMath>
      <w:r>
        <w:t xml:space="preserve">. Fixed grid order resolves exact ties. If this set is empty, retain the molecular design record with its missing identifying dimension; an effect is fitted only when a candidate supplies the full conditional dimension. The joint rank determines readout dimension, and conditional information determines eligibility and quality. Proposition 3b gives consistency under existence of a conditionally complete candidate.</w:t>
      </w:r>
    </w:p>
    <w:p>
      <w:pPr>
        <w:pStyle w:val="BodyText"/>
      </w:pPr>
      <w:r>
        <w:t xml:space="preserve">Fit</w:t>
      </w:r>
      <w:r>
        <w:t xml:space="preserve"> </w:t>
      </w:r>
      <m:oMath>
        <m:acc>
          <m:accPr>
            <m:chr m:val="̂"/>
          </m:accPr>
          <m:e>
            <m:r>
              <m:t>W</m:t>
            </m:r>
          </m:e>
        </m:acc>
        <m:r>
          <m:rPr>
            <m:sty m:val="p"/>
          </m:rPr>
          <m:t>=</m:t>
        </m:r>
        <m:r>
          <m:t>M</m:t>
        </m:r>
        <m:acc>
          <m:accPr>
            <m:chr m:val="̂"/>
          </m:accPr>
          <m:e>
            <m:r>
              <m:rPr>
                <m:sty m:val="p"/>
              </m:rPr>
              <m:t>Π</m:t>
            </m:r>
          </m:e>
        </m:acc>
      </m:oMath>
      <w:r>
        <w:t xml:space="preserve">, with</w:t>
      </w:r>
      <w:r>
        <w:t xml:space="preserve"> </w:t>
      </w:r>
      <m:oMath>
        <m:r>
          <m:t>M</m:t>
        </m:r>
        <m:r>
          <m:rPr>
            <m:sty m:val="p"/>
          </m:rPr>
          <m:t>=</m:t>
        </m:r>
        <m:r>
          <m:rPr>
            <m:sty m:val="p"/>
          </m:rPr>
          <m:t>(</m:t>
        </m:r>
        <m:r>
          <m:t>1</m:t>
        </m:r>
        <m:r>
          <m:rPr>
            <m:sty m:val="p"/>
          </m:rPr>
          <m:t>,</m:t>
        </m:r>
        <m:r>
          <m:t>C</m:t>
        </m:r>
        <m:r>
          <m:rPr>
            <m:sty m:val="p"/>
          </m:rPr>
          <m:t>,</m:t>
        </m:r>
        <m:r>
          <m:t>A</m:t>
        </m:r>
        <m:r>
          <m:rPr>
            <m:sty m:val="p"/>
          </m:rPr>
          <m:t>,</m:t>
        </m:r>
        <m:r>
          <m:t>Z</m:t>
        </m:r>
        <m:r>
          <m:rPr>
            <m:sty m:val="p"/>
          </m:rPr>
          <m:t>)</m:t>
        </m:r>
      </m:oMath>
      <w:r>
        <w:t xml:space="preserve">. Residualise the fitted readouts on</w:t>
      </w:r>
      <w:r>
        <w:t xml:space="preserve"> </w:t>
      </w:r>
      <m:oMath>
        <m:r>
          <m:rPr>
            <m:sty m:val="p"/>
          </m:rPr>
          <m:t>(</m:t>
        </m:r>
        <m:r>
          <m:t>1</m:t>
        </m:r>
        <m:r>
          <m:rPr>
            <m:sty m:val="p"/>
          </m:rPr>
          <m:t>,</m:t>
        </m:r>
        <m:r>
          <m:t>C</m:t>
        </m:r>
        <m:r>
          <m:rPr>
            <m:sty m:val="p"/>
          </m:rPr>
          <m:t>)</m:t>
        </m:r>
      </m:oMath>
      <w:r>
        <w:t xml:space="preserve"> </w:t>
      </w:r>
      <w:r>
        <w:t xml:space="preserve">and take their leading</w:t>
      </w:r>
      <w:r>
        <w:t xml:space="preserve"> </w:t>
      </w:r>
      <m:oMath>
        <m:sSub>
          <m:e>
            <m:acc>
              <m:accPr>
                <m:chr m:val="̂"/>
              </m:accPr>
              <m:e>
                <m:r>
                  <m:t>r</m:t>
                </m:r>
              </m:e>
            </m:acc>
          </m:e>
          <m:sub>
            <m:r>
              <m:rPr>
                <m:sty m:val="p"/>
              </m:rPr>
              <m:t>*</m:t>
            </m:r>
          </m:sub>
        </m:sSub>
      </m:oMath>
      <w:r>
        <w:t xml:space="preserve"> </w:t>
      </w:r>
      <w:r>
        <w:t xml:space="preserve">right singular vectors</w:t>
      </w:r>
      <w:r>
        <w:t xml:space="preserve"> </w:t>
      </w:r>
      <m:oMath>
        <m:r>
          <m:t>P</m:t>
        </m:r>
      </m:oMath>
      <w:r>
        <w:t xml:space="preserve">. Thus exposure contributes to learning the readout coordinates. Define observed readouts</w:t>
      </w:r>
      <w:r>
        <w:t xml:space="preserve"> </w:t>
      </w:r>
      <m:oMath>
        <m:r>
          <m:t>R</m:t>
        </m:r>
        <m:r>
          <m:rPr>
            <m:sty m:val="p"/>
          </m:rPr>
          <m:t>=</m:t>
        </m:r>
        <m:r>
          <m:t>W</m:t>
        </m:r>
        <m:r>
          <m:t>P</m:t>
        </m:r>
      </m:oMath>
      <w:r>
        <w:t xml:space="preserve"> </w:t>
      </w:r>
      <w:r>
        <w:t xml:space="preserve">and fitted readouts</w:t>
      </w:r>
      <w:r>
        <w:t xml:space="preserve"> </w:t>
      </w:r>
      <m:oMath>
        <m:acc>
          <m:accPr>
            <m:chr m:val="̂"/>
          </m:accPr>
          <m:e>
            <m:r>
              <m:t>R</m:t>
            </m:r>
          </m:e>
        </m:acc>
        <m:r>
          <m:rPr>
            <m:sty m:val="p"/>
          </m:rPr>
          <m:t>=</m:t>
        </m:r>
        <m:acc>
          <m:accPr>
            <m:chr m:val="̂"/>
          </m:accPr>
          <m:e>
            <m:r>
              <m:t>W</m:t>
            </m:r>
          </m:e>
        </m:acc>
        <m:r>
          <m:t>P</m:t>
        </m:r>
      </m:oMath>
      <w:r>
        <w:t xml:space="preserve">. Regress the clinical outcome or its censored pseudo-outcome on</w:t>
      </w:r>
      <w:r>
        <w:t xml:space="preserve"> </w:t>
      </w:r>
      <m:oMath>
        <m:r>
          <m:rPr>
            <m:sty m:val="p"/>
          </m:rPr>
          <m:t>(</m:t>
        </m:r>
        <m:r>
          <m:t>1</m:t>
        </m:r>
        <m:r>
          <m:rPr>
            <m:sty m:val="p"/>
          </m:rPr>
          <m:t>,</m:t>
        </m:r>
        <m:r>
          <m:t>C</m:t>
        </m:r>
        <m:r>
          <m:rPr>
            <m:sty m:val="p"/>
          </m:rPr>
          <m:t>,</m:t>
        </m:r>
        <m:r>
          <m:t>A</m:t>
        </m:r>
        <m:r>
          <m:rPr>
            <m:sty m:val="p"/>
          </m:rPr>
          <m:t>,</m:t>
        </m:r>
        <m:acc>
          <m:accPr>
            <m:chr m:val="̂"/>
          </m:accPr>
          <m:e>
            <m:r>
              <m:t>R</m:t>
            </m:r>
          </m:e>
        </m:acc>
        <m:r>
          <m:rPr>
            <m:sty m:val="p"/>
          </m:rPr>
          <m:t>)</m:t>
        </m:r>
      </m:oMath>
      <w:r>
        <w:t xml:space="preserve"> </w:t>
      </w:r>
      <w:r>
        <w:t xml:space="preserve">and report the exposure coefficient. Exposure remains explicit in the outcome equation. Proposition 3a shows that the joint reduction preserves the total-effect bridge.</w:t>
      </w:r>
    </w:p>
    <w:p>
      <w:pPr>
        <w:pStyle w:val="BodyText"/>
      </w:pPr>
      <w:r>
        <w:t xml:space="preserve">For either the raw readouts</w:t>
      </w:r>
      <w:r>
        <w:t xml:space="preserve"> </w:t>
      </w:r>
      <m:oMath>
        <m:r>
          <m:t>V</m:t>
        </m:r>
        <m:r>
          <m:rPr>
            <m:sty m:val="p"/>
          </m:rPr>
          <m:t>=</m:t>
        </m:r>
        <m:r>
          <m:t>W</m:t>
        </m:r>
      </m:oMath>
      <w:r>
        <w:t xml:space="preserve"> </w:t>
      </w:r>
      <w:r>
        <w:t xml:space="preserve">or the reduced readouts</w:t>
      </w:r>
      <w:r>
        <w:t xml:space="preserve"> </w:t>
      </w:r>
      <m:oMath>
        <m:r>
          <m:t>V</m:t>
        </m:r>
        <m:r>
          <m:rPr>
            <m:sty m:val="p"/>
          </m:rPr>
          <m:t>=</m:t>
        </m:r>
        <m:r>
          <m:t>R</m:t>
        </m:r>
      </m:oMath>
      <w:r>
        <w:t xml:space="preserve">, record</w:t>
      </w:r>
    </w:p>
    <w:p>
      <w:pPr>
        <w:pStyle w:val="BodyText"/>
      </w:pPr>
      <m:oMathPara>
        <m:oMathParaPr>
          <m:jc m:val="center"/>
        </m:oMathParaPr>
        <m:oMath>
          <m:r>
            <m:t>ν</m:t>
          </m:r>
          <m:r>
            <m:rPr>
              <m:sty m:val="p"/>
            </m:rPr>
            <m:t>(</m:t>
          </m:r>
          <m:r>
            <m:t>V</m:t>
          </m:r>
          <m:r>
            <m:rPr>
              <m:sty m:val="p"/>
            </m:rPr>
            <m:t>,</m:t>
          </m:r>
          <m:r>
            <m:t>Z</m:t>
          </m:r>
          <m:r>
            <m:rPr>
              <m:sty m:val="p"/>
            </m:rPr>
            <m:t>∣</m:t>
          </m:r>
          <m:r>
            <m:t>A</m:t>
          </m:r>
          <m:r>
            <m:rPr>
              <m:sty m:val="p"/>
            </m:rPr>
            <m:t>,</m:t>
          </m:r>
          <m:r>
            <m:t>C</m:t>
          </m:r>
          <m:r>
            <m:rPr>
              <m:sty m:val="p"/>
            </m:rPr>
            <m:t>)</m:t>
          </m:r>
          <m:r>
            <m:rPr>
              <m:sty m:val="p"/>
            </m:rPr>
            <m:t>=</m:t>
          </m:r>
          <m:f>
            <m:fPr>
              <m:type m:val="bar"/>
            </m:fPr>
            <m:num>
              <m:sSub>
                <m:e>
                  <m:r>
                    <m:t>σ</m:t>
                  </m:r>
                </m:e>
                <m:sub>
                  <m:sSub>
                    <m:e>
                      <m:acc>
                        <m:accPr>
                          <m:chr m:val="̂"/>
                        </m:accPr>
                        <m:e>
                          <m:r>
                            <m:t>r</m:t>
                          </m:r>
                        </m:e>
                      </m:acc>
                    </m:e>
                    <m:sub>
                      <m:r>
                        <m:rPr>
                          <m:sty m:val="p"/>
                        </m:rPr>
                        <m:t>*</m:t>
                      </m:r>
                    </m:sub>
                  </m:sSub>
                </m:sub>
              </m:sSub>
              <m:r>
                <m:rPr>
                  <m:sty m:val="p"/>
                </m:rPr>
                <m:t>{</m:t>
              </m:r>
              <m:r>
                <m:rPr>
                  <m:sty m:val="p"/>
                </m:rPr>
                <m:t>Cov</m:t>
              </m:r>
              <m:r>
                <m:rPr>
                  <m:sty m:val="p"/>
                </m:rPr>
                <m:t>(</m:t>
              </m:r>
              <m:acc>
                <m:accPr>
                  <m:chr m:val="̃"/>
                </m:accPr>
                <m:e>
                  <m:r>
                    <m:t>V</m:t>
                  </m:r>
                </m:e>
              </m:acc>
              <m:r>
                <m:rPr>
                  <m:sty m:val="p"/>
                </m:rPr>
                <m:t>,</m:t>
              </m:r>
              <m:acc>
                <m:accPr>
                  <m:chr m:val="̃"/>
                </m:accPr>
                <m:e>
                  <m:r>
                    <m:t>Z</m:t>
                  </m:r>
                </m:e>
              </m:acc>
              <m:r>
                <m:rPr>
                  <m:sty m:val="p"/>
                </m:rPr>
                <m:t>)</m:t>
              </m:r>
              <m:r>
                <m:rPr>
                  <m:sty m:val="p"/>
                </m:rPr>
                <m:t>}</m:t>
              </m:r>
            </m:num>
            <m:den>
              <m:r>
                <m:rPr>
                  <m:sty m:val="p"/>
                </m:rPr>
                <m:t>∥</m:t>
              </m:r>
              <m:r>
                <m:rPr>
                  <m:sty m:val="p"/>
                </m:rPr>
                <m:t>sd</m:t>
              </m:r>
              <m:r>
                <m:rPr>
                  <m:sty m:val="p"/>
                </m:rPr>
                <m:t>(</m:t>
              </m:r>
              <m:acc>
                <m:accPr>
                  <m:chr m:val="̃"/>
                </m:accPr>
                <m:e>
                  <m:r>
                    <m:t>V</m:t>
                  </m:r>
                </m:e>
              </m:acc>
              <m:r>
                <m:rPr>
                  <m:sty m:val="p"/>
                </m:rPr>
                <m:t>)</m:t>
              </m:r>
              <m:r>
                <m:rPr>
                  <m:sty m:val="p"/>
                </m:rPr>
                <m:t>∥</m:t>
              </m:r>
              <m:r>
                <m:t> </m:t>
              </m:r>
              <m:r>
                <m:rPr>
                  <m:sty m:val="p"/>
                </m:rPr>
                <m:t>∥</m:t>
              </m:r>
              <m:r>
                <m:rPr>
                  <m:sty m:val="p"/>
                </m:rPr>
                <m:t>sd</m:t>
              </m:r>
              <m:r>
                <m:rPr>
                  <m:sty m:val="p"/>
                </m:rPr>
                <m:t>(</m:t>
              </m:r>
              <m:acc>
                <m:accPr>
                  <m:chr m:val="̃"/>
                </m:accPr>
                <m:e>
                  <m:r>
                    <m:t>Z</m:t>
                  </m:r>
                </m:e>
              </m:acc>
              <m:r>
                <m:rPr>
                  <m:sty m:val="p"/>
                </m:rPr>
                <m:t>)</m:t>
              </m:r>
              <m:r>
                <m:rPr>
                  <m:sty m:val="p"/>
                </m:rPr>
                <m:t>∥</m:t>
              </m:r>
            </m:den>
          </m:f>
          <m:r>
            <m:rPr>
              <m:sty m:val="p"/>
            </m:rPr>
            <m:t>,</m:t>
          </m:r>
        </m:oMath>
      </m:oMathPara>
    </w:p>
    <w:p>
      <w:pPr>
        <w:pStyle w:val="FirstParagraph"/>
      </w:pPr>
      <w:r>
        <w:t xml:space="preserve">where tildes denote linear residuals on</w:t>
      </w:r>
      <w:r>
        <w:t xml:space="preserve"> </w:t>
      </w:r>
      <m:oMath>
        <m:r>
          <m:rPr>
            <m:sty m:val="p"/>
          </m:rPr>
          <m:t>(</m:t>
        </m:r>
        <m:r>
          <m:t>1</m:t>
        </m:r>
        <m:r>
          <m:rPr>
            <m:sty m:val="p"/>
          </m:rPr>
          <m:t>,</m:t>
        </m:r>
        <m:r>
          <m:t>A</m:t>
        </m:r>
        <m:r>
          <m:rPr>
            <m:sty m:val="p"/>
          </m:rPr>
          <m:t>,</m:t>
        </m:r>
        <m:r>
          <m:t>C</m:t>
        </m:r>
        <m:r>
          <m:rPr>
            <m:sty m:val="p"/>
          </m:rPr>
          <m:t>)</m:t>
        </m:r>
      </m:oMath>
      <w:r>
        <w:t xml:space="preserve">. Record the conditional canonical roots and sequential rank for</w:t>
      </w:r>
      <w:r>
        <w:t xml:space="preserve"> </w:t>
      </w:r>
      <m:oMath>
        <m:r>
          <m:t>R</m:t>
        </m:r>
        <m:r>
          <m:rPr>
            <m:sty m:val="p"/>
          </m:rPr>
          <m:t>,</m:t>
        </m:r>
        <m:r>
          <m:t>Z</m:t>
        </m:r>
      </m:oMath>
      <w:r>
        <w:t xml:space="preserve"> </w:t>
      </w:r>
      <w:r>
        <w:t xml:space="preserve">as well. These quantities describe identifying information [18, 19]; the design rule uses dimension and conditional roots without a fixed strength cutoff. Numerical estimability requires the reduced outcome design to have full column rank and the retained joint singular values to exceed a relative tolerance of</w:t>
      </w:r>
      <w:r>
        <w:t xml:space="preserve"> </w:t>
      </w:r>
      <m:oMath>
        <m:sSup>
          <m:e>
            <m:r>
              <m:t>10</m:t>
            </m:r>
          </m:e>
          <m:sup>
            <m:r>
              <m:rPr>
                <m:sty m:val="p"/>
              </m:rPr>
              <m:t>−</m:t>
            </m:r>
            <m:r>
              <m:t>8</m:t>
            </m:r>
          </m:sup>
        </m:sSup>
      </m:oMath>
      <w:r>
        <w:t xml:space="preserve">.</w:t>
      </w:r>
    </w:p>
    <w:bookmarkEnd w:id="16"/>
    <w:bookmarkStart w:id="17" w:name="censored-clinical-outcomes-and-inference"/>
    <w:p>
      <w:pPr>
        <w:pStyle w:val="Heading2"/>
      </w:pPr>
      <w:r>
        <w:t xml:space="preserve">3.6 Censored clinical outcomes and inference</w:t>
      </w:r>
    </w:p>
    <w:p>
      <w:pPr>
        <w:pStyle w:val="FirstParagraph"/>
      </w:pPr>
      <w:r>
        <w:t xml:space="preserve">Estimate</w:t>
      </w:r>
      <w:r>
        <w:t xml:space="preserve"> </w:t>
      </w:r>
      <m:oMath>
        <m:r>
          <m:t>G</m:t>
        </m:r>
        <m:r>
          <m:rPr>
            <m:sty m:val="p"/>
          </m:rPr>
          <m:t>(</m:t>
        </m:r>
        <m:r>
          <m:t>t</m:t>
        </m:r>
        <m:r>
          <m:rPr>
            <m:sty m:val="p"/>
          </m:rPr>
          <m:t>∣</m:t>
        </m:r>
        <m:r>
          <m:t>A</m:t>
        </m:r>
        <m:r>
          <m:rPr>
            <m:sty m:val="p"/>
          </m:rPr>
          <m:t>,</m:t>
        </m:r>
        <m:r>
          <m:t>C</m:t>
        </m:r>
        <m:r>
          <m:rPr>
            <m:sty m:val="p"/>
          </m:rPr>
          <m:t>)</m:t>
        </m:r>
        <m:r>
          <m:rPr>
            <m:sty m:val="p"/>
          </m:rPr>
          <m:t>=</m:t>
        </m:r>
        <m:r>
          <m:t>P</m:t>
        </m:r>
        <m:r>
          <m:rPr>
            <m:sty m:val="p"/>
          </m:rPr>
          <m:t>(</m:t>
        </m:r>
        <m:r>
          <m:t>K</m:t>
        </m:r>
        <m:r>
          <m:rPr>
            <m:sty m:val="p"/>
          </m:rPr>
          <m:t>&gt;</m:t>
        </m:r>
        <m:r>
          <m:t>t</m:t>
        </m:r>
        <m:r>
          <m:rPr>
            <m:sty m:val="p"/>
          </m:rPr>
          <m:t>∣</m:t>
        </m:r>
        <m:r>
          <m:t>A</m:t>
        </m:r>
        <m:r>
          <m:rPr>
            <m:sty m:val="p"/>
          </m:rPr>
          <m:t>,</m:t>
        </m:r>
        <m:r>
          <m:t>C</m:t>
        </m:r>
        <m:r>
          <m:rPr>
            <m:sty m:val="p"/>
          </m:rPr>
          <m:t>)</m:t>
        </m:r>
      </m:oMath>
      <w:r>
        <w:t xml:space="preserve"> </w:t>
      </w:r>
      <w:r>
        <w:t xml:space="preserve">from a Cox censoring model on</w:t>
      </w:r>
      <w:r>
        <w:t xml:space="preserve"> </w:t>
      </w:r>
      <m:oMath>
        <m:r>
          <m:rPr>
            <m:sty m:val="p"/>
          </m:rPr>
          <m:t>(</m:t>
        </m:r>
        <m:r>
          <m:t>A</m:t>
        </m:r>
        <m:r>
          <m:rPr>
            <m:sty m:val="p"/>
          </m:rPr>
          <m:t>,</m:t>
        </m:r>
        <m:r>
          <m:t>C</m:t>
        </m:r>
        <m:r>
          <m:rPr>
            <m:sty m:val="p"/>
          </m:rPr>
          <m:t>)</m:t>
        </m:r>
      </m:oMath>
      <w:r>
        <w:t xml:space="preserve">, with censoring event</w:t>
      </w:r>
      <w:r>
        <w:t xml:space="preserve"> </w:t>
      </w:r>
      <m:oMath>
        <m:r>
          <m:t>1</m:t>
        </m:r>
        <m:r>
          <m:rPr>
            <m:sty m:val="p"/>
          </m:rPr>
          <m:t>−</m:t>
        </m:r>
        <m:r>
          <m:t>D</m:t>
        </m:r>
      </m:oMath>
      <w:r>
        <w:t xml:space="preserve"> </w:t>
      </w:r>
      <w:r>
        <w:t xml:space="preserve">and Breslow baseline [20]. Form</w:t>
      </w:r>
      <w:r>
        <w:t xml:space="preserve"> </w:t>
      </w:r>
      <m:oMath>
        <m:sSub>
          <m:e>
            <m:r>
              <m:t>V</m:t>
            </m:r>
          </m:e>
          <m:sub>
            <m:r>
              <m:t>ℓ</m:t>
            </m:r>
          </m:sub>
        </m:sSub>
        <m:r>
          <m:rPr>
            <m:sty m:val="p"/>
          </m:rPr>
          <m:t>=</m:t>
        </m:r>
        <m:nary>
          <m:naryPr>
            <m:chr m:val="∫"/>
            <m:limLoc m:val="subSup"/>
            <m:subHide m:val="off"/>
            <m:supHide m:val="off"/>
          </m:naryPr>
          <m:sub>
            <m:r>
              <m:t>0</m:t>
            </m:r>
          </m:sub>
          <m:sup>
            <m:r>
              <m:t>ℓ</m:t>
            </m:r>
          </m:sup>
          <m:e>
            <m:r>
              <m:t>I</m:t>
            </m:r>
          </m:e>
        </m:nary>
        <m:r>
          <m:rPr>
            <m:sty m:val="p"/>
          </m:rPr>
          <m:t>(</m:t>
        </m:r>
        <m:r>
          <m:t>O</m:t>
        </m:r>
        <m:r>
          <m:rPr>
            <m:sty m:val="p"/>
          </m:rPr>
          <m:t>&gt;</m:t>
        </m:r>
        <m:r>
          <m:t>u</m:t>
        </m:r>
        <m:r>
          <m:rPr>
            <m:sty m:val="p"/>
          </m:rPr>
          <m:t>)</m:t>
        </m:r>
        <m:r>
          <m:rPr>
            <m:sty m:val="p"/>
          </m:rPr>
          <m:t>/</m:t>
        </m:r>
        <m:acc>
          <m:accPr>
            <m:chr m:val="̂"/>
          </m:accPr>
          <m:e>
            <m:r>
              <m:t>G</m:t>
            </m:r>
          </m:e>
        </m:acc>
        <m:r>
          <m:rPr>
            <m:sty m:val="p"/>
          </m:rPr>
          <m:t>(</m:t>
        </m:r>
        <m:r>
          <m:t>u</m:t>
        </m:r>
        <m:r>
          <m:rPr>
            <m:sty m:val="p"/>
          </m:rPr>
          <m:t>∣</m:t>
        </m:r>
        <m:r>
          <m:t>A</m:t>
        </m:r>
        <m:r>
          <m:rPr>
            <m:sty m:val="p"/>
          </m:rPr>
          <m:t>,</m:t>
        </m:r>
        <m:r>
          <m:t>C</m:t>
        </m:r>
        <m:r>
          <m:rPr>
            <m:sty m:val="p"/>
          </m:rPr>
          <m:t>)</m:t>
        </m:r>
        <m:r>
          <m:t> </m:t>
        </m:r>
        <m:r>
          <m:t>d</m:t>
        </m:r>
        <m:r>
          <m:t>u</m:t>
        </m:r>
      </m:oMath>
      <w:r>
        <w:t xml:space="preserve"> </w:t>
      </w:r>
      <w:r>
        <w:t xml:space="preserve">for RMST and</w:t>
      </w:r>
      <w:r>
        <w:t xml:space="preserve"> </w:t>
      </w:r>
      <m:oMath>
        <m:sSubSup>
          <m:e>
            <m:r>
              <m:t>V</m:t>
            </m:r>
          </m:e>
          <m:sub>
            <m:r>
              <m:t>ℓ</m:t>
            </m:r>
          </m:sub>
          <m:sup>
            <m:r>
              <m:t>S</m:t>
            </m:r>
          </m:sup>
        </m:sSubSup>
        <m:r>
          <m:rPr>
            <m:sty m:val="p"/>
          </m:rPr>
          <m:t>=</m:t>
        </m:r>
        <m:r>
          <m:t>I</m:t>
        </m:r>
        <m:r>
          <m:rPr>
            <m:sty m:val="p"/>
          </m:rPr>
          <m:t>(</m:t>
        </m:r>
        <m:r>
          <m:t>O</m:t>
        </m:r>
        <m:r>
          <m:rPr>
            <m:sty m:val="p"/>
          </m:rPr>
          <m:t>&gt;</m:t>
        </m:r>
        <m:r>
          <m:t>ℓ</m:t>
        </m:r>
        <m:r>
          <m:rPr>
            <m:sty m:val="p"/>
          </m:rPr>
          <m:t>)</m:t>
        </m:r>
        <m:r>
          <m:rPr>
            <m:sty m:val="p"/>
          </m:rPr>
          <m:t>/</m:t>
        </m:r>
        <m:acc>
          <m:accPr>
            <m:chr m:val="̂"/>
          </m:accPr>
          <m:e>
            <m:r>
              <m:t>G</m:t>
            </m:r>
          </m:e>
        </m:acc>
        <m:r>
          <m:rPr>
            <m:sty m:val="p"/>
          </m:rPr>
          <m:t>(</m:t>
        </m:r>
        <m:r>
          <m:t>ℓ</m:t>
        </m:r>
        <m:r>
          <m:rPr>
            <m:sty m:val="p"/>
          </m:rPr>
          <m:t>∣</m:t>
        </m:r>
        <m:r>
          <m:t>A</m:t>
        </m:r>
        <m:r>
          <m:rPr>
            <m:sty m:val="p"/>
          </m:rPr>
          <m:t>,</m:t>
        </m:r>
        <m:r>
          <m:t>C</m:t>
        </m:r>
        <m:r>
          <m:rPr>
            <m:sty m:val="p"/>
          </m:rPr>
          <m:t>)</m:t>
        </m:r>
      </m:oMath>
      <w:r>
        <w:t xml:space="preserve"> </w:t>
      </w:r>
      <w:r>
        <w:t xml:space="preserve">for survival probability. Each enters the same linear bridge. Proposition 5 identifies the clinical contrasts under conditional independent censoring and the target-specific mean model. Evaluate positivity through 36 months, with a minimum fitted censoring survival of 0.05.</w:t>
      </w:r>
    </w:p>
    <w:bookmarkEnd w:id="17"/>
    <w:bookmarkStart w:id="18" w:name="concentrated-bridge-confidence-sets"/>
    <w:p>
      <w:pPr>
        <w:pStyle w:val="Heading2"/>
      </w:pPr>
      <w:r>
        <w:t xml:space="preserve">3.7 Concentrated bridge confidence sets</w:t>
      </w:r>
    </w:p>
    <w:p>
      <w:pPr>
        <w:pStyle w:val="FirstParagraph"/>
      </w:pPr>
      <w:r>
        <w:t xml:space="preserve">For an effect confidence set, remove</w:t>
      </w:r>
      <w:r>
        <w:t xml:space="preserve"> </w:t>
      </w:r>
      <m:oMath>
        <m:r>
          <m:rPr>
            <m:sty m:val="p"/>
          </m:rPr>
          <m:t>(</m:t>
        </m:r>
        <m:r>
          <m:t>1</m:t>
        </m:r>
        <m:r>
          <m:rPr>
            <m:sty m:val="p"/>
          </m:rPr>
          <m:t>,</m:t>
        </m:r>
        <m:r>
          <m:t>C</m:t>
        </m:r>
        <m:r>
          <m:rPr>
            <m:sty m:val="p"/>
          </m:rPr>
          <m:t>)</m:t>
        </m:r>
      </m:oMath>
      <w:r>
        <w:t xml:space="preserve"> </w:t>
      </w:r>
      <w:r>
        <w:t xml:space="preserve">and form</w:t>
      </w:r>
      <w:r>
        <w:t xml:space="preserve"> </w:t>
      </w:r>
      <m:oMath>
        <m:r>
          <m:t>Q</m:t>
        </m:r>
        <m:r>
          <m:rPr>
            <m:sty m:val="p"/>
          </m:rPr>
          <m:t>=</m:t>
        </m:r>
        <m:r>
          <m:rPr>
            <m:sty m:val="p"/>
          </m:rPr>
          <m:t>(</m:t>
        </m:r>
        <m:r>
          <m:t>A</m:t>
        </m:r>
        <m:r>
          <m:rPr>
            <m:sty m:val="p"/>
          </m:rPr>
          <m:t>,</m:t>
        </m:r>
        <m:r>
          <m:t>Z</m:t>
        </m:r>
        <m:r>
          <m:rPr>
            <m:sty m:val="p"/>
          </m:rPr>
          <m:t>)</m:t>
        </m:r>
      </m:oMath>
      <w:r>
        <w:t xml:space="preserve"> </w:t>
      </w:r>
      <w:r>
        <w:t xml:space="preserve">using all treatment-proxy coordinates. Pivoted QR of the joint cross-moment selects</w:t>
      </w:r>
      <w:r>
        <w:t xml:space="preserve"> </w:t>
      </w:r>
      <m:oMath>
        <m:r>
          <m:t>r</m:t>
        </m:r>
      </m:oMath>
      <w:r>
        <w:t xml:space="preserve"> </w:t>
      </w:r>
      <w:r>
        <w:t xml:space="preserve">nuisance coordinates</w:t>
      </w:r>
      <w:r>
        <w:t xml:space="preserve"> </w:t>
      </w:r>
      <m:oMath>
        <m:r>
          <m:t>T</m:t>
        </m:r>
      </m:oMath>
      <w:r>
        <w:t xml:space="preserve"> </w:t>
      </w:r>
      <w:r>
        <w:t xml:space="preserve">with a nonsingular</w:t>
      </w:r>
      <w:r>
        <w:t xml:space="preserve"> </w:t>
      </w:r>
      <m:oMath>
        <m:r>
          <m:t>B</m:t>
        </m:r>
        <m:r>
          <m:rPr>
            <m:sty m:val="p"/>
          </m:rPr>
          <m:t>=</m:t>
        </m:r>
        <m:r>
          <m:t>E</m:t>
        </m:r>
        <m:r>
          <m:rPr>
            <m:sty m:val="p"/>
          </m:rPr>
          <m:t>[</m:t>
        </m:r>
        <m:r>
          <m:t>T</m:t>
        </m:r>
        <m:sSup>
          <m:e>
            <m:r>
              <m:t>R</m:t>
            </m:r>
          </m:e>
          <m:sup>
            <m:r>
              <m:rPr>
                <m:sty m:val="p"/>
              </m:rPr>
              <m:t>⊤</m:t>
            </m:r>
          </m:sup>
        </m:sSup>
        <m:r>
          <m:rPr>
            <m:sty m:val="p"/>
          </m:rPr>
          <m:t>]</m:t>
        </m:r>
      </m:oMath>
      <w:r>
        <w:t xml:space="preserve">. Retain every remaining coordinate in</w:t>
      </w:r>
      <w:r>
        <w:t xml:space="preserve"> </w:t>
      </w:r>
      <m:oMath>
        <m:r>
          <m:t>U</m:t>
        </m:r>
      </m:oMath>
      <w:r>
        <w:t xml:space="preserve">, with</w:t>
      </w:r>
      <w:r>
        <w:t xml:space="preserve"> </w:t>
      </w:r>
      <m:oMath>
        <m:r>
          <m:t>m</m:t>
        </m:r>
        <m:r>
          <m:rPr>
            <m:sty m:val="p"/>
          </m:rPr>
          <m:t>=</m:t>
        </m:r>
        <m:r>
          <m:t>1</m:t>
        </m:r>
        <m:r>
          <m:rPr>
            <m:sty m:val="p"/>
          </m:rPr>
          <m:t>+</m:t>
        </m:r>
        <m:r>
          <m:rPr>
            <m:sty m:val="p"/>
          </m:rPr>
          <m:t>|</m:t>
        </m:r>
        <m:r>
          <m:t>Z</m:t>
        </m:r>
        <m:r>
          <m:rPr>
            <m:sty m:val="p"/>
          </m:rPr>
          <m:t>|</m:t>
        </m:r>
        <m:r>
          <m:rPr>
            <m:sty m:val="p"/>
          </m:rPr>
          <m:t>−</m:t>
        </m:r>
        <m:r>
          <m:t>r</m:t>
        </m:r>
      </m:oMath>
      <w:r>
        <w:t xml:space="preserve">. The bridge gives</w:t>
      </w:r>
    </w:p>
    <w:p>
      <w:pPr>
        <w:pStyle w:val="BodyText"/>
      </w:pPr>
      <m:oMathPara>
        <m:oMathParaPr>
          <m:jc m:val="center"/>
        </m:oMathParaPr>
        <m:oMath>
          <m:r>
            <m:t>L</m:t>
          </m:r>
          <m:r>
            <m:rPr>
              <m:sty m:val="p"/>
            </m:rPr>
            <m:t>=</m:t>
          </m:r>
          <m:r>
            <m:t>E</m:t>
          </m:r>
          <m:r>
            <m:rPr>
              <m:sty m:val="p"/>
            </m:rPr>
            <m:t>[</m:t>
          </m:r>
          <m:r>
            <m:t>U</m:t>
          </m:r>
          <m:sSup>
            <m:e>
              <m:r>
                <m:t>R</m:t>
              </m:r>
            </m:e>
            <m:sup>
              <m:r>
                <m:rPr>
                  <m:sty m:val="p"/>
                </m:rPr>
                <m:t>⊤</m:t>
              </m:r>
            </m:sup>
          </m:sSup>
          <m:r>
            <m:rPr>
              <m:sty m:val="p"/>
            </m:rPr>
            <m:t>]</m:t>
          </m:r>
          <m:sSup>
            <m:e>
              <m:r>
                <m:t>B</m:t>
              </m:r>
            </m:e>
            <m:sup>
              <m:r>
                <m:rPr>
                  <m:sty m:val="p"/>
                </m:rPr>
                <m:t>−</m:t>
              </m:r>
              <m:r>
                <m:t>1</m:t>
              </m:r>
            </m:sup>
          </m:sSup>
          <m:r>
            <m:rPr>
              <m:sty m:val="p"/>
            </m:rPr>
            <m:t>,</m:t>
          </m:r>
          <m:r>
            <m:t> </m:t>
          </m:r>
          <m:r>
            <m:t>N</m:t>
          </m:r>
          <m:r>
            <m:rPr>
              <m:sty m:val="p"/>
            </m:rPr>
            <m:t>=</m:t>
          </m:r>
          <m:r>
            <m:t>E</m:t>
          </m:r>
          <m:r>
            <m:rPr>
              <m:sty m:val="p"/>
            </m:rPr>
            <m:t>[</m:t>
          </m:r>
          <m:r>
            <m:t>U</m:t>
          </m:r>
          <m:r>
            <m:t>Y</m:t>
          </m:r>
          <m:r>
            <m:rPr>
              <m:sty m:val="p"/>
            </m:rPr>
            <m:t>]</m:t>
          </m:r>
          <m:r>
            <m:rPr>
              <m:sty m:val="p"/>
            </m:rPr>
            <m:t>−</m:t>
          </m:r>
          <m:r>
            <m:t>L</m:t>
          </m:r>
          <m:r>
            <m:t>E</m:t>
          </m:r>
          <m:r>
            <m:rPr>
              <m:sty m:val="p"/>
            </m:rPr>
            <m:t>[</m:t>
          </m:r>
          <m:r>
            <m:t>T</m:t>
          </m:r>
          <m:r>
            <m:t>Y</m:t>
          </m:r>
          <m:r>
            <m:rPr>
              <m:sty m:val="p"/>
            </m:rPr>
            <m:t>]</m:t>
          </m:r>
          <m:r>
            <m:rPr>
              <m:sty m:val="p"/>
            </m:rPr>
            <m:t>,</m:t>
          </m:r>
          <m:r>
            <m:t> </m:t>
          </m:r>
          <m:r>
            <m:t>D</m:t>
          </m:r>
          <m:r>
            <m:rPr>
              <m:sty m:val="p"/>
            </m:rPr>
            <m:t>=</m:t>
          </m:r>
          <m:r>
            <m:t>E</m:t>
          </m:r>
          <m:r>
            <m:rPr>
              <m:sty m:val="p"/>
            </m:rPr>
            <m:t>[</m:t>
          </m:r>
          <m:r>
            <m:t>U</m:t>
          </m:r>
          <m:r>
            <m:t>A</m:t>
          </m:r>
          <m:r>
            <m:rPr>
              <m:sty m:val="p"/>
            </m:rPr>
            <m:t>]</m:t>
          </m:r>
          <m:r>
            <m:rPr>
              <m:sty m:val="p"/>
            </m:rPr>
            <m:t>−</m:t>
          </m:r>
          <m:r>
            <m:t>L</m:t>
          </m:r>
          <m:r>
            <m:t>E</m:t>
          </m:r>
          <m:r>
            <m:rPr>
              <m:sty m:val="p"/>
            </m:rPr>
            <m:t>[</m:t>
          </m:r>
          <m:r>
            <m:t>T</m:t>
          </m:r>
          <m:r>
            <m:t>A</m:t>
          </m:r>
          <m:r>
            <m:rPr>
              <m:sty m:val="p"/>
            </m:rPr>
            <m:t>]</m:t>
          </m:r>
          <m:r>
            <m:rPr>
              <m:sty m:val="p"/>
            </m:rPr>
            <m:t>,</m:t>
          </m:r>
          <m:r>
            <m:t> </m:t>
          </m:r>
          <m:r>
            <m:t>N</m:t>
          </m:r>
          <m:r>
            <m:rPr>
              <m:sty m:val="p"/>
            </m:rPr>
            <m:t>=</m:t>
          </m:r>
          <m:sSub>
            <m:e>
              <m:r>
                <m:t>τ</m:t>
              </m:r>
            </m:e>
            <m:sub>
              <m:r>
                <m:t>A</m:t>
              </m:r>
            </m:sub>
          </m:sSub>
          <m:r>
            <m:t>D</m:t>
          </m:r>
          <m:r>
            <m:rPr>
              <m:sty m:val="p"/>
            </m:rPr>
            <m:t>.</m:t>
          </m:r>
        </m:oMath>
      </m:oMathPara>
    </w:p>
    <w:p>
      <w:pPr>
        <w:pStyle w:val="FirstParagraph"/>
      </w:pPr>
      <w:r>
        <w:t xml:space="preserve">In the independent workflow, resample estimation patients to estimate the joint covariance of</w:t>
      </w:r>
      <w:r>
        <w:t xml:space="preserve"> </w:t>
      </w:r>
      <m:oMath>
        <m:r>
          <m:rPr>
            <m:sty m:val="p"/>
          </m:rPr>
          <m:t>(</m:t>
        </m:r>
        <m:acc>
          <m:accPr>
            <m:chr m:val="̂"/>
          </m:accPr>
          <m:e>
            <m:r>
              <m:t>N</m:t>
            </m:r>
          </m:e>
        </m:acc>
        <m:r>
          <m:rPr>
            <m:sty m:val="p"/>
          </m:rPr>
          <m:t>,</m:t>
        </m:r>
        <m:acc>
          <m:accPr>
            <m:chr m:val="̂"/>
          </m:accPr>
          <m:e>
            <m:r>
              <m:t>D</m:t>
            </m:r>
          </m:e>
        </m:acc>
        <m:r>
          <m:rPr>
            <m:sty m:val="p"/>
          </m:rPr>
          <m:t>)</m:t>
        </m:r>
      </m:oMath>
      <w:r>
        <w:t xml:space="preserve">, refitting covariate projections and censoring while the discovery readout coordinates, roles, dimension and nuisance pivots remain fixed. Invert each component’s Fieller inequality at level</w:t>
      </w:r>
      <w:r>
        <w:t xml:space="preserve"> </w:t>
      </w:r>
      <m:oMath>
        <m:r>
          <m:t>α</m:t>
        </m:r>
        <m:r>
          <m:rPr>
            <m:sty m:val="p"/>
          </m:rPr>
          <m:t>/</m:t>
        </m:r>
        <m:r>
          <m:t>m</m:t>
        </m:r>
      </m:oMath>
      <w:r>
        <w:t xml:space="preserve"> </w:t>
      </w:r>
      <w:r>
        <w:t xml:space="preserve">and intersect the component sets. Theorem 3 gives the moment-inversion construction, and Theorem 4 establishes its independent-estimation law. The point estimator is</w:t>
      </w:r>
      <w:r>
        <w:t xml:space="preserve"> </w:t>
      </w:r>
      <m:oMath>
        <m:r>
          <m:rPr>
            <m:sty m:val="p"/>
          </m:rPr>
          <m:t>(</m:t>
        </m:r>
        <m:sSup>
          <m:e>
            <m:acc>
              <m:accPr>
                <m:chr m:val="̂"/>
              </m:accPr>
              <m:e>
                <m:r>
                  <m:t>D</m:t>
                </m:r>
              </m:e>
            </m:acc>
          </m:e>
          <m:sup>
            <m:r>
              <m:rPr>
                <m:sty m:val="p"/>
              </m:rPr>
              <m:t>⊤</m:t>
            </m:r>
          </m:sup>
        </m:sSup>
        <m:acc>
          <m:accPr>
            <m:chr m:val="̂"/>
          </m:accPr>
          <m:e>
            <m:r>
              <m:t>N</m:t>
            </m:r>
          </m:e>
        </m:acc>
        <m:r>
          <m:rPr>
            <m:sty m:val="p"/>
          </m:rPr>
          <m:t>)</m:t>
        </m:r>
        <m:r>
          <m:rPr>
            <m:sty m:val="p"/>
          </m:rPr>
          <m:t>/</m:t>
        </m:r>
        <m:r>
          <m:rPr>
            <m:sty m:val="p"/>
          </m:rPr>
          <m:t>(</m:t>
        </m:r>
        <m:sSup>
          <m:e>
            <m:acc>
              <m:accPr>
                <m:chr m:val="̂"/>
              </m:accPr>
              <m:e>
                <m:r>
                  <m:t>D</m:t>
                </m:r>
              </m:e>
            </m:acc>
          </m:e>
          <m:sup>
            <m:r>
              <m:rPr>
                <m:sty m:val="p"/>
              </m:rPr>
              <m:t>⊤</m:t>
            </m:r>
          </m:sup>
        </m:sSup>
        <m:acc>
          <m:accPr>
            <m:chr m:val="̂"/>
          </m:accPr>
          <m:e>
            <m:r>
              <m:t>D</m:t>
            </m:r>
          </m:e>
        </m:acc>
        <m:r>
          <m:rPr>
            <m:sty m:val="p"/>
          </m:rPr>
          <m:t>)</m:t>
        </m:r>
      </m:oMath>
      <w:r>
        <w:t xml:space="preserve"> </w:t>
      </w:r>
      <w:r>
        <w:t xml:space="preserve">when defined; bounded, disconnected, unbounded and empty confidence sets describe the available effect information.</w:t>
      </w:r>
    </w:p>
    <w:bookmarkEnd w:id="18"/>
    <w:bookmarkStart w:id="19" w:name="independent-discovery-and-estimation"/>
    <w:p>
      <w:pPr>
        <w:pStyle w:val="Heading2"/>
      </w:pPr>
      <w:r>
        <w:t xml:space="preserve">3.8 Independent discovery and estimation</w:t>
      </w:r>
    </w:p>
    <w:p>
      <w:pPr>
        <w:pStyle w:val="FirstParagraph"/>
      </w:pPr>
      <w:r>
        <w:t xml:space="preserve">The inference workflow partitions patients once into 75% discovery and 25% estimation samples, independently of outcomes. Discovery determines molecular filtering, panel selection, median imputations, standardisation, niche curves and eight network designs. The design rule selects roles, dimension and window/penalty; its joint readout coordinates and nuisance moment pivots are then frozen. Estimation patients use these transformations and fixed observed readouts. A clinical exposure contrast is one discovery-sample standard deviation.</w:t>
      </w:r>
    </w:p>
    <w:p>
      <w:pPr>
        <w:pStyle w:val="BodyText"/>
      </w:pPr>
      <w:r>
        <w:t xml:space="preserve">Fieller intersection of the estimation moments supplies the effect confidence set. An unavailable discovery design, numerical nuisance failure or fewer than 97.5% complete moment resamples returns the whole real line and no point estimate. Reporting statuses distinguish these failures from real-line sets produced by weak effect information.</w:t>
      </w:r>
    </w:p>
    <w:p>
      <w:pPr>
        <w:pStyle w:val="BodyText"/>
      </w:pPr>
      <w:r>
        <w:t xml:space="preserve">The allocation and partition seed are fixed across analyses. Theorem 4 provides inference conditional on the discovery design.</w:t>
      </w:r>
    </w:p>
    <w:bookmarkEnd w:id="19"/>
    <w:bookmarkStart w:id="20" w:name="method-outputs"/>
    <w:p>
      <w:pPr>
        <w:pStyle w:val="Heading2"/>
      </w:pPr>
      <w:r>
        <w:t xml:space="preserve">3.9 Method outputs</w:t>
      </w:r>
    </w:p>
    <w:p>
      <w:pPr>
        <w:pStyle w:val="FirstParagraph"/>
      </w:pPr>
      <w:r>
        <w:t xml:space="preserve">Each exposure record contains its proxy sets, spectrum and bridge dimensions, selected window and penalty, conditional roots and rank, and raw and reduced strength. Estimation adds the effect coefficient, censoring support, resampling completion and confidence-set shape. Reporting rates and independent set coverage use all attempts; point accuracy uses completed fits. Coverage among available fits is also reported.</w:t>
      </w:r>
    </w:p>
    <w:bookmarkEnd w:id="20"/>
    <w:bookmarkStart w:id="21" w:name="quasi-dynamic-network-interpretation"/>
    <w:p>
      <w:pPr>
        <w:pStyle w:val="Heading2"/>
      </w:pPr>
      <w:r>
        <w:t xml:space="preserve">3.10 Quasi-dynamic network interpretation</w:t>
      </w:r>
    </w:p>
    <w:p>
      <w:pPr>
        <w:pStyle w:val="FirstParagraph"/>
      </w:pPr>
      <w:r>
        <w:t xml:space="preserve">The weak-form ODE decomposition of idopNetwork describes molecular variation along the niche index:</w:t>
      </w:r>
      <w:r>
        <w:t xml:space="preserve"> </w:t>
      </w:r>
      <m:oMath>
        <m:sSub>
          <m:e>
            <m:acc>
              <m:accPr>
                <m:chr m:val="̇"/>
              </m:accPr>
              <m:e>
                <m:r>
                  <m:t>x</m:t>
                </m:r>
              </m:e>
            </m:acc>
          </m:e>
          <m:sub>
            <m:r>
              <m:t>j</m:t>
            </m:r>
          </m:sub>
        </m:sSub>
        <m:r>
          <m:rPr>
            <m:sty m:val="p"/>
          </m:rPr>
          <m:t>=</m:t>
        </m:r>
        <m:sSub>
          <m:e>
            <m:r>
              <m:t>Q</m:t>
            </m:r>
          </m:e>
          <m:sub>
            <m:r>
              <m:t>j</m:t>
            </m:r>
            <m:r>
              <m:t>j</m:t>
            </m:r>
          </m:sub>
        </m:sSub>
        <m:r>
          <m:rPr>
            <m:sty m:val="p"/>
          </m:rPr>
          <m:t>(</m:t>
        </m:r>
        <m:sSub>
          <m:e>
            <m:r>
              <m:t>x</m:t>
            </m:r>
          </m:e>
          <m:sub>
            <m:r>
              <m:t>j</m:t>
            </m:r>
          </m:sub>
        </m:sSub>
        <m:r>
          <m:rPr>
            <m:sty m:val="p"/>
          </m:rPr>
          <m:t>)</m:t>
        </m:r>
        <m:r>
          <m:rPr>
            <m:sty m:val="p"/>
          </m:rPr>
          <m:t>+</m:t>
        </m:r>
        <m:nary>
          <m:naryPr>
            <m:chr m:val="∑"/>
            <m:limLoc m:val="undOvr"/>
            <m:subHide m:val="off"/>
            <m:supHide m:val="on"/>
          </m:naryPr>
          <m:sub>
            <m:r>
              <m:t>k</m:t>
            </m:r>
            <m:r>
              <m:rPr>
                <m:sty m:val="p"/>
              </m:rPr>
              <m:t>∈</m:t>
            </m:r>
            <m:r>
              <m:rPr>
                <m:sty m:val="p"/>
              </m:rPr>
              <m:t>pa</m:t>
            </m:r>
            <m:r>
              <m:rPr>
                <m:sty m:val="p"/>
              </m:rPr>
              <m:t>(</m:t>
            </m:r>
            <m:r>
              <m:t>j</m:t>
            </m:r>
            <m:r>
              <m:rPr>
                <m:sty m:val="p"/>
              </m:rPr>
              <m:t>)</m:t>
            </m:r>
          </m:sub>
          <m:sup>
            <m:r>
              <m:t>​</m:t>
            </m:r>
          </m:sup>
          <m:e>
            <m:sSub>
              <m:e>
                <m:r>
                  <m:t>Q</m:t>
                </m:r>
              </m:e>
              <m:sub>
                <m:r>
                  <m:t>j</m:t>
                </m:r>
                <m:r>
                  <m:t>k</m:t>
                </m:r>
              </m:sub>
            </m:sSub>
          </m:e>
        </m:nary>
        <m:r>
          <m:rPr>
            <m:sty m:val="p"/>
          </m:rPr>
          <m:t>(</m:t>
        </m:r>
        <m:sSub>
          <m:e>
            <m:r>
              <m:t>x</m:t>
            </m:r>
          </m:e>
          <m:sub>
            <m:r>
              <m:t>k</m:t>
            </m:r>
          </m:sub>
        </m:sSub>
        <m:r>
          <m:rPr>
            <m:sty m:val="p"/>
          </m:rPr>
          <m:t>)</m:t>
        </m:r>
      </m:oMath>
      <w:r>
        <w:t xml:space="preserve">. On the fixed support graph, protein states are pre-smoothed by cubic smoothing splines with generalised cross-validation. Shifted Legendre terms of degrees one to five are integrated by the trapezoidal rule along the niche coordinate normalised to the unit interval. Each target includes a linear niche baseline, its own state group and the supported source groups. Centred, standardised design columns receive ridge regression with penalty one; coefficients are returned to the protein scale. Intrinsic contributions combine the intercept, linear baseline and own group; adding the cross-protein contributions reconstructs the fitted curve (Figure 3b,d,f). Edge weights are mean cumulative source contributions (Figures S1–S2). Bridge estimation uses the observed protein levels and reduced readouts defined in Section 3.5.</w:t>
      </w:r>
    </w:p>
    <w:bookmarkEnd w:id="21"/>
    <w:bookmarkEnd w:id="22"/>
    <w:bookmarkStart w:id="31" w:name="identification-and-estimation"/>
    <w:p>
      <w:pPr>
        <w:pStyle w:val="Heading1"/>
      </w:pPr>
      <w:r>
        <w:t xml:space="preserve">4 Identification and estimation</w:t>
      </w:r>
    </w:p>
    <w:bookmarkStart w:id="23" w:name="Xb8cd6cd5d2238c6d2ceca49a1ff8d022a33b1b3"/>
    <w:p>
      <w:pPr>
        <w:pStyle w:val="Heading2"/>
      </w:pPr>
      <w:r>
        <w:t xml:space="preserve">4.1 Structural conditions for network-derived proxies</w:t>
      </w:r>
    </w:p>
    <w:p>
      <w:pPr>
        <w:pStyle w:val="FirstParagraph"/>
      </w:pPr>
      <w:r>
        <w:t xml:space="preserve">Condition on measured covariates</w:t>
      </w:r>
      <w:r>
        <w:t xml:space="preserve"> </w:t>
      </w:r>
      <m:oMath>
        <m:r>
          <m:t>C</m:t>
        </m:r>
      </m:oMath>
      <w:r>
        <w:t xml:space="preserve">. Assume consistency, positivity over the exposure contrast of interest, and latent exchangeability</w:t>
      </w:r>
      <w:r>
        <w:t xml:space="preserve"> </w:t>
      </w:r>
      <m:oMath>
        <m:sSup>
          <m:e>
            <m:r>
              <m:t>Y</m:t>
            </m:r>
          </m:e>
          <m:sup>
            <m:r>
              <m:t>a</m:t>
            </m:r>
          </m:sup>
        </m:sSup>
        <m:r>
          <m:rPr>
            <m:sty m:val="p"/>
          </m:rPr>
          <m:t>⟂</m:t>
        </m:r>
        <m:r>
          <m:t>A</m:t>
        </m:r>
        <m:r>
          <m:rPr>
            <m:sty m:val="p"/>
          </m:rPr>
          <m:t>∣</m:t>
        </m:r>
        <m:r>
          <m:rPr>
            <m:sty m:val="p"/>
          </m:rPr>
          <m:t>(</m:t>
        </m:r>
        <m:r>
          <m:t>F</m:t>
        </m:r>
        <m:r>
          <m:rPr>
            <m:sty m:val="p"/>
          </m:rPr>
          <m:t>,</m:t>
        </m:r>
        <m:r>
          <m:t>C</m:t>
        </m:r>
        <m:r>
          <m:rPr>
            <m:sty m:val="p"/>
          </m:rPr>
          <m:t>)</m:t>
        </m:r>
      </m:oMath>
      <w:r>
        <w:t xml:space="preserve">. The underlying molecular system is an acyclic structural model with independent errors given</w:t>
      </w:r>
      <w:r>
        <w:t xml:space="preserve"> </w:t>
      </w:r>
      <m:oMath>
        <m:r>
          <m:rPr>
            <m:sty m:val="p"/>
          </m:rPr>
          <m:t>(</m:t>
        </m:r>
        <m:r>
          <m:t>F</m:t>
        </m:r>
        <m:r>
          <m:rPr>
            <m:sty m:val="p"/>
          </m:rPr>
          <m:t>,</m:t>
        </m:r>
        <m:r>
          <m:t>C</m:t>
        </m:r>
        <m:r>
          <m:rPr>
            <m:sty m:val="p"/>
          </m:rPr>
          <m:t>)</m:t>
        </m:r>
      </m:oMath>
      <w:r>
        <w:t xml:space="preserve">. Let</w:t>
      </w:r>
      <w:r>
        <w:t xml:space="preserve"> </w:t>
      </w:r>
      <m:oMath>
        <m:r>
          <m:t>H</m:t>
        </m:r>
      </m:oMath>
      <w:r>
        <w:t xml:space="preserve"> </w:t>
      </w:r>
      <w:r>
        <w:t xml:space="preserve">be the moral graph [21] of its observed-protein DAG after conditioning on</w:t>
      </w:r>
      <w:r>
        <w:t xml:space="preserve"> </w:t>
      </w:r>
      <m:oMath>
        <m:r>
          <m:rPr>
            <m:sty m:val="p"/>
          </m:rPr>
          <m:t>(</m:t>
        </m:r>
        <m:r>
          <m:t>F</m:t>
        </m:r>
        <m:r>
          <m:rPr>
            <m:sty m:val="p"/>
          </m:rPr>
          <m:t>,</m:t>
        </m:r>
        <m:r>
          <m:t>C</m:t>
        </m:r>
        <m:r>
          <m:rPr>
            <m:sty m:val="p"/>
          </m:rPr>
          <m:t>)</m:t>
        </m:r>
      </m:oMath>
      <w:r>
        <w:t xml:space="preserve">: it joins a parent to its child and joins parents sharing a child. Let</w:t>
      </w:r>
      <w:r>
        <w:t xml:space="preserve"> </w:t>
      </w:r>
      <m:oMath>
        <m:r>
          <m:rPr>
            <m:scr m:val="script"/>
            <m:sty m:val="p"/>
          </m:rPr>
          <m:t>O</m:t>
        </m:r>
      </m:oMath>
      <w:r>
        <w:t xml:space="preserve"> </w:t>
      </w:r>
      <w:r>
        <w:t xml:space="preserve">be the observed direct parents of the clinical outcome. For survival, these are the observed parents of the uncensored event time. Structural conditions concern this patient-level system; the ODE representation describes niche-level curve contributions.</w:t>
      </w:r>
    </w:p>
    <w:p>
      <w:pPr>
        <w:pStyle w:val="BodyText"/>
      </w:pPr>
      <w:r>
        <w:t xml:space="preserve">Let</w:t>
      </w:r>
      <w:r>
        <w:t xml:space="preserve"> </w:t>
      </w:r>
      <m:oMath>
        <m:sSub>
          <m:e>
            <m:r>
              <m:t>G</m:t>
            </m:r>
          </m:e>
          <m:sub>
            <m:r>
              <m:t>0</m:t>
            </m:r>
          </m:sub>
        </m:sSub>
      </m:oMath>
      <w:r>
        <w:t xml:space="preserve"> </w:t>
      </w:r>
      <w:r>
        <w:t xml:space="preserve">be the population limit of the selected undirected support, and construct</w:t>
      </w:r>
      <w:r>
        <w:t xml:space="preserve"> </w:t>
      </w:r>
      <m:oMath>
        <m:sSub>
          <m:e>
            <m:r>
              <m:t>Z</m:t>
            </m:r>
          </m:e>
          <m:sub>
            <m:r>
              <m:t>A</m:t>
            </m:r>
          </m:sub>
        </m:sSub>
        <m:r>
          <m:rPr>
            <m:sty m:val="p"/>
          </m:rPr>
          <m:t>,</m:t>
        </m:r>
        <m:sSub>
          <m:e>
            <m:r>
              <m:t>W</m:t>
            </m:r>
          </m:e>
          <m:sub>
            <m:r>
              <m:t>A</m:t>
            </m:r>
          </m:sub>
        </m:sSub>
      </m:oMath>
      <w:r>
        <w:t xml:space="preserve"> </w:t>
      </w:r>
      <w:r>
        <w:t xml:space="preserve">by the rule in Section 3.4. Two graph conditions connect this construction to the causal model:</w:t>
      </w:r>
    </w:p>
    <w:p>
      <w:pPr>
        <w:pStyle w:val="Compact"/>
        <w:numPr>
          <w:ilvl w:val="0"/>
          <w:numId w:val="1001"/>
        </w:numPr>
      </w:pPr>
      <w:r>
        <w:rPr>
          <w:b/>
          <w:bCs/>
        </w:rPr>
        <w:t xml:space="preserve">N1, structural coverage:</w:t>
      </w:r>
      <w:r>
        <w:t xml:space="preserve"> </w:t>
      </w:r>
      <m:oMath>
        <m:r>
          <m:t>H</m:t>
        </m:r>
        <m:r>
          <m:rPr>
            <m:sty m:val="p"/>
          </m:rPr>
          <m:t>⊆</m:t>
        </m:r>
        <m:sSub>
          <m:e>
            <m:r>
              <m:t>G</m:t>
            </m:r>
          </m:e>
          <m:sub>
            <m:r>
              <m:t>0</m:t>
            </m:r>
          </m:sub>
        </m:sSub>
      </m:oMath>
      <w:r>
        <w:t xml:space="preserve">.</w:t>
      </w:r>
    </w:p>
    <w:p>
      <w:pPr>
        <w:pStyle w:val="Compact"/>
        <w:numPr>
          <w:ilvl w:val="0"/>
          <w:numId w:val="1001"/>
        </w:numPr>
      </w:pPr>
      <w:r>
        <w:rPr>
          <w:b/>
          <w:bCs/>
        </w:rPr>
        <w:t xml:space="preserve">N2, exposure boundary:</w:t>
      </w:r>
      <w:r>
        <w:t xml:space="preserve"> </w:t>
      </w:r>
      <w:r>
        <w:t xml:space="preserve">after removing</w:t>
      </w:r>
      <w:r>
        <w:t xml:space="preserve"> </w:t>
      </w:r>
      <m:oMath>
        <m:r>
          <m:t>A</m:t>
        </m:r>
      </m:oMath>
      <w:r>
        <w:t xml:space="preserve"> </w:t>
      </w:r>
      <w:r>
        <w:t xml:space="preserve">from</w:t>
      </w:r>
      <w:r>
        <w:t xml:space="preserve"> </w:t>
      </w:r>
      <m:oMath>
        <m:sSub>
          <m:e>
            <m:r>
              <m:t>G</m:t>
            </m:r>
          </m:e>
          <m:sub>
            <m:r>
              <m:t>0</m:t>
            </m:r>
          </m:sub>
        </m:sSub>
      </m:oMath>
      <w:r>
        <w:t xml:space="preserve">, no path joins</w:t>
      </w:r>
      <w:r>
        <w:t xml:space="preserve"> </w:t>
      </w:r>
      <m:oMath>
        <m:sSub>
          <m:e>
            <m:r>
              <m:t>Z</m:t>
            </m:r>
          </m:e>
          <m:sub>
            <m:r>
              <m:t>A</m:t>
            </m:r>
          </m:sub>
        </m:sSub>
      </m:oMath>
      <w:r>
        <w:t xml:space="preserve"> </w:t>
      </w:r>
      <w:r>
        <w:t xml:space="preserve">to</w:t>
      </w:r>
      <w:r>
        <w:t xml:space="preserve"> </w:t>
      </w:r>
      <m:oMath>
        <m:r>
          <m:rPr>
            <m:scr m:val="script"/>
            <m:sty m:val="p"/>
          </m:rPr>
          <m:t>O</m:t>
        </m:r>
        <m:r>
          <m:rPr>
            <m:sty m:val="p"/>
          </m:rPr>
          <m:t>\</m:t>
        </m:r>
        <m:r>
          <m:rPr>
            <m:sty m:val="p"/>
          </m:rPr>
          <m:t>{</m:t>
        </m:r>
        <m:r>
          <m:t>A</m:t>
        </m:r>
        <m:r>
          <m:rPr>
            <m:sty m:val="p"/>
          </m:rPr>
          <m:t>}</m:t>
        </m:r>
      </m:oMath>
      <w:r>
        <w:t xml:space="preserve">.</w:t>
      </w:r>
    </w:p>
    <w:p>
      <w:pPr>
        <w:pStyle w:val="FirstParagraph"/>
      </w:pPr>
      <w:r>
        <w:t xml:space="preserve">N1 permits additional edges, which can merge components and reduce the separated proxy pool. N2 specifies the outcome-facing boundary of the eligible exposure neighbourhood. Eligible neighbours can include ancillary children of</w:t>
      </w:r>
      <w:r>
        <w:t xml:space="preserve"> </w:t>
      </w:r>
      <m:oMath>
        <m:r>
          <m:t>A</m:t>
        </m:r>
      </m:oMath>
      <w:r>
        <w:t xml:space="preserve"> </w:t>
      </w:r>
      <w:r>
        <w:t xml:space="preserve">that measure the systemic state. Known outcome-directed branches are excluded from Z and remain in the exposure component, outside W; their pathways contribute to the total effect. Under the all-neighbour rule, N2 applies to every observed neighbour.</w:t>
      </w:r>
    </w:p>
    <w:p>
      <w:pPr>
        <w:pStyle w:val="BodyText"/>
      </w:pPr>
      <w:r>
        <w:rPr>
          <w:b/>
          <w:bCs/>
        </w:rPr>
        <w:t xml:space="preserve">Proposition 1 (network-to-proxy validity).</w:t>
      </w:r>
      <w:r>
        <w:t xml:space="preserve"> </w:t>
      </w:r>
      <w:r>
        <w:t xml:space="preserve">Under N1 and N2, the selected roles satisfy</w:t>
      </w:r>
    </w:p>
    <w:p>
      <w:pPr>
        <w:pStyle w:val="BodyText"/>
      </w:pPr>
      <m:oMathPara>
        <m:oMathParaPr>
          <m:jc m:val="center"/>
        </m:oMathParaPr>
        <m:oMath>
          <m:r>
            <m:t>Y</m:t>
          </m:r>
          <m:r>
            <m:rPr>
              <m:sty m:val="p"/>
            </m:rPr>
            <m:t>⟂</m:t>
          </m:r>
          <m:sSub>
            <m:e>
              <m:r>
                <m:t>Z</m:t>
              </m:r>
            </m:e>
            <m:sub>
              <m:r>
                <m:t>A</m:t>
              </m:r>
            </m:sub>
          </m:sSub>
          <m:r>
            <m:rPr>
              <m:sty m:val="p"/>
            </m:rPr>
            <m:t>∣</m:t>
          </m:r>
          <m:r>
            <m:rPr>
              <m:sty m:val="p"/>
            </m:rPr>
            <m:t>(</m:t>
          </m:r>
          <m:r>
            <m:t>A</m:t>
          </m:r>
          <m:r>
            <m:rPr>
              <m:sty m:val="p"/>
            </m:rPr>
            <m:t>,</m:t>
          </m:r>
          <m:r>
            <m:t>F</m:t>
          </m:r>
          <m:r>
            <m:rPr>
              <m:sty m:val="p"/>
            </m:rPr>
            <m:t>,</m:t>
          </m:r>
          <m:r>
            <m:t>C</m:t>
          </m:r>
          <m:r>
            <m:rPr>
              <m:sty m:val="p"/>
            </m:rPr>
            <m:t>)</m:t>
          </m:r>
          <m:r>
            <m:rPr>
              <m:sty m:val="p"/>
            </m:rPr>
            <m:t>,</m:t>
          </m:r>
          <m:r>
            <m:t>  </m:t>
          </m:r>
          <m:sSub>
            <m:e>
              <m:r>
                <m:t>W</m:t>
              </m:r>
            </m:e>
            <m:sub>
              <m:r>
                <m:t>A</m:t>
              </m:r>
            </m:sub>
          </m:sSub>
          <m:r>
            <m:rPr>
              <m:sty m:val="p"/>
            </m:rPr>
            <m:t>⟂</m:t>
          </m:r>
          <m:r>
            <m:rPr>
              <m:sty m:val="p"/>
            </m:rPr>
            <m:t>(</m:t>
          </m:r>
          <m:r>
            <m:t>A</m:t>
          </m:r>
          <m:r>
            <m:rPr>
              <m:sty m:val="p"/>
            </m:rPr>
            <m:t>,</m:t>
          </m:r>
          <m:sSub>
            <m:e>
              <m:r>
                <m:t>Z</m:t>
              </m:r>
            </m:e>
            <m:sub>
              <m:r>
                <m:t>A</m:t>
              </m:r>
            </m:sub>
          </m:sSub>
          <m:r>
            <m:rPr>
              <m:sty m:val="p"/>
            </m:rPr>
            <m:t>)</m:t>
          </m:r>
          <m:r>
            <m:rPr>
              <m:sty m:val="p"/>
            </m:rPr>
            <m:t>∣</m:t>
          </m:r>
          <m:r>
            <m:rPr>
              <m:sty m:val="p"/>
            </m:rPr>
            <m:t>(</m:t>
          </m:r>
          <m:r>
            <m:t>F</m:t>
          </m:r>
          <m:r>
            <m:rPr>
              <m:sty m:val="p"/>
            </m:rPr>
            <m:t>,</m:t>
          </m:r>
          <m:r>
            <m:t>C</m:t>
          </m:r>
          <m:r>
            <m:rPr>
              <m:sty m:val="p"/>
            </m:rPr>
            <m:t>)</m:t>
          </m:r>
          <m:r>
            <m:rPr>
              <m:sty m:val="p"/>
            </m:rPr>
            <m:t>.</m:t>
          </m:r>
        </m:oMath>
      </m:oMathPara>
    </w:p>
    <w:p>
      <w:pPr>
        <w:pStyle w:val="FirstParagraph"/>
      </w:pPr>
      <w:r>
        <w:t xml:space="preserve">The proof is given in Appendix A.4.</w:t>
      </w:r>
    </w:p>
    <w:p>
      <w:pPr>
        <w:pStyle w:val="BodyText"/>
      </w:pPr>
      <w:r>
        <w:t xml:space="preserve">Separation establishes the proxy exclusions. Identification additionally requires an outcome bridge and completeness [6, 7, 8]; the linear model below expresses these requirements through loadings and proxy cross-covariance rank.</w:t>
      </w:r>
    </w:p>
    <w:bookmarkEnd w:id="23"/>
    <w:bookmarkStart w:id="24" w:name="X0d199402711e3b6e9c1e1fe19600dbd94556dd0"/>
    <w:p>
      <w:pPr>
        <w:pStyle w:val="Heading2"/>
      </w:pPr>
      <w:r>
        <w:t xml:space="preserve">4.2 Explicit bridge and total-effect identification</w:t>
      </w:r>
    </w:p>
    <w:p>
      <w:pPr>
        <w:pStyle w:val="FirstParagraph"/>
      </w:pPr>
      <w:r>
        <w:t xml:space="preserve">Write the exposure-specific mean model and proxy equation as</w:t>
      </w:r>
    </w:p>
    <w:p>
      <w:pPr>
        <w:pStyle w:val="BodyText"/>
      </w:pPr>
      <m:oMathPara>
        <m:oMathParaPr>
          <m:jc m:val="center"/>
        </m:oMathParaPr>
        <m:oMath>
          <m:eqArr>
            <m:e>
              <m:r>
                <m:t>Y</m:t>
              </m:r>
              <m:r>
                <m:t>&amp;</m:t>
              </m:r>
              <m:r>
                <m:rPr>
                  <m:sty m:val="p"/>
                </m:rPr>
                <m:t>=</m:t>
              </m:r>
              <m:r>
                <m:t>μ</m:t>
              </m:r>
              <m:r>
                <m:rPr>
                  <m:sty m:val="p"/>
                </m:rPr>
                <m:t>+</m:t>
              </m:r>
              <m:sSub>
                <m:e>
                  <m:r>
                    <m:t>τ</m:t>
                  </m:r>
                </m:e>
                <m:sub>
                  <m:r>
                    <m:t>A</m:t>
                  </m:r>
                </m:sub>
              </m:sSub>
              <m:r>
                <m:t>A</m:t>
              </m:r>
              <m:r>
                <m:rPr>
                  <m:sty m:val="p"/>
                </m:rPr>
                <m:t>+</m:t>
              </m:r>
              <m:sSup>
                <m:e>
                  <m:r>
                    <m:t>b</m:t>
                  </m:r>
                </m:e>
                <m:sup>
                  <m:r>
                    <m:rPr>
                      <m:sty m:val="p"/>
                    </m:rPr>
                    <m:t>⊤</m:t>
                  </m:r>
                </m:sup>
              </m:sSup>
              <m:r>
                <m:t>F</m:t>
              </m:r>
              <m:r>
                <m:rPr>
                  <m:sty m:val="p"/>
                </m:rPr>
                <m:t>+</m:t>
              </m:r>
              <m:sSup>
                <m:e>
                  <m:r>
                    <m:t>d</m:t>
                  </m:r>
                </m:e>
                <m:sup>
                  <m:r>
                    <m:rPr>
                      <m:sty m:val="p"/>
                    </m:rPr>
                    <m:t>⊤</m:t>
                  </m:r>
                </m:sup>
              </m:sSup>
              <m:r>
                <m:t>C</m:t>
              </m:r>
              <m:r>
                <m:rPr>
                  <m:sty m:val="p"/>
                </m:rPr>
                <m:t>+</m:t>
              </m:r>
              <m:sSub>
                <m:e>
                  <m:r>
                    <m:t>ϵ</m:t>
                  </m:r>
                </m:e>
                <m:sub>
                  <m:r>
                    <m:t>Y</m:t>
                  </m:r>
                </m:sub>
              </m:sSub>
              <m:r>
                <m:rPr>
                  <m:sty m:val="p"/>
                </m:rPr>
                <m:t>,</m:t>
              </m:r>
            </m:e>
            <m:e>
              <m:r>
                <m:t>W</m:t>
              </m:r>
              <m:r>
                <m:t>&amp;</m:t>
              </m:r>
              <m:r>
                <m:rPr>
                  <m:sty m:val="p"/>
                </m:rPr>
                <m:t>=</m:t>
              </m:r>
              <m:sSub>
                <m:e>
                  <m:r>
                    <m:t>α</m:t>
                  </m:r>
                </m:e>
                <m:sub>
                  <m:r>
                    <m:t>W</m:t>
                  </m:r>
                </m:sub>
              </m:sSub>
              <m:r>
                <m:rPr>
                  <m:sty m:val="p"/>
                </m:rPr>
                <m:t>+</m:t>
              </m:r>
              <m:sSub>
                <m:e>
                  <m:r>
                    <m:t>L</m:t>
                  </m:r>
                </m:e>
                <m:sub>
                  <m:r>
                    <m:t>W</m:t>
                  </m:r>
                </m:sub>
              </m:sSub>
              <m:r>
                <m:t>F</m:t>
              </m:r>
              <m:r>
                <m:rPr>
                  <m:sty m:val="p"/>
                </m:rPr>
                <m:t>+</m:t>
              </m:r>
              <m:sSub>
                <m:e>
                  <m:r>
                    <m:t>D</m:t>
                  </m:r>
                </m:e>
                <m:sub>
                  <m:r>
                    <m:t>W</m:t>
                  </m:r>
                </m:sub>
              </m:sSub>
              <m:r>
                <m:t>C</m:t>
              </m:r>
              <m:r>
                <m:rPr>
                  <m:sty m:val="p"/>
                </m:rPr>
                <m:t>+</m:t>
              </m:r>
              <m:sSub>
                <m:e>
                  <m:r>
                    <m:t>ϵ</m:t>
                  </m:r>
                </m:e>
                <m:sub>
                  <m:r>
                    <m:t>W</m:t>
                  </m:r>
                </m:sub>
              </m:sSub>
              <m:r>
                <m:rPr>
                  <m:sty m:val="p"/>
                </m:rPr>
                <m:t>,</m:t>
              </m:r>
            </m:e>
            <m:e>
              <m:r>
                <m:rPr>
                  <m:sty m:val="p"/>
                </m:rPr>
                <m:t>Proj</m:t>
              </m:r>
              <m:r>
                <m:rPr>
                  <m:sty m:val="p"/>
                </m:rPr>
                <m:t>(</m:t>
              </m:r>
              <m:r>
                <m:t>F</m:t>
              </m:r>
              <m:r>
                <m:rPr>
                  <m:sty m:val="p"/>
                </m:rPr>
                <m:t>∣</m:t>
              </m:r>
              <m:r>
                <m:t>1</m:t>
              </m:r>
              <m:r>
                <m:rPr>
                  <m:sty m:val="p"/>
                </m:rPr>
                <m:t>,</m:t>
              </m:r>
              <m:r>
                <m:t>A</m:t>
              </m:r>
              <m:r>
                <m:rPr>
                  <m:sty m:val="p"/>
                </m:rPr>
                <m:t>,</m:t>
              </m:r>
              <m:r>
                <m:t>Z</m:t>
              </m:r>
              <m:r>
                <m:rPr>
                  <m:sty m:val="p"/>
                </m:rPr>
                <m:t>,</m:t>
              </m:r>
              <m:r>
                <m:t>C</m:t>
              </m:r>
              <m:r>
                <m:rPr>
                  <m:sty m:val="p"/>
                </m:rPr>
                <m:t>)</m:t>
              </m:r>
              <m:r>
                <m:t>&amp;</m:t>
              </m:r>
              <m:r>
                <m:rPr>
                  <m:sty m:val="p"/>
                </m:rPr>
                <m:t>=</m:t>
              </m:r>
              <m:sSub>
                <m:e>
                  <m:r>
                    <m:t>k</m:t>
                  </m:r>
                </m:e>
                <m:sub>
                  <m:r>
                    <m:t>0</m:t>
                  </m:r>
                </m:sub>
              </m:sSub>
              <m:r>
                <m:rPr>
                  <m:sty m:val="p"/>
                </m:rPr>
                <m:t>+</m:t>
              </m:r>
              <m:sSub>
                <m:e>
                  <m:r>
                    <m:t>k</m:t>
                  </m:r>
                </m:e>
                <m:sub>
                  <m:r>
                    <m:t>A</m:t>
                  </m:r>
                </m:sub>
              </m:sSub>
              <m:r>
                <m:t>A</m:t>
              </m:r>
              <m:r>
                <m:rPr>
                  <m:sty m:val="p"/>
                </m:rPr>
                <m:t>+</m:t>
              </m:r>
              <m:sSub>
                <m:e>
                  <m:r>
                    <m:t>K</m:t>
                  </m:r>
                </m:e>
                <m:sub>
                  <m:r>
                    <m:t>Z</m:t>
                  </m:r>
                </m:sub>
              </m:sSub>
              <m:r>
                <m:t>Z</m:t>
              </m:r>
              <m:r>
                <m:rPr>
                  <m:sty m:val="p"/>
                </m:rPr>
                <m:t>+</m:t>
              </m:r>
              <m:sSub>
                <m:e>
                  <m:r>
                    <m:t>K</m:t>
                  </m:r>
                </m:e>
                <m:sub>
                  <m:r>
                    <m:t>C</m:t>
                  </m:r>
                </m:sub>
              </m:sSub>
              <m:r>
                <m:t>C</m:t>
              </m:r>
              <m:r>
                <m:rPr>
                  <m:sty m:val="p"/>
                </m:rPr>
                <m:t>.</m:t>
              </m:r>
            </m:e>
          </m:eqArr>
        </m:oMath>
      </m:oMathPara>
    </w:p>
    <w:p>
      <w:pPr>
        <w:pStyle w:val="FirstParagraph"/>
      </w:pPr>
      <w:r>
        <w:t xml:space="preserve">Here</w:t>
      </w:r>
      <w:r>
        <w:t xml:space="preserve"> </w:t>
      </w:r>
      <m:oMath>
        <m:r>
          <m:rPr>
            <m:sty m:val="p"/>
          </m:rPr>
          <m:t>Proj</m:t>
        </m:r>
      </m:oMath>
      <w:r>
        <w:t xml:space="preserve"> </w:t>
      </w:r>
      <w:r>
        <w:t xml:space="preserve">denotes the population linear projection. Assume</w:t>
      </w:r>
      <w:r>
        <w:t xml:space="preserve"> </w:t>
      </w:r>
      <m:oMath>
        <m:r>
          <m:t>E</m:t>
        </m:r>
        <m:r>
          <m:rPr>
            <m:sty m:val="p"/>
          </m:rPr>
          <m:t>[</m:t>
        </m:r>
        <m:sSub>
          <m:e>
            <m:r>
              <m:t>ϵ</m:t>
            </m:r>
          </m:e>
          <m:sub>
            <m:r>
              <m:t>Y</m:t>
            </m:r>
          </m:sub>
        </m:sSub>
        <m:r>
          <m:rPr>
            <m:sty m:val="p"/>
          </m:rPr>
          <m:t>∣</m:t>
        </m:r>
        <m:r>
          <m:t>A</m:t>
        </m:r>
        <m:r>
          <m:rPr>
            <m:sty m:val="p"/>
          </m:rPr>
          <m:t>,</m:t>
        </m:r>
        <m:r>
          <m:t>F</m:t>
        </m:r>
        <m:r>
          <m:rPr>
            <m:sty m:val="p"/>
          </m:rPr>
          <m:t>,</m:t>
        </m:r>
        <m:r>
          <m:t>Z</m:t>
        </m:r>
        <m:r>
          <m:rPr>
            <m:sty m:val="p"/>
          </m:rPr>
          <m:t>,</m:t>
        </m:r>
        <m:r>
          <m:t>C</m:t>
        </m:r>
        <m:r>
          <m:rPr>
            <m:sty m:val="p"/>
          </m:rPr>
          <m:t>]</m:t>
        </m:r>
        <m:r>
          <m:rPr>
            <m:sty m:val="p"/>
          </m:rPr>
          <m:t>=</m:t>
        </m:r>
        <m:r>
          <m:t>E</m:t>
        </m:r>
        <m:r>
          <m:rPr>
            <m:sty m:val="p"/>
          </m:rPr>
          <m:t>[</m:t>
        </m:r>
        <m:sSub>
          <m:e>
            <m:r>
              <m:t>ϵ</m:t>
            </m:r>
          </m:e>
          <m:sub>
            <m:r>
              <m:t>W</m:t>
            </m:r>
          </m:sub>
        </m:sSub>
        <m:r>
          <m:rPr>
            <m:sty m:val="p"/>
          </m:rPr>
          <m:t>∣</m:t>
        </m:r>
        <m:r>
          <m:t>A</m:t>
        </m:r>
        <m:r>
          <m:rPr>
            <m:sty m:val="p"/>
          </m:rPr>
          <m:t>,</m:t>
        </m:r>
        <m:r>
          <m:t>F</m:t>
        </m:r>
        <m:r>
          <m:rPr>
            <m:sty m:val="p"/>
          </m:rPr>
          <m:t>,</m:t>
        </m:r>
        <m:r>
          <m:t>Z</m:t>
        </m:r>
        <m:r>
          <m:rPr>
            <m:sty m:val="p"/>
          </m:rPr>
          <m:t>,</m:t>
        </m:r>
        <m:r>
          <m:t>C</m:t>
        </m:r>
        <m:r>
          <m:rPr>
            <m:sty m:val="p"/>
          </m:rPr>
          <m:t>]</m:t>
        </m:r>
        <m:r>
          <m:rPr>
            <m:sty m:val="p"/>
          </m:rPr>
          <m:t>=</m:t>
        </m:r>
        <m:r>
          <m:t>0</m:t>
        </m:r>
      </m:oMath>
      <w:r>
        <w:t xml:space="preserve">, and that the first equation also represents the intervention mean.</w:t>
      </w:r>
      <w:r>
        <w:t xml:space="preserve"> </w:t>
      </w:r>
      <m:oMath>
        <m:sSub>
          <m:e>
            <m:r>
              <m:t>L</m:t>
            </m:r>
          </m:e>
          <m:sub>
            <m:r>
              <m:t>W</m:t>
            </m:r>
          </m:sub>
        </m:sSub>
      </m:oMath>
      <w:r>
        <w:t xml:space="preserve"> </w:t>
      </w:r>
      <w:r>
        <w:t xml:space="preserve">contains propagated outcome-proxy loadings. Assume</w:t>
      </w:r>
      <w:r>
        <w:t xml:space="preserve"> </w:t>
      </w:r>
      <m:oMath>
        <m:r>
          <m:rPr>
            <m:sty m:val="p"/>
          </m:rPr>
          <m:t>rank</m:t>
        </m:r>
        <m:r>
          <m:rPr>
            <m:sty m:val="p"/>
          </m:rPr>
          <m:t>(</m:t>
        </m:r>
        <m:sSub>
          <m:e>
            <m:r>
              <m:t>L</m:t>
            </m:r>
          </m:e>
          <m:sub>
            <m:r>
              <m:t>W</m:t>
            </m:r>
          </m:sub>
        </m:sSub>
        <m:r>
          <m:rPr>
            <m:sty m:val="p"/>
          </m:rPr>
          <m:t>)</m:t>
        </m:r>
        <m:r>
          <m:rPr>
            <m:sty m:val="p"/>
          </m:rPr>
          <m:t>=</m:t>
        </m:r>
        <m:r>
          <m:rPr>
            <m:sty m:val="p"/>
          </m:rPr>
          <m:t>rank</m:t>
        </m:r>
        <m:r>
          <m:rPr>
            <m:sty m:val="p"/>
          </m:rPr>
          <m:t>(</m:t>
        </m:r>
        <m:sSub>
          <m:e>
            <m:r>
              <m:t>K</m:t>
            </m:r>
          </m:e>
          <m:sub>
            <m:r>
              <m:t>Z</m:t>
            </m:r>
          </m:sub>
        </m:sSub>
        <m:r>
          <m:rPr>
            <m:sty m:val="p"/>
          </m:rPr>
          <m:t>)</m:t>
        </m:r>
        <m:r>
          <m:rPr>
            <m:sty m:val="p"/>
          </m:rPr>
          <m:t>=</m:t>
        </m:r>
        <m:r>
          <m:t>r</m:t>
        </m:r>
      </m:oMath>
      <w:r>
        <w:t xml:space="preserve">, and a nonsingular second-moment matrix of</w:t>
      </w:r>
      <w:r>
        <w:t xml:space="preserve"> </w:t>
      </w:r>
      <m:oMath>
        <m:r>
          <m:rPr>
            <m:sty m:val="p"/>
          </m:rPr>
          <m:t>(</m:t>
        </m:r>
        <m:r>
          <m:t>1</m:t>
        </m:r>
        <m:r>
          <m:rPr>
            <m:sty m:val="p"/>
          </m:rPr>
          <m:t>,</m:t>
        </m:r>
        <m:r>
          <m:t>A</m:t>
        </m:r>
        <m:r>
          <m:rPr>
            <m:sty m:val="p"/>
          </m:rPr>
          <m:t>,</m:t>
        </m:r>
        <m:r>
          <m:t>Z</m:t>
        </m:r>
        <m:r>
          <m:rPr>
            <m:sty m:val="p"/>
          </m:rPr>
          <m:t>,</m:t>
        </m:r>
        <m:r>
          <m:t>C</m:t>
        </m:r>
        <m:r>
          <m:rPr>
            <m:sty m:val="p"/>
          </m:rPr>
          <m:t>)</m:t>
        </m:r>
      </m:oMath>
      <w:r>
        <w:t xml:space="preserve">. The conditional distribution of</w:t>
      </w:r>
      <w:r>
        <w:t xml:space="preserve"> </w:t>
      </w:r>
      <m:oMath>
        <m:r>
          <m:t>F</m:t>
        </m:r>
      </m:oMath>
      <w:r>
        <w:t xml:space="preserve"> </w:t>
      </w:r>
      <w:r>
        <w:t xml:space="preserve">can be non-Gaussian; its linear projection supplies the moments used by the estimator.</w:t>
      </w:r>
    </w:p>
    <w:p>
      <w:pPr>
        <w:pStyle w:val="BodyText"/>
      </w:pPr>
      <w:r>
        <w:rPr>
          <w:b/>
          <w:bCs/>
        </w:rPr>
        <w:t xml:space="preserve">Proposition 2 (explicit bridge and unique exposure effect).</w:t>
      </w:r>
      <w:r>
        <w:t xml:space="preserve"> </w:t>
      </w:r>
      <w:r>
        <w:t xml:space="preserve">For any</w:t>
      </w:r>
      <w:r>
        <w:t xml:space="preserve"> </w:t>
      </w:r>
      <m:oMath>
        <m:sSub>
          <m:e>
            <m:r>
              <m:t>η</m:t>
            </m:r>
          </m:e>
          <m:sub>
            <m:r>
              <m:t>W</m:t>
            </m:r>
          </m:sub>
        </m:sSub>
      </m:oMath>
      <w:r>
        <w:t xml:space="preserve"> </w:t>
      </w:r>
      <w:r>
        <w:t xml:space="preserve">solving</w:t>
      </w:r>
      <w:r>
        <w:t xml:space="preserve"> </w:t>
      </w:r>
      <m:oMath>
        <m:sSubSup>
          <m:e>
            <m:r>
              <m:t>L</m:t>
            </m:r>
          </m:e>
          <m:sub>
            <m:r>
              <m:t>W</m:t>
            </m:r>
          </m:sub>
          <m:sup>
            <m:r>
              <m:rPr>
                <m:sty m:val="p"/>
              </m:rPr>
              <m:t>⊤</m:t>
            </m:r>
          </m:sup>
        </m:sSubSup>
        <m:sSub>
          <m:e>
            <m:r>
              <m:t>η</m:t>
            </m:r>
          </m:e>
          <m:sub>
            <m:r>
              <m:t>W</m:t>
            </m:r>
          </m:sub>
        </m:sSub>
        <m:r>
          <m:rPr>
            <m:sty m:val="p"/>
          </m:rPr>
          <m:t>=</m:t>
        </m:r>
        <m:r>
          <m:t>b</m:t>
        </m:r>
      </m:oMath>
      <w:r>
        <w:t xml:space="preserve">, the function</w:t>
      </w:r>
    </w:p>
    <w:p>
      <w:pPr>
        <w:pStyle w:val="BodyText"/>
      </w:pPr>
      <m:oMathPara>
        <m:oMathParaPr>
          <m:jc m:val="center"/>
        </m:oMathParaPr>
        <m:oMath>
          <m:r>
            <m:t>h</m:t>
          </m:r>
          <m:r>
            <m:rPr>
              <m:sty m:val="p"/>
            </m:rPr>
            <m:t>(</m:t>
          </m:r>
          <m:r>
            <m:t>W</m:t>
          </m:r>
          <m:r>
            <m:rPr>
              <m:sty m:val="p"/>
            </m:rPr>
            <m:t>,</m:t>
          </m:r>
          <m:r>
            <m:t>A</m:t>
          </m:r>
          <m:r>
            <m:rPr>
              <m:sty m:val="p"/>
            </m:rPr>
            <m:t>,</m:t>
          </m:r>
          <m:r>
            <m:t>C</m:t>
          </m:r>
          <m:r>
            <m:rPr>
              <m:sty m:val="p"/>
            </m:rPr>
            <m:t>)</m:t>
          </m:r>
          <m:r>
            <m:rPr>
              <m:sty m:val="p"/>
            </m:rPr>
            <m:t>=</m:t>
          </m:r>
          <m:r>
            <m:t>μ</m:t>
          </m:r>
          <m:r>
            <m:rPr>
              <m:sty m:val="p"/>
            </m:rPr>
            <m:t>−</m:t>
          </m:r>
          <m:sSubSup>
            <m:e>
              <m:r>
                <m:t>η</m:t>
              </m:r>
            </m:e>
            <m:sub>
              <m:r>
                <m:t>W</m:t>
              </m:r>
            </m:sub>
            <m:sup>
              <m:r>
                <m:rPr>
                  <m:sty m:val="p"/>
                </m:rPr>
                <m:t>⊤</m:t>
              </m:r>
            </m:sup>
          </m:sSubSup>
          <m:sSub>
            <m:e>
              <m:r>
                <m:t>α</m:t>
              </m:r>
            </m:e>
            <m:sub>
              <m:r>
                <m:t>W</m:t>
              </m:r>
            </m:sub>
          </m:sSub>
          <m:r>
            <m:rPr>
              <m:sty m:val="p"/>
            </m:rPr>
            <m:t>+</m:t>
          </m:r>
          <m:sSub>
            <m:e>
              <m:r>
                <m:t>τ</m:t>
              </m:r>
            </m:e>
            <m:sub>
              <m:r>
                <m:t>A</m:t>
              </m:r>
            </m:sub>
          </m:sSub>
          <m:r>
            <m:t>A</m:t>
          </m:r>
          <m:r>
            <m:rPr>
              <m:sty m:val="p"/>
            </m:rPr>
            <m:t>+</m:t>
          </m:r>
          <m:sSubSup>
            <m:e>
              <m:r>
                <m:t>η</m:t>
              </m:r>
            </m:e>
            <m:sub>
              <m:r>
                <m:t>W</m:t>
              </m:r>
            </m:sub>
            <m:sup>
              <m:r>
                <m:rPr>
                  <m:sty m:val="p"/>
                </m:rPr>
                <m:t>⊤</m:t>
              </m:r>
            </m:sup>
          </m:sSubSup>
          <m:r>
            <m:t>W</m:t>
          </m:r>
          <m:r>
            <m:rPr>
              <m:sty m:val="p"/>
            </m:rPr>
            <m:t>+</m:t>
          </m:r>
          <m:r>
            <m:rPr>
              <m:sty m:val="p"/>
            </m:rPr>
            <m:t>(</m:t>
          </m:r>
          <m:r>
            <m:t>d</m:t>
          </m:r>
          <m:r>
            <m:rPr>
              <m:sty m:val="p"/>
            </m:rPr>
            <m:t>−</m:t>
          </m:r>
          <m:sSubSup>
            <m:e>
              <m:r>
                <m:t>D</m:t>
              </m:r>
            </m:e>
            <m:sub>
              <m:r>
                <m:t>W</m:t>
              </m:r>
            </m:sub>
            <m:sup>
              <m:r>
                <m:rPr>
                  <m:sty m:val="p"/>
                </m:rPr>
                <m:t>⊤</m:t>
              </m:r>
            </m:sup>
          </m:sSubSup>
          <m:sSub>
            <m:e>
              <m:r>
                <m:t>η</m:t>
              </m:r>
            </m:e>
            <m:sub>
              <m:r>
                <m:t>W</m:t>
              </m:r>
            </m:sub>
          </m:sSub>
          <m:sSup>
            <m:e>
              <m:r>
                <m:rPr>
                  <m:sty m:val="p"/>
                </m:rPr>
                <m:t>)</m:t>
              </m:r>
            </m:e>
            <m:sup>
              <m:r>
                <m:rPr>
                  <m:sty m:val="p"/>
                </m:rPr>
                <m:t>⊤</m:t>
              </m:r>
            </m:sup>
          </m:sSup>
          <m:r>
            <m:t>C</m:t>
          </m:r>
        </m:oMath>
      </m:oMathPara>
    </w:p>
    <w:p>
      <w:pPr>
        <w:pStyle w:val="FirstParagraph"/>
      </w:pPr>
      <w:r>
        <w:t xml:space="preserve">satisfies</w:t>
      </w:r>
    </w:p>
    <w:p>
      <w:pPr>
        <w:pStyle w:val="BodyText"/>
      </w:pPr>
      <m:oMathPara>
        <m:oMathParaPr>
          <m:jc m:val="center"/>
        </m:oMathParaPr>
        <m:oMath>
          <m:r>
            <m:t>E</m:t>
          </m:r>
          <m:r>
            <m:rPr>
              <m:sty m:val="p"/>
            </m:rPr>
            <m:t>[</m:t>
          </m:r>
          <m:r>
            <m:t>Y</m:t>
          </m:r>
          <m:r>
            <m:rPr>
              <m:sty m:val="p"/>
            </m:rPr>
            <m:t>∣</m:t>
          </m:r>
          <m:r>
            <m:t>A</m:t>
          </m:r>
          <m:r>
            <m:rPr>
              <m:sty m:val="p"/>
            </m:rPr>
            <m:t>,</m:t>
          </m:r>
          <m:r>
            <m:t>Z</m:t>
          </m:r>
          <m:r>
            <m:rPr>
              <m:sty m:val="p"/>
            </m:rPr>
            <m:t>,</m:t>
          </m:r>
          <m:r>
            <m:t>C</m:t>
          </m:r>
          <m:r>
            <m:rPr>
              <m:sty m:val="p"/>
            </m:rPr>
            <m:t>]</m:t>
          </m:r>
          <m:r>
            <m:rPr>
              <m:sty m:val="p"/>
            </m:rPr>
            <m:t>=</m:t>
          </m:r>
          <m:r>
            <m:t>E</m:t>
          </m:r>
          <m:r>
            <m:rPr>
              <m:sty m:val="p"/>
            </m:rPr>
            <m:t>[</m:t>
          </m:r>
          <m:r>
            <m:t>h</m:t>
          </m:r>
          <m:r>
            <m:rPr>
              <m:sty m:val="p"/>
            </m:rPr>
            <m:t>(</m:t>
          </m:r>
          <m:r>
            <m:t>W</m:t>
          </m:r>
          <m:r>
            <m:rPr>
              <m:sty m:val="p"/>
            </m:rPr>
            <m:t>,</m:t>
          </m:r>
          <m:r>
            <m:t>A</m:t>
          </m:r>
          <m:r>
            <m:rPr>
              <m:sty m:val="p"/>
            </m:rPr>
            <m:t>,</m:t>
          </m:r>
          <m:r>
            <m:t>C</m:t>
          </m:r>
          <m:r>
            <m:rPr>
              <m:sty m:val="p"/>
            </m:rPr>
            <m:t>)</m:t>
          </m:r>
          <m:r>
            <m:rPr>
              <m:sty m:val="p"/>
            </m:rPr>
            <m:t>∣</m:t>
          </m:r>
          <m:r>
            <m:t>A</m:t>
          </m:r>
          <m:r>
            <m:rPr>
              <m:sty m:val="p"/>
            </m:rPr>
            <m:t>,</m:t>
          </m:r>
          <m:r>
            <m:t>Z</m:t>
          </m:r>
          <m:r>
            <m:rPr>
              <m:sty m:val="p"/>
            </m:rPr>
            <m:t>,</m:t>
          </m:r>
          <m:r>
            <m:t>C</m:t>
          </m:r>
          <m:r>
            <m:rPr>
              <m:sty m:val="p"/>
            </m:rPr>
            <m:t>]</m:t>
          </m:r>
          <m:r>
            <m:rPr>
              <m:sty m:val="p"/>
            </m:rPr>
            <m:t>,</m:t>
          </m:r>
          <m:r>
            <m:t>  </m:t>
          </m:r>
          <m:r>
            <m:t>E</m:t>
          </m:r>
          <m:r>
            <m:rPr>
              <m:sty m:val="p"/>
            </m:rPr>
            <m:t>[</m:t>
          </m:r>
          <m:sSup>
            <m:e>
              <m:r>
                <m:t>Y</m:t>
              </m:r>
            </m:e>
            <m:sup>
              <m:r>
                <m:t>a</m:t>
              </m:r>
            </m:sup>
          </m:sSup>
          <m:r>
            <m:rPr>
              <m:sty m:val="p"/>
            </m:rPr>
            <m:t>]</m:t>
          </m:r>
          <m:r>
            <m:rPr>
              <m:sty m:val="p"/>
            </m:rPr>
            <m:t>=</m:t>
          </m:r>
          <m:r>
            <m:t>E</m:t>
          </m:r>
          <m:r>
            <m:rPr>
              <m:sty m:val="p"/>
            </m:rPr>
            <m:t>[</m:t>
          </m:r>
          <m:r>
            <m:t>h</m:t>
          </m:r>
          <m:r>
            <m:rPr>
              <m:sty m:val="p"/>
            </m:rPr>
            <m:t>(</m:t>
          </m:r>
          <m:r>
            <m:t>W</m:t>
          </m:r>
          <m:r>
            <m:rPr>
              <m:sty m:val="p"/>
            </m:rPr>
            <m:t>,</m:t>
          </m:r>
          <m:r>
            <m:t>a</m:t>
          </m:r>
          <m:r>
            <m:rPr>
              <m:sty m:val="p"/>
            </m:rPr>
            <m:t>,</m:t>
          </m:r>
          <m:r>
            <m:t>C</m:t>
          </m:r>
          <m:r>
            <m:rPr>
              <m:sty m:val="p"/>
            </m:rPr>
            <m:t>)</m:t>
          </m:r>
          <m:r>
            <m:rPr>
              <m:sty m:val="p"/>
            </m:rPr>
            <m:t>]</m:t>
          </m:r>
          <m:r>
            <m:rPr>
              <m:sty m:val="p"/>
            </m:rPr>
            <m:t>.</m:t>
          </m:r>
        </m:oMath>
      </m:oMathPara>
    </w:p>
    <w:p>
      <w:pPr>
        <w:pStyle w:val="FirstParagraph"/>
      </w:pPr>
      <w:r>
        <w:t xml:space="preserve">Its coefficient on</w:t>
      </w:r>
      <w:r>
        <w:t xml:space="preserve"> </w:t>
      </w:r>
      <m:oMath>
        <m:r>
          <m:t>A</m:t>
        </m:r>
      </m:oMath>
      <w:r>
        <w:t xml:space="preserve"> </w:t>
      </w:r>
      <w:r>
        <w:t xml:space="preserve">is uniquely</w:t>
      </w:r>
      <w:r>
        <w:t xml:space="preserve"> </w:t>
      </w:r>
      <m:oMath>
        <m:sSub>
          <m:e>
            <m:r>
              <m:t>τ</m:t>
            </m:r>
          </m:e>
          <m:sub>
            <m:r>
              <m:t>A</m:t>
            </m:r>
          </m:sub>
        </m:sSub>
      </m:oMath>
      <w:r>
        <w:t xml:space="preserve">, including when</w:t>
      </w:r>
      <w:r>
        <w:t xml:space="preserve"> </w:t>
      </w:r>
      <m:oMath>
        <m:sSub>
          <m:e>
            <m:r>
              <m:t>η</m:t>
            </m:r>
          </m:e>
          <m:sub>
            <m:r>
              <m:t>W</m:t>
            </m:r>
          </m:sub>
        </m:sSub>
      </m:oMath>
      <w:r>
        <w:t xml:space="preserve"> </w:t>
      </w:r>
      <w:r>
        <w:t xml:space="preserve">is non-unique.</w:t>
      </w:r>
    </w:p>
    <w:p>
      <w:pPr>
        <w:pStyle w:val="BodyText"/>
      </w:pPr>
      <w:r>
        <w:t xml:space="preserve">The proof is given in Appendix A.4.</w:t>
      </w:r>
    </w:p>
    <w:p>
      <w:pPr>
        <w:pStyle w:val="BodyText"/>
      </w:pPr>
      <w:r>
        <w:t xml:space="preserve">The coefficient</w:t>
      </w:r>
      <w:r>
        <w:t xml:space="preserve"> </w:t>
      </w:r>
      <m:oMath>
        <m:sSub>
          <m:e>
            <m:r>
              <m:t>τ</m:t>
            </m:r>
          </m:e>
          <m:sub>
            <m:r>
              <m:t>A</m:t>
            </m:r>
          </m:sub>
        </m:sSub>
      </m:oMath>
      <w:r>
        <w:t xml:space="preserve"> </w:t>
      </w:r>
      <w:r>
        <w:t xml:space="preserve">includes the downstream path contributions defined in Section 2. For any nonsingular</w:t>
      </w:r>
      <w:r>
        <w:t xml:space="preserve"> </w:t>
      </w:r>
      <m:oMath>
        <m:r>
          <m:t>R</m:t>
        </m:r>
      </m:oMath>
      <w:r>
        <w:t xml:space="preserve">, changing coordinates to</w:t>
      </w:r>
      <w:r>
        <w:t xml:space="preserve"> </w:t>
      </w:r>
      <m:oMath>
        <m:r>
          <m:t>R</m:t>
        </m:r>
        <m:r>
          <m:t>F</m:t>
        </m:r>
      </m:oMath>
      <w:r>
        <w:t xml:space="preserve"> </w:t>
      </w:r>
      <w:r>
        <w:t xml:space="preserve">transforms the loadings to</w:t>
      </w:r>
      <w:r>
        <w:t xml:space="preserve"> </w:t>
      </w:r>
      <m:oMath>
        <m:sSub>
          <m:e>
            <m:r>
              <m:t>L</m:t>
            </m:r>
          </m:e>
          <m:sub>
            <m:r>
              <m:t>W</m:t>
            </m:r>
          </m:sub>
        </m:sSub>
        <m:sSup>
          <m:e>
            <m:r>
              <m:t>R</m:t>
            </m:r>
          </m:e>
          <m:sup>
            <m:r>
              <m:rPr>
                <m:sty m:val="p"/>
              </m:rPr>
              <m:t>−</m:t>
            </m:r>
            <m:r>
              <m:t>1</m:t>
            </m:r>
          </m:sup>
        </m:sSup>
      </m:oMath>
      <w:r>
        <w:t xml:space="preserve">, the outcome coefficient to</w:t>
      </w:r>
      <w:r>
        <w:t xml:space="preserve"> </w:t>
      </w:r>
      <m:oMath>
        <m:sSup>
          <m:e>
            <m:r>
              <m:t>R</m:t>
            </m:r>
          </m:e>
          <m:sup>
            <m:r>
              <m:rPr>
                <m:sty m:val="p"/>
              </m:rPr>
              <m:t>−</m:t>
            </m:r>
            <m:r>
              <m:rPr>
                <m:sty m:val="p"/>
              </m:rPr>
              <m:t>⊤</m:t>
            </m:r>
          </m:sup>
        </m:sSup>
        <m:r>
          <m:t>b</m:t>
        </m:r>
      </m:oMath>
      <w:r>
        <w:t xml:space="preserve">, and the projection coefficient to</w:t>
      </w:r>
      <w:r>
        <w:t xml:space="preserve"> </w:t>
      </w:r>
      <m:oMath>
        <m:r>
          <m:t>R</m:t>
        </m:r>
        <m:sSub>
          <m:e>
            <m:r>
              <m:t>K</m:t>
            </m:r>
          </m:e>
          <m:sub>
            <m:r>
              <m:t>Z</m:t>
            </m:r>
          </m:sub>
        </m:sSub>
      </m:oMath>
      <w:r>
        <w:t xml:space="preserve">. The bridge and exposure effect are invariant to this choice of factor coordinates.</w:t>
      </w:r>
    </w:p>
    <w:bookmarkEnd w:id="24"/>
    <w:bookmarkStart w:id="25" w:name="rank-of-identifying-proxy-information"/>
    <w:p>
      <w:pPr>
        <w:pStyle w:val="Heading2"/>
      </w:pPr>
      <w:r>
        <w:t xml:space="preserve">4.3 Rank of identifying proxy information</w:t>
      </w:r>
    </w:p>
    <w:p>
      <w:pPr>
        <w:pStyle w:val="FirstParagraph"/>
      </w:pPr>
      <w:r>
        <w:t xml:space="preserve">Let</w:t>
      </w:r>
      <w:r>
        <w:t xml:space="preserve"> </w:t>
      </w:r>
      <m:oMath>
        <m:acc>
          <m:accPr>
            <m:chr m:val="̃"/>
          </m:accPr>
          <m:e>
            <m:r>
              <m:t>W</m:t>
            </m:r>
          </m:e>
        </m:acc>
        <m:r>
          <m:rPr>
            <m:sty m:val="p"/>
          </m:rPr>
          <m:t>,</m:t>
        </m:r>
        <m:acc>
          <m:accPr>
            <m:chr m:val="̃"/>
          </m:accPr>
          <m:e>
            <m:r>
              <m:t>Z</m:t>
            </m:r>
          </m:e>
        </m:acc>
      </m:oMath>
      <w:r>
        <w:t xml:space="preserve"> </w:t>
      </w:r>
      <w:r>
        <w:t xml:space="preserve">be the residuals of</w:t>
      </w:r>
      <w:r>
        <w:t xml:space="preserve"> </w:t>
      </w:r>
      <m:oMath>
        <m:r>
          <m:t>W</m:t>
        </m:r>
        <m:r>
          <m:rPr>
            <m:sty m:val="p"/>
          </m:rPr>
          <m:t>,</m:t>
        </m:r>
        <m:r>
          <m:t>Z</m:t>
        </m:r>
      </m:oMath>
      <w:r>
        <w:t xml:space="preserve"> </w:t>
      </w:r>
      <w:r>
        <w:t xml:space="preserve">after population linear projection on</w:t>
      </w:r>
      <w:r>
        <w:t xml:space="preserve"> </w:t>
      </w:r>
      <m:oMath>
        <m:r>
          <m:rPr>
            <m:sty m:val="p"/>
          </m:rPr>
          <m:t>(</m:t>
        </m:r>
        <m:r>
          <m:t>1</m:t>
        </m:r>
        <m:r>
          <m:rPr>
            <m:sty m:val="p"/>
          </m:rPr>
          <m:t>,</m:t>
        </m:r>
        <m:r>
          <m:t>A</m:t>
        </m:r>
        <m:r>
          <m:rPr>
            <m:sty m:val="p"/>
          </m:rPr>
          <m:t>,</m:t>
        </m:r>
        <m:r>
          <m:t>C</m:t>
        </m:r>
        <m:r>
          <m:rPr>
            <m:sty m:val="p"/>
          </m:rPr>
          <m:t>)</m:t>
        </m:r>
      </m:oMath>
      <w:r>
        <w:t xml:space="preserve">.</w:t>
      </w:r>
    </w:p>
    <w:p>
      <w:pPr>
        <w:pStyle w:val="BodyText"/>
      </w:pPr>
      <w:r>
        <w:rPr>
          <w:b/>
          <w:bCs/>
        </w:rPr>
        <w:t xml:space="preserve">Proposition 3 (proxy rank and its estimation).</w:t>
      </w:r>
      <w:r>
        <w:t xml:space="preserve"> </w:t>
      </w:r>
      <w:r>
        <w:t xml:space="preserve">Under Proposition 2,</w:t>
      </w:r>
    </w:p>
    <w:p>
      <w:pPr>
        <w:pStyle w:val="BodyText"/>
      </w:pPr>
      <m:oMathPara>
        <m:oMathParaPr>
          <m:jc m:val="center"/>
        </m:oMathParaPr>
        <m:oMath>
          <m:r>
            <m:rPr>
              <m:sty m:val="p"/>
            </m:rPr>
            <m:t>Cov</m:t>
          </m:r>
          <m:r>
            <m:rPr>
              <m:sty m:val="p"/>
            </m:rPr>
            <m:t>(</m:t>
          </m:r>
          <m:acc>
            <m:accPr>
              <m:chr m:val="̃"/>
            </m:accPr>
            <m:e>
              <m:r>
                <m:t>W</m:t>
              </m:r>
            </m:e>
          </m:acc>
          <m:r>
            <m:rPr>
              <m:sty m:val="p"/>
            </m:rPr>
            <m:t>,</m:t>
          </m:r>
          <m:acc>
            <m:accPr>
              <m:chr m:val="̃"/>
            </m:accPr>
            <m:e>
              <m:r>
                <m:t>Z</m:t>
              </m:r>
            </m:e>
          </m:acc>
          <m:r>
            <m:rPr>
              <m:sty m:val="p"/>
            </m:rPr>
            <m:t>)</m:t>
          </m:r>
          <m:r>
            <m:rPr>
              <m:sty m:val="p"/>
            </m:rPr>
            <m:t>=</m:t>
          </m:r>
          <m:sSub>
            <m:e>
              <m:r>
                <m:t>L</m:t>
              </m:r>
            </m:e>
            <m:sub>
              <m:r>
                <m:t>W</m:t>
              </m:r>
            </m:sub>
          </m:sSub>
          <m:sSub>
            <m:e>
              <m:r>
                <m:t>K</m:t>
              </m:r>
            </m:e>
            <m:sub>
              <m:r>
                <m:t>Z</m:t>
              </m:r>
            </m:sub>
          </m:sSub>
          <m:r>
            <m:rPr>
              <m:sty m:val="p"/>
            </m:rPr>
            <m:t>Cov</m:t>
          </m:r>
          <m:r>
            <m:rPr>
              <m:sty m:val="p"/>
            </m:rPr>
            <m:t>(</m:t>
          </m:r>
          <m:acc>
            <m:accPr>
              <m:chr m:val="̃"/>
            </m:accPr>
            <m:e>
              <m:r>
                <m:t>Z</m:t>
              </m:r>
            </m:e>
          </m:acc>
          <m:r>
            <m:rPr>
              <m:sty m:val="p"/>
            </m:rPr>
            <m:t>)</m:t>
          </m:r>
          <m:r>
            <m:rPr>
              <m:sty m:val="p"/>
            </m:rPr>
            <m:t>.</m:t>
          </m:r>
        </m:oMath>
      </m:oMathPara>
    </w:p>
    <w:p>
      <w:pPr>
        <w:pStyle w:val="FirstParagraph"/>
      </w:pPr>
      <w:r>
        <w:t xml:space="preserve">If</w:t>
      </w:r>
      <w:r>
        <w:t xml:space="preserve"> </w:t>
      </w:r>
      <m:oMath>
        <m:r>
          <m:rPr>
            <m:sty m:val="p"/>
          </m:rPr>
          <m:t>Cov</m:t>
        </m:r>
        <m:r>
          <m:rPr>
            <m:sty m:val="p"/>
          </m:rPr>
          <m:t>(</m:t>
        </m:r>
        <m:acc>
          <m:accPr>
            <m:chr m:val="̃"/>
          </m:accPr>
          <m:e>
            <m:r>
              <m:t>Z</m:t>
            </m:r>
          </m:e>
        </m:acc>
        <m:r>
          <m:rPr>
            <m:sty m:val="p"/>
          </m:rPr>
          <m:t>)</m:t>
        </m:r>
      </m:oMath>
      <w:r>
        <w:t xml:space="preserve"> </w:t>
      </w:r>
      <w:r>
        <w:t xml:space="preserve">is nonsingular, this matrix has rank</w:t>
      </w:r>
      <w:r>
        <w:t xml:space="preserve"> </w:t>
      </w:r>
      <m:oMath>
        <m:r>
          <m:t>r</m:t>
        </m:r>
      </m:oMath>
      <w:r>
        <w:t xml:space="preserve">. Let</w:t>
      </w:r>
      <w:r>
        <w:t xml:space="preserve"> </w:t>
      </w:r>
      <m:oMath>
        <m:acc>
          <m:accPr>
            <m:chr m:val="̌"/>
          </m:accPr>
          <m:e>
            <m:r>
              <m:t>W</m:t>
            </m:r>
          </m:e>
        </m:acc>
      </m:oMath>
      <w:r>
        <w:t xml:space="preserve"> </w:t>
      </w:r>
      <w:r>
        <w:t xml:space="preserve">and</w:t>
      </w:r>
      <w:r>
        <w:t xml:space="preserve"> </w:t>
      </w:r>
      <m:oMath>
        <m:acc>
          <m:accPr>
            <m:chr m:val="̌"/>
          </m:accPr>
          <m:e>
            <m:r>
              <m:t>M</m:t>
            </m:r>
          </m:e>
        </m:acc>
      </m:oMath>
      <w:r>
        <w:t xml:space="preserve"> </w:t>
      </w:r>
      <w:r>
        <w:t xml:space="preserve">be residuals of</w:t>
      </w:r>
      <w:r>
        <w:t xml:space="preserve"> </w:t>
      </w:r>
      <m:oMath>
        <m:r>
          <m:t>W</m:t>
        </m:r>
      </m:oMath>
      <w:r>
        <w:t xml:space="preserve"> </w:t>
      </w:r>
      <w:r>
        <w:t xml:space="preserve">and</w:t>
      </w:r>
      <w:r>
        <w:t xml:space="preserve"> </w:t>
      </w:r>
      <m:oMath>
        <m:r>
          <m:t>M</m:t>
        </m:r>
        <m:r>
          <m:rPr>
            <m:sty m:val="p"/>
          </m:rPr>
          <m:t>=</m:t>
        </m:r>
        <m:r>
          <m:rPr>
            <m:sty m:val="p"/>
          </m:rPr>
          <m:t>(</m:t>
        </m:r>
        <m:r>
          <m:t>A</m:t>
        </m:r>
        <m:r>
          <m:rPr>
            <m:sty m:val="p"/>
          </m:rPr>
          <m:t>,</m:t>
        </m:r>
        <m:sSup>
          <m:e>
            <m:r>
              <m:t>Z</m:t>
            </m:r>
          </m:e>
          <m:sup>
            <m:r>
              <m:rPr>
                <m:sty m:val="p"/>
              </m:rPr>
              <m:t>⊤</m:t>
            </m:r>
          </m:sup>
        </m:sSup>
        <m:sSup>
          <m:e>
            <m:r>
              <m:rPr>
                <m:sty m:val="p"/>
              </m:rPr>
              <m:t>)</m:t>
            </m:r>
          </m:e>
          <m:sup>
            <m:r>
              <m:rPr>
                <m:sty m:val="p"/>
              </m:rPr>
              <m:t>⊤</m:t>
            </m:r>
          </m:sup>
        </m:sSup>
      </m:oMath>
      <w:r>
        <w:t xml:space="preserve"> </w:t>
      </w:r>
      <w:r>
        <w:t xml:space="preserve">on</w:t>
      </w:r>
      <w:r>
        <w:t xml:space="preserve"> </w:t>
      </w:r>
      <m:oMath>
        <m:r>
          <m:rPr>
            <m:sty m:val="p"/>
          </m:rPr>
          <m:t>(</m:t>
        </m:r>
        <m:r>
          <m:t>1</m:t>
        </m:r>
        <m:r>
          <m:rPr>
            <m:sty m:val="p"/>
          </m:rPr>
          <m:t>,</m:t>
        </m:r>
        <m:r>
          <m:t>C</m:t>
        </m:r>
        <m:r>
          <m:rPr>
            <m:sty m:val="p"/>
          </m:rPr>
          <m:t>)</m:t>
        </m:r>
      </m:oMath>
      <w:r>
        <w:t xml:space="preserve">. Their joint covariance also has rank</w:t>
      </w:r>
      <w:r>
        <w:t xml:space="preserve"> </w:t>
      </w:r>
      <m:oMath>
        <m:r>
          <m:t>r</m:t>
        </m:r>
      </m:oMath>
      <w:r>
        <w:t xml:space="preserve">:</w:t>
      </w:r>
    </w:p>
    <w:p>
      <w:pPr>
        <w:pStyle w:val="BodyText"/>
      </w:pPr>
      <m:oMathPara>
        <m:oMathParaPr>
          <m:jc m:val="center"/>
        </m:oMathParaPr>
        <m:oMath>
          <m:r>
            <m:rPr>
              <m:sty m:val="p"/>
            </m:rPr>
            <m:t>Cov</m:t>
          </m:r>
          <m:r>
            <m:rPr>
              <m:sty m:val="p"/>
            </m:rPr>
            <m:t>(</m:t>
          </m:r>
          <m:acc>
            <m:accPr>
              <m:chr m:val="̌"/>
            </m:accPr>
            <m:e>
              <m:r>
                <m:t>W</m:t>
              </m:r>
            </m:e>
          </m:acc>
          <m:r>
            <m:rPr>
              <m:sty m:val="p"/>
            </m:rPr>
            <m:t>,</m:t>
          </m:r>
          <m:acc>
            <m:accPr>
              <m:chr m:val="̌"/>
            </m:accPr>
            <m:e>
              <m:r>
                <m:t>M</m:t>
              </m:r>
            </m:e>
          </m:acc>
          <m:r>
            <m:rPr>
              <m:sty m:val="p"/>
            </m:rPr>
            <m:t>)</m:t>
          </m:r>
          <m:r>
            <m:rPr>
              <m:sty m:val="p"/>
            </m:rPr>
            <m:t>=</m:t>
          </m:r>
          <m:sSub>
            <m:e>
              <m:r>
                <m:t>L</m:t>
              </m:r>
            </m:e>
            <m:sub>
              <m:r>
                <m:t>W</m:t>
              </m:r>
            </m:sub>
          </m:sSub>
          <m:r>
            <m:rPr>
              <m:sty m:val="p"/>
            </m:rPr>
            <m:t>Cov</m:t>
          </m:r>
          <m:r>
            <m:rPr>
              <m:sty m:val="p"/>
            </m:rPr>
            <m:t>(</m:t>
          </m:r>
          <m:acc>
            <m:accPr>
              <m:chr m:val="̌"/>
            </m:accPr>
            <m:e>
              <m:r>
                <m:t>F</m:t>
              </m:r>
            </m:e>
          </m:acc>
          <m:r>
            <m:rPr>
              <m:sty m:val="p"/>
            </m:rPr>
            <m:t>,</m:t>
          </m:r>
          <m:acc>
            <m:accPr>
              <m:chr m:val="̌"/>
            </m:accPr>
            <m:e>
              <m:r>
                <m:t>M</m:t>
              </m:r>
            </m:e>
          </m:acc>
          <m:r>
            <m:rPr>
              <m:sty m:val="p"/>
            </m:rPr>
            <m:t>)</m:t>
          </m:r>
          <m:r>
            <m:rPr>
              <m:sty m:val="p"/>
            </m:rPr>
            <m:t>.</m:t>
          </m:r>
        </m:oMath>
      </m:oMathPara>
    </w:p>
    <w:p>
      <w:pPr>
        <w:pStyle w:val="FirstParagraph"/>
      </w:pPr>
      <w:r>
        <w:t xml:space="preserve">Whitening by nonsingular residual covariance matrices preserves these ranks. For fixed proxy dimensions,</w:t>
      </w:r>
      <w:r>
        <w:t xml:space="preserve"> </w:t>
      </w:r>
      <m:oMath>
        <m:r>
          <m:t>r</m:t>
        </m:r>
        <m:r>
          <m:rPr>
            <m:sty m:val="p"/>
          </m:rPr>
          <m:t>≤</m:t>
        </m:r>
        <m:r>
          <m:t>8</m:t>
        </m:r>
      </m:oMath>
      <w:r>
        <w:t xml:space="preserve">, positive definite residual covariance matrices, root-</w:t>
      </w:r>
      <m:oMath>
        <m:r>
          <m:t>n</m:t>
        </m:r>
      </m:oMath>
      <w:r>
        <w:t xml:space="preserve"> </w:t>
      </w:r>
      <w:r>
        <w:t xml:space="preserve">consistent covariance estimates, separated positive canonical roots, and</w:t>
      </w:r>
      <w:r>
        <w:t xml:space="preserve"> </w:t>
      </w:r>
      <m:oMath>
        <m:sSub>
          <m:e>
            <m:r>
              <m:t>α</m:t>
            </m:r>
          </m:e>
          <m:sub>
            <m:r>
              <m:t>n</m:t>
            </m:r>
          </m:sub>
        </m:sSub>
        <m:r>
          <m:rPr>
            <m:sty m:val="p"/>
          </m:rPr>
          <m:t>=</m:t>
        </m:r>
        <m:r>
          <m:rPr>
            <m:sty m:val="p"/>
          </m:rPr>
          <m:t>min</m:t>
        </m:r>
        <m:r>
          <m:rPr>
            <m:sty m:val="p"/>
          </m:rPr>
          <m:t>(</m:t>
        </m:r>
        <m:r>
          <m:t>0.05</m:t>
        </m:r>
        <m:r>
          <m:rPr>
            <m:sty m:val="p"/>
          </m:rPr>
          <m:t>,</m:t>
        </m:r>
        <m:sSup>
          <m:e>
            <m:r>
              <m:t>n</m:t>
            </m:r>
          </m:e>
          <m:sup>
            <m:r>
              <m:rPr>
                <m:sty m:val="p"/>
              </m:rPr>
              <m:t>−</m:t>
            </m:r>
            <m:r>
              <m:t>1</m:t>
            </m:r>
            <m:r>
              <m:rPr>
                <m:sty m:val="p"/>
              </m:rPr>
              <m:t>/</m:t>
            </m:r>
            <m:r>
              <m:t>2</m:t>
            </m:r>
          </m:sup>
        </m:sSup>
        <m:r>
          <m:rPr>
            <m:sty m:val="p"/>
          </m:rPr>
          <m:t>)</m:t>
        </m:r>
      </m:oMath>
      <w:r>
        <w:t xml:space="preserve">, the sequential rules satisfy</w:t>
      </w:r>
      <w:r>
        <w:t xml:space="preserve"> </w:t>
      </w:r>
      <m:oMath>
        <m:r>
          <m:t>P</m:t>
        </m:r>
        <m:r>
          <m:rPr>
            <m:sty m:val="p"/>
          </m:rPr>
          <m:t>(</m:t>
        </m:r>
        <m:sSub>
          <m:e>
            <m:acc>
              <m:accPr>
                <m:chr m:val="̂"/>
              </m:accPr>
              <m:e>
                <m:r>
                  <m:t>r</m:t>
                </m:r>
              </m:e>
            </m:acc>
          </m:e>
          <m:sub>
            <m:r>
              <m:rPr>
                <m:sty m:val="p"/>
              </m:rPr>
              <m:t>j</m:t>
            </m:r>
            <m:r>
              <m:rPr>
                <m:sty m:val="p"/>
              </m:rPr>
              <m:t>o</m:t>
            </m:r>
            <m:r>
              <m:rPr>
                <m:sty m:val="p"/>
              </m:rPr>
              <m:t>i</m:t>
            </m:r>
            <m:r>
              <m:rPr>
                <m:sty m:val="p"/>
              </m:rPr>
              <m:t>n</m:t>
            </m:r>
            <m:r>
              <m:rPr>
                <m:sty m:val="p"/>
              </m:rPr>
              <m:t>t</m:t>
            </m:r>
          </m:sub>
        </m:sSub>
        <m:r>
          <m:rPr>
            <m:sty m:val="p"/>
          </m:rPr>
          <m:t>=</m:t>
        </m:r>
        <m:sSub>
          <m:e>
            <m:acc>
              <m:accPr>
                <m:chr m:val="̂"/>
              </m:accPr>
              <m:e>
                <m:r>
                  <m:t>r</m:t>
                </m:r>
              </m:e>
            </m:acc>
          </m:e>
          <m:sub>
            <m:r>
              <m:t>b</m:t>
            </m:r>
          </m:sub>
        </m:sSub>
        <m:r>
          <m:rPr>
            <m:sty m:val="p"/>
          </m:rPr>
          <m:t>=</m:t>
        </m:r>
        <m:r>
          <m:t>r</m:t>
        </m:r>
        <m:r>
          <m:rPr>
            <m:sty m:val="p"/>
          </m:rPr>
          <m:t>)</m:t>
        </m:r>
        <m:r>
          <m:rPr>
            <m:sty m:val="p"/>
          </m:rPr>
          <m:t>→</m:t>
        </m:r>
        <m:r>
          <m:t>1</m:t>
        </m:r>
      </m:oMath>
      <w:r>
        <w:t xml:space="preserve">.</w:t>
      </w:r>
    </w:p>
    <w:p>
      <w:pPr>
        <w:pStyle w:val="BodyText"/>
      </w:pPr>
      <w:r>
        <w:t xml:space="preserve">The proof is given in Appendix A.4.</w:t>
      </w:r>
    </w:p>
    <w:p>
      <w:pPr>
        <w:pStyle w:val="BodyText"/>
      </w:pPr>
      <w:r>
        <w:t xml:space="preserve">The joint rank describes systemic directions measured by W and (A,Z); conditional rank describes directions that Z supplies beyond exposure. Under the common systemic mean equations and proxy-error orthogonality, each candidate joint rank is at most the systemic dimension. A candidate spanning all directions determines the grid dimension. Conditional information then selects an identified design through Proposition 3b.</w:t>
      </w:r>
    </w:p>
    <w:p>
      <w:pPr>
        <w:pStyle w:val="BodyText"/>
      </w:pPr>
      <w:r>
        <w:rPr>
          <w:b/>
          <w:bCs/>
        </w:rPr>
        <w:t xml:space="preserve">Proposition 3a (joint readout reduction).</w:t>
      </w:r>
      <w:r>
        <w:t xml:space="preserve"> </w:t>
      </w:r>
      <w:r>
        <w:t xml:space="preserve">Under Proposition 2, let</w:t>
      </w:r>
      <w:r>
        <w:t xml:space="preserve"> </w:t>
      </w:r>
      <m:oMath>
        <m:bar>
          <m:barPr>
            <m:pos m:val="top"/>
          </m:barPr>
          <m:e>
            <m:r>
              <m:t>W</m:t>
            </m:r>
          </m:e>
        </m:bar>
      </m:oMath>
      <w:r>
        <w:t xml:space="preserve"> </w:t>
      </w:r>
      <w:r>
        <w:t xml:space="preserve">be the population linear projection of</w:t>
      </w:r>
      <w:r>
        <w:t xml:space="preserve"> </w:t>
      </w:r>
      <m:oMath>
        <m:r>
          <m:t>W</m:t>
        </m:r>
      </m:oMath>
      <w:r>
        <w:t xml:space="preserve"> </w:t>
      </w:r>
      <w:r>
        <w:t xml:space="preserve">on</w:t>
      </w:r>
      <w:r>
        <w:t xml:space="preserve"> </w:t>
      </w:r>
      <m:oMath>
        <m:r>
          <m:rPr>
            <m:sty m:val="p"/>
          </m:rPr>
          <m:t>(</m:t>
        </m:r>
        <m:r>
          <m:t>1</m:t>
        </m:r>
        <m:r>
          <m:rPr>
            <m:sty m:val="p"/>
          </m:rPr>
          <m:t>,</m:t>
        </m:r>
        <m:r>
          <m:t>A</m:t>
        </m:r>
        <m:r>
          <m:rPr>
            <m:sty m:val="p"/>
          </m:rPr>
          <m:t>,</m:t>
        </m:r>
        <m:r>
          <m:t>Z</m:t>
        </m:r>
        <m:r>
          <m:rPr>
            <m:sty m:val="p"/>
          </m:rPr>
          <m:t>,</m:t>
        </m:r>
        <m:r>
          <m:t>C</m:t>
        </m:r>
        <m:r>
          <m:rPr>
            <m:sty m:val="p"/>
          </m:rPr>
          <m:t>)</m:t>
        </m:r>
      </m:oMath>
      <w:r>
        <w:t xml:space="preserve">. The covariance of</w:t>
      </w:r>
      <w:r>
        <w:t xml:space="preserve"> </w:t>
      </w:r>
      <m:oMath>
        <m:bar>
          <m:barPr>
            <m:pos m:val="top"/>
          </m:barPr>
          <m:e>
            <m:r>
              <m:t>W</m:t>
            </m:r>
          </m:e>
        </m:bar>
      </m:oMath>
      <w:r>
        <w:t xml:space="preserve"> </w:t>
      </w:r>
      <w:r>
        <w:t xml:space="preserve">residualised on</w:t>
      </w:r>
      <w:r>
        <w:t xml:space="preserve"> </w:t>
      </w:r>
      <m:oMath>
        <m:r>
          <m:rPr>
            <m:sty m:val="p"/>
          </m:rPr>
          <m:t>(</m:t>
        </m:r>
        <m:r>
          <m:t>1</m:t>
        </m:r>
        <m:r>
          <m:rPr>
            <m:sty m:val="p"/>
          </m:rPr>
          <m:t>,</m:t>
        </m:r>
        <m:r>
          <m:t>C</m:t>
        </m:r>
        <m:r>
          <m:rPr>
            <m:sty m:val="p"/>
          </m:rPr>
          <m:t>)</m:t>
        </m:r>
      </m:oMath>
      <w:r>
        <w:t xml:space="preserve"> </w:t>
      </w:r>
      <w:r>
        <w:t xml:space="preserve">has rank</w:t>
      </w:r>
      <w:r>
        <w:t xml:space="preserve"> </w:t>
      </w:r>
      <m:oMath>
        <m:r>
          <m:t>r</m:t>
        </m:r>
      </m:oMath>
      <w:r>
        <w:t xml:space="preserve"> </w:t>
      </w:r>
      <w:r>
        <w:t xml:space="preserve">and range</w:t>
      </w:r>
      <w:r>
        <w:t xml:space="preserve"> </w:t>
      </w:r>
      <m:oMath>
        <m:r>
          <m:rPr>
            <m:sty m:val="p"/>
          </m:rPr>
          <m:t>col</m:t>
        </m:r>
        <m:r>
          <m:rPr>
            <m:sty m:val="p"/>
          </m:rPr>
          <m:t>(</m:t>
        </m:r>
        <m:sSub>
          <m:e>
            <m:r>
              <m:t>L</m:t>
            </m:r>
          </m:e>
          <m:sub>
            <m:r>
              <m:t>W</m:t>
            </m:r>
          </m:sub>
        </m:sSub>
        <m:r>
          <m:rPr>
            <m:sty m:val="p"/>
          </m:rPr>
          <m:t>)</m:t>
        </m:r>
      </m:oMath>
      <w:r>
        <w:t xml:space="preserve">. For an orthonormal basis</w:t>
      </w:r>
      <w:r>
        <w:t xml:space="preserve"> </w:t>
      </w:r>
      <m:oMath>
        <m:r>
          <m:t>P</m:t>
        </m:r>
      </m:oMath>
      <w:r>
        <w:t xml:space="preserve"> </w:t>
      </w:r>
      <w:r>
        <w:t xml:space="preserve">of that range,</w:t>
      </w:r>
      <w:r>
        <w:t xml:space="preserve"> </w:t>
      </w:r>
      <m:oMath>
        <m:sSup>
          <m:e>
            <m:r>
              <m:t>P</m:t>
            </m:r>
          </m:e>
          <m:sup>
            <m:r>
              <m:rPr>
                <m:sty m:val="p"/>
              </m:rPr>
              <m:t>⊤</m:t>
            </m:r>
          </m:sup>
        </m:sSup>
        <m:sSub>
          <m:e>
            <m:r>
              <m:t>L</m:t>
            </m:r>
          </m:e>
          <m:sub>
            <m:r>
              <m:t>W</m:t>
            </m:r>
          </m:sub>
        </m:sSub>
      </m:oMath>
      <w:r>
        <w:t xml:space="preserve"> </w:t>
      </w:r>
      <w:r>
        <w:t xml:space="preserve">is invertible. The reduced readout</w:t>
      </w:r>
      <w:r>
        <w:t xml:space="preserve"> </w:t>
      </w:r>
      <m:oMath>
        <m:r>
          <m:t>R</m:t>
        </m:r>
        <m:r>
          <m:rPr>
            <m:sty m:val="p"/>
          </m:rPr>
          <m:t>=</m:t>
        </m:r>
        <m:sSup>
          <m:e>
            <m:r>
              <m:t>P</m:t>
            </m:r>
          </m:e>
          <m:sup>
            <m:r>
              <m:rPr>
                <m:sty m:val="p"/>
              </m:rPr>
              <m:t>⊤</m:t>
            </m:r>
          </m:sup>
        </m:sSup>
        <m:r>
          <m:t>W</m:t>
        </m:r>
      </m:oMath>
      <w:r>
        <w:t xml:space="preserve"> </w:t>
      </w:r>
      <w:r>
        <w:t xml:space="preserve">has a linear outcome bridge with unique exposure coefficient</w:t>
      </w:r>
      <w:r>
        <w:t xml:space="preserve"> </w:t>
      </w:r>
      <m:oMath>
        <m:sSub>
          <m:e>
            <m:r>
              <m:t>τ</m:t>
            </m:r>
          </m:e>
          <m:sub>
            <m:r>
              <m:t>A</m:t>
            </m:r>
          </m:sub>
        </m:sSub>
      </m:oMath>
      <w:r>
        <w:t xml:space="preserve">.</w:t>
      </w:r>
    </w:p>
    <w:p>
      <w:pPr>
        <w:pStyle w:val="BodyText"/>
      </w:pPr>
      <w:r>
        <w:t xml:space="preserve">The proof is given in Appendix A.4.</w:t>
      </w:r>
    </w:p>
    <w:p>
      <w:pPr>
        <w:pStyle w:val="BodyText"/>
      </w:pPr>
      <w:r>
        <w:t xml:space="preserve">This reduction uses joint information to estimate readout coordinates and conditional information to identify the effect. A factor direction strongly measured by exposure can have a well-separated joint readout space while its treatment-proxy information is weaker after exposure residualisation. The population reductions span the same space under full rank; their finite-sample signal differs.</w:t>
      </w:r>
    </w:p>
    <w:p>
      <w:pPr>
        <w:pStyle w:val="BodyText"/>
      </w:pPr>
      <w:r>
        <w:t xml:space="preserve">For the finite design set</w:t>
      </w:r>
      <w:r>
        <w:t xml:space="preserve"> </w:t>
      </w:r>
      <m:oMath>
        <m:r>
          <m:rPr>
            <m:scr m:val="script"/>
            <m:sty m:val="p"/>
          </m:rPr>
          <m:t>D</m:t>
        </m:r>
      </m:oMath>
      <w:r>
        <w:t xml:space="preserve">, let</w:t>
      </w:r>
      <w:r>
        <w:t xml:space="preserve"> </w:t>
      </w:r>
      <m:oMath>
        <m:sSub>
          <m:e>
            <m:r>
              <m:t>q</m:t>
            </m:r>
          </m:e>
          <m:sub>
            <m:r>
              <m:t>d</m:t>
            </m:r>
          </m:sub>
        </m:sSub>
      </m:oMath>
      <w:r>
        <w:t xml:space="preserve"> </w:t>
      </w:r>
      <w:r>
        <w:t xml:space="preserve">be the joint readout rank and</w:t>
      </w:r>
      <w:r>
        <w:t xml:space="preserve"> </w:t>
      </w:r>
      <m:oMath>
        <m:r>
          <m:t>r</m:t>
        </m:r>
        <m:r>
          <m:rPr>
            <m:sty m:val="p"/>
          </m:rPr>
          <m:t>=</m:t>
        </m:r>
        <m:sSub>
          <m:e>
            <m:r>
              <m:rPr>
                <m:sty m:val="p"/>
              </m:rPr>
              <m:t>max</m:t>
            </m:r>
          </m:e>
          <m:sub>
            <m:r>
              <m:t>d</m:t>
            </m:r>
          </m:sub>
        </m:sSub>
        <m:sSub>
          <m:e>
            <m:r>
              <m:t>q</m:t>
            </m:r>
          </m:e>
          <m:sub>
            <m:r>
              <m:t>d</m:t>
            </m:r>
          </m:sub>
        </m:sSub>
      </m:oMath>
      <w:r>
        <w:t xml:space="preserve">. Let</w:t>
      </w:r>
      <w:r>
        <w:t xml:space="preserve"> </w:t>
      </w:r>
      <m:oMath>
        <m:sSub>
          <m:e>
            <m:r>
              <m:t>P</m:t>
            </m:r>
          </m:e>
          <m:sub>
            <m:r>
              <m:t>d</m:t>
            </m:r>
          </m:sub>
        </m:sSub>
      </m:oMath>
      <w:r>
        <w:t xml:space="preserve"> </w:t>
      </w:r>
      <w:r>
        <w:t xml:space="preserve">span the joint fitted-readout space at dimension</w:t>
      </w:r>
      <w:r>
        <w:t xml:space="preserve"> </w:t>
      </w:r>
      <m:oMath>
        <m:r>
          <m:t>r</m:t>
        </m:r>
      </m:oMath>
      <w:r>
        <w:t xml:space="preserve"> </w:t>
      </w:r>
      <w:r>
        <w:t xml:space="preserve">for candidates with</w:t>
      </w:r>
      <w:r>
        <w:t xml:space="preserve"> </w:t>
      </w:r>
      <m:oMath>
        <m:sSub>
          <m:e>
            <m:r>
              <m:t>q</m:t>
            </m:r>
          </m:e>
          <m:sub>
            <m:r>
              <m:t>d</m:t>
            </m:r>
          </m:sub>
        </m:sSub>
        <m:r>
          <m:rPr>
            <m:sty m:val="p"/>
          </m:rPr>
          <m:t>=</m:t>
        </m:r>
        <m:r>
          <m:t>r</m:t>
        </m:r>
      </m:oMath>
      <w:r>
        <w:t xml:space="preserve">. Write</w:t>
      </w:r>
      <w:r>
        <w:t xml:space="preserve"> </w:t>
      </w:r>
      <m:oMath>
        <m:sSub>
          <m:e>
            <m:r>
              <m:t>R</m:t>
            </m:r>
          </m:e>
          <m:sub>
            <m:r>
              <m:t>d</m:t>
            </m:r>
          </m:sub>
        </m:sSub>
        <m:r>
          <m:rPr>
            <m:sty m:val="p"/>
          </m:rPr>
          <m:t>=</m:t>
        </m:r>
        <m:sSubSup>
          <m:e>
            <m:r>
              <m:t>P</m:t>
            </m:r>
          </m:e>
          <m:sub>
            <m:r>
              <m:t>d</m:t>
            </m:r>
          </m:sub>
          <m:sup>
            <m:r>
              <m:rPr>
                <m:sty m:val="p"/>
              </m:rPr>
              <m:t>⊤</m:t>
            </m:r>
          </m:sup>
        </m:sSubSup>
        <m:sSub>
          <m:e>
            <m:r>
              <m:t>W</m:t>
            </m:r>
          </m:e>
          <m:sub>
            <m:r>
              <m:t>d</m:t>
            </m:r>
          </m:sub>
        </m:sSub>
      </m:oMath>
      <w:r>
        <w:t xml:space="preserve">, and let</w:t>
      </w:r>
      <w:r>
        <w:t xml:space="preserve"> </w:t>
      </w:r>
      <m:oMath>
        <m:sSub>
          <m:e>
            <m:r>
              <m:t>k</m:t>
            </m:r>
          </m:e>
          <m:sub>
            <m:r>
              <m:t>d</m:t>
            </m:r>
          </m:sub>
        </m:sSub>
      </m:oMath>
      <w:r>
        <w:t xml:space="preserve"> </w:t>
      </w:r>
      <w:r>
        <w:t xml:space="preserve">be the</w:t>
      </w:r>
      <w:r>
        <w:t xml:space="preserve"> </w:t>
      </w:r>
      <w:r>
        <w:t xml:space="preserve">rank of</w:t>
      </w:r>
      <w:r>
        <w:t xml:space="preserve"> </w:t>
      </w:r>
      <m:oMath>
        <m:r>
          <m:rPr>
            <m:sty m:val="p"/>
          </m:rPr>
          <m:t>Cov</m:t>
        </m:r>
        <m:r>
          <m:rPr>
            <m:sty m:val="p"/>
          </m:rPr>
          <m:t>(</m:t>
        </m:r>
        <m:sSub>
          <m:e>
            <m:r>
              <m:t>R</m:t>
            </m:r>
          </m:e>
          <m:sub>
            <m:r>
              <m:t>d</m:t>
            </m:r>
          </m:sub>
        </m:sSub>
        <m:r>
          <m:rPr>
            <m:sty m:val="p"/>
          </m:rPr>
          <m:t>,</m:t>
        </m:r>
        <m:sSub>
          <m:e>
            <m:r>
              <m:t>Z</m:t>
            </m:r>
          </m:e>
          <m:sub>
            <m:r>
              <m:t>d</m:t>
            </m:r>
          </m:sub>
        </m:sSub>
        <m:r>
          <m:rPr>
            <m:sty m:val="p"/>
          </m:rPr>
          <m:t>∣</m:t>
        </m:r>
        <m:r>
          <m:t>1</m:t>
        </m:r>
        <m:r>
          <m:rPr>
            <m:sty m:val="p"/>
          </m:rPr>
          <m:t>,</m:t>
        </m:r>
        <m:r>
          <m:t>A</m:t>
        </m:r>
        <m:r>
          <m:rPr>
            <m:sty m:val="p"/>
          </m:rPr>
          <m:t>,</m:t>
        </m:r>
        <m:r>
          <m:t>C</m:t>
        </m:r>
        <m:r>
          <m:rPr>
            <m:sty m:val="p"/>
          </m:rPr>
          <m:t>)</m:t>
        </m:r>
      </m:oMath>
      <w:r>
        <w:t xml:space="preserve">. Define</w:t>
      </w:r>
    </w:p>
    <w:p>
      <w:pPr>
        <w:pStyle w:val="BodyText"/>
      </w:pPr>
      <m:oMathPara>
        <m:oMathParaPr>
          <m:jc m:val="center"/>
        </m:oMathParaPr>
        <m:oMath>
          <m:r>
            <m:rPr>
              <m:scr m:val="script"/>
              <m:sty m:val="p"/>
            </m:rPr>
            <m:t>E</m:t>
          </m:r>
          <m:r>
            <m:rPr>
              <m:sty m:val="p"/>
            </m:rPr>
            <m:t>=</m:t>
          </m:r>
          <m:r>
            <m:rPr>
              <m:sty m:val="p"/>
            </m:rPr>
            <m:t>{</m:t>
          </m:r>
          <m:r>
            <m:t>d</m:t>
          </m:r>
          <m:r>
            <m:rPr>
              <m:sty m:val="p"/>
            </m:rPr>
            <m:t>:</m:t>
          </m:r>
          <m:sSub>
            <m:e>
              <m:r>
                <m:t>q</m:t>
              </m:r>
            </m:e>
            <m:sub>
              <m:r>
                <m:t>d</m:t>
              </m:r>
            </m:sub>
          </m:sSub>
          <m:r>
            <m:rPr>
              <m:sty m:val="p"/>
            </m:rPr>
            <m:t>=</m:t>
          </m:r>
          <m:r>
            <m:t>r</m:t>
          </m:r>
          <m:r>
            <m:rPr>
              <m:sty m:val="p"/>
            </m:rPr>
            <m:t>,</m:t>
          </m:r>
          <m:r>
            <m:t> </m:t>
          </m:r>
          <m:sSub>
            <m:e>
              <m:r>
                <m:t>k</m:t>
              </m:r>
            </m:e>
            <m:sub>
              <m:r>
                <m:t>d</m:t>
              </m:r>
            </m:sub>
          </m:sSub>
          <m:r>
            <m:rPr>
              <m:sty m:val="p"/>
            </m:rPr>
            <m:t>=</m:t>
          </m:r>
          <m:r>
            <m:t>r</m:t>
          </m:r>
          <m:r>
            <m:rPr>
              <m:sty m:val="p"/>
            </m:rPr>
            <m:t>,</m:t>
          </m:r>
          <m:r>
            <m:t> </m:t>
          </m:r>
          <m:r>
            <m:rPr>
              <m:sty m:val="p"/>
            </m:rPr>
            <m:t>min</m:t>
          </m:r>
          <m:r>
            <m:rPr>
              <m:sty m:val="p"/>
            </m:rPr>
            <m:t>(</m:t>
          </m:r>
          <m:r>
            <m:rPr>
              <m:sty m:val="p"/>
            </m:rPr>
            <m:t>|</m:t>
          </m:r>
          <m:sSub>
            <m:e>
              <m:r>
                <m:t>W</m:t>
              </m:r>
            </m:e>
            <m:sub>
              <m:r>
                <m:t>d</m:t>
              </m:r>
            </m:sub>
          </m:sSub>
          <m:r>
            <m:rPr>
              <m:sty m:val="p"/>
            </m:rPr>
            <m:t>|</m:t>
          </m:r>
          <m:r>
            <m:rPr>
              <m:sty m:val="p"/>
            </m:rPr>
            <m:t>,</m:t>
          </m:r>
          <m:r>
            <m:rPr>
              <m:sty m:val="p"/>
            </m:rPr>
            <m:t>|</m:t>
          </m:r>
          <m:sSub>
            <m:e>
              <m:r>
                <m:t>Z</m:t>
              </m:r>
            </m:e>
            <m:sub>
              <m:r>
                <m:t>d</m:t>
              </m:r>
            </m:sub>
          </m:sSub>
          <m:r>
            <m:rPr>
              <m:sty m:val="p"/>
            </m:rPr>
            <m:t>|</m:t>
          </m:r>
          <m:r>
            <m:rPr>
              <m:sty m:val="p"/>
            </m:rPr>
            <m:t>)</m:t>
          </m:r>
          <m:r>
            <m:rPr>
              <m:sty m:val="p"/>
            </m:rPr>
            <m:t>≥</m:t>
          </m:r>
          <m:r>
            <m:t>r</m:t>
          </m:r>
          <m:r>
            <m:rPr>
              <m:sty m:val="p"/>
            </m:rPr>
            <m:t>}</m:t>
          </m:r>
          <m:r>
            <m:rPr>
              <m:sty m:val="p"/>
            </m:rPr>
            <m:t>,</m:t>
          </m:r>
          <m:r>
            <m:t>  </m:t>
          </m:r>
          <m:sSub>
            <m:e>
              <m:r>
                <m:t>γ</m:t>
              </m:r>
            </m:e>
            <m:sub>
              <m:r>
                <m:t>d</m:t>
              </m:r>
            </m:sub>
          </m:sSub>
          <m:r>
            <m:rPr>
              <m:sty m:val="p"/>
            </m:rPr>
            <m:t>=</m:t>
          </m:r>
          <m:sSub>
            <m:e>
              <m:r>
                <m:t>σ</m:t>
              </m:r>
            </m:e>
            <m:sub>
              <m:r>
                <m:t>r</m:t>
              </m:r>
            </m:sub>
          </m:sSub>
          <m:r>
            <m:rPr>
              <m:sty m:val="p"/>
            </m:rPr>
            <m:t>{</m:t>
          </m:r>
          <m:r>
            <m:rPr>
              <m:sty m:val="p"/>
            </m:rPr>
            <m:t>Cor</m:t>
          </m:r>
          <m:r>
            <m:rPr>
              <m:sty m:val="p"/>
            </m:rPr>
            <m:t>(</m:t>
          </m:r>
          <m:sSub>
            <m:e>
              <m:acc>
                <m:accPr>
                  <m:chr m:val="̃"/>
                </m:accPr>
                <m:e>
                  <m:r>
                    <m:t>R</m:t>
                  </m:r>
                </m:e>
              </m:acc>
            </m:e>
            <m:sub>
              <m:r>
                <m:t>d</m:t>
              </m:r>
            </m:sub>
          </m:sSub>
          <m:r>
            <m:rPr>
              <m:sty m:val="p"/>
            </m:rPr>
            <m:t>,</m:t>
          </m:r>
          <m:sSub>
            <m:e>
              <m:acc>
                <m:accPr>
                  <m:chr m:val="̃"/>
                </m:accPr>
                <m:e>
                  <m:r>
                    <m:t>Z</m:t>
                  </m:r>
                </m:e>
              </m:acc>
            </m:e>
            <m:sub>
              <m:r>
                <m:t>d</m:t>
              </m:r>
            </m:sub>
          </m:sSub>
          <m:r>
            <m:rPr>
              <m:sty m:val="p"/>
            </m:rPr>
            <m:t>)</m:t>
          </m:r>
          <m:r>
            <m:rPr>
              <m:sty m:val="p"/>
            </m:rPr>
            <m:t>}</m:t>
          </m:r>
          <m:r>
            <m:rPr>
              <m:sty m:val="p"/>
            </m:rPr>
            <m:t>.</m:t>
          </m:r>
        </m:oMath>
      </m:oMathPara>
    </w:p>
    <w:p>
      <w:pPr>
        <w:pStyle w:val="FirstParagraph"/>
      </w:pPr>
      <w:r>
        <w:t xml:space="preserve">Correlation here means covariance whitening of each residual view, with</w:t>
      </w:r>
      <w:r>
        <w:t xml:space="preserve"> </w:t>
      </w:r>
      <w:r>
        <w:t xml:space="preserve">tildes removing</w:t>
      </w:r>
      <w:r>
        <w:t xml:space="preserve"> </w:t>
      </w:r>
      <m:oMath>
        <m:r>
          <m:rPr>
            <m:sty m:val="p"/>
          </m:rPr>
          <m:t>(</m:t>
        </m:r>
        <m:r>
          <m:t>1</m:t>
        </m:r>
        <m:r>
          <m:rPr>
            <m:sty m:val="p"/>
          </m:rPr>
          <m:t>,</m:t>
        </m:r>
        <m:r>
          <m:t>A</m:t>
        </m:r>
        <m:r>
          <m:rPr>
            <m:sty m:val="p"/>
          </m:rPr>
          <m:t>,</m:t>
        </m:r>
        <m:r>
          <m:t>C</m:t>
        </m:r>
        <m:r>
          <m:rPr>
            <m:sty m:val="p"/>
          </m:rPr>
          <m:t>)</m:t>
        </m:r>
      </m:oMath>
      <w:r>
        <w:t xml:space="preserve">. The population design maximises</w:t>
      </w:r>
      <w:r>
        <w:t xml:space="preserve"> </w:t>
      </w:r>
      <m:oMath>
        <m:sSub>
          <m:e>
            <m:r>
              <m:t>γ</m:t>
            </m:r>
          </m:e>
          <m:sub>
            <m:r>
              <m:t>d</m:t>
            </m:r>
          </m:sub>
        </m:sSub>
      </m:oMath>
      <w:r>
        <w:t xml:space="preserve"> </w:t>
      </w:r>
      <w:r>
        <w:t xml:space="preserve">within</w:t>
      </w:r>
      <w:r>
        <w:t xml:space="preserve"> </w:t>
      </w:r>
      <m:oMath>
        <m:r>
          <m:rPr>
            <m:scr m:val="script"/>
            <m:sty m:val="p"/>
          </m:rPr>
          <m:t>E</m:t>
        </m:r>
      </m:oMath>
      <w:r>
        <w:t xml:space="preserve">; the algorithm estimates ranks and roots with fixed grid order</w:t>
      </w:r>
      <w:r>
        <w:t xml:space="preserve"> </w:t>
      </w:r>
      <w:r>
        <w:t xml:space="preserve">for identical designs and exact ties.</w:t>
      </w:r>
    </w:p>
    <w:p>
      <w:pPr>
        <w:pStyle w:val="BodyText"/>
      </w:pPr>
      <w:r>
        <w:rPr>
          <w:b/>
          <w:bCs/>
        </w:rPr>
        <w:t xml:space="preserve">Proposition 3b (selection of an identified design).</w:t>
      </w:r>
      <w:r>
        <w:t xml:space="preserve"> </w:t>
      </w:r>
      <w:r>
        <w:t xml:space="preserve">Assume the common</w:t>
      </w:r>
      <w:r>
        <w:t xml:space="preserve"> </w:t>
      </w:r>
      <w:r>
        <w:t xml:space="preserve">systemic mean model and proxy-error orthogonality of Proposition 2 apply to</w:t>
      </w:r>
      <w:r>
        <w:t xml:space="preserve"> </w:t>
      </w:r>
      <w:r>
        <w:t xml:space="preserve">every limiting candidate. All joint ranks are at most</w:t>
      </w:r>
      <w:r>
        <w:t xml:space="preserve"> </w:t>
      </w:r>
      <m:oMath>
        <m:sSub>
          <m:e>
            <m:r>
              <m:t>r</m:t>
            </m:r>
          </m:e>
          <m:sub>
            <m:r>
              <m:t>0</m:t>
            </m:r>
          </m:sub>
        </m:sSub>
      </m:oMath>
      <w:r>
        <w:t xml:space="preserve">, the systemic</w:t>
      </w:r>
      <w:r>
        <w:t xml:space="preserve"> </w:t>
      </w:r>
      <w:r>
        <w:t xml:space="preserve">dimension. Suppose a candidate has joint rank</w:t>
      </w:r>
      <w:r>
        <w:t xml:space="preserve"> </w:t>
      </w:r>
      <m:oMath>
        <m:sSub>
          <m:e>
            <m:r>
              <m:t>r</m:t>
            </m:r>
          </m:e>
          <m:sub>
            <m:r>
              <m:t>0</m:t>
            </m:r>
          </m:sub>
        </m:sSub>
      </m:oMath>
      <w:r>
        <w:t xml:space="preserve">, full outcome-proxy</w:t>
      </w:r>
      <w:r>
        <w:t xml:space="preserve"> </w:t>
      </w:r>
      <w:r>
        <w:t xml:space="preserve">loading rank</w:t>
      </w:r>
      <w:r>
        <w:t xml:space="preserve"> </w:t>
      </w:r>
      <m:oMath>
        <m:sSub>
          <m:e>
            <m:r>
              <m:t>r</m:t>
            </m:r>
          </m:e>
          <m:sub>
            <m:r>
              <m:t>0</m:t>
            </m:r>
          </m:sub>
        </m:sSub>
      </m:oMath>
      <w:r>
        <w:t xml:space="preserve">, and conditional treatment-proxy rank</w:t>
      </w:r>
      <w:r>
        <w:t xml:space="preserve"> </w:t>
      </w:r>
      <m:oMath>
        <m:sSub>
          <m:e>
            <m:r>
              <m:t>r</m:t>
            </m:r>
          </m:e>
          <m:sub>
            <m:r>
              <m:t>0</m:t>
            </m:r>
          </m:sub>
        </m:sSub>
      </m:oMath>
      <w:r>
        <w:t xml:space="preserve">. Assume the</w:t>
      </w:r>
      <w:r>
        <w:t xml:space="preserve"> </w:t>
      </w:r>
      <w:r>
        <w:t xml:space="preserve">joint spaces are separated, rank decisions are consistent, and</w:t>
      </w:r>
      <w:r>
        <w:t xml:space="preserve"> </w:t>
      </w:r>
      <m:oMath>
        <m:sSub>
          <m:e>
            <m:r>
              <m:t>γ</m:t>
            </m:r>
          </m:e>
          <m:sub>
            <m:r>
              <m:t>d</m:t>
            </m:r>
          </m:sub>
        </m:sSub>
      </m:oMath>
      <w:r>
        <w:t xml:space="preserve"> </w:t>
      </w:r>
      <w:r>
        <w:t xml:space="preserve">has a unique maximum among distinct role designs in</w:t>
      </w:r>
      <w:r>
        <w:t xml:space="preserve"> </w:t>
      </w:r>
      <m:oMath>
        <m:r>
          <m:rPr>
            <m:scr m:val="script"/>
            <m:sty m:val="p"/>
          </m:rPr>
          <m:t>E</m:t>
        </m:r>
      </m:oMath>
      <w:r>
        <w:t xml:space="preserve">. Then the</w:t>
      </w:r>
      <w:r>
        <w:t xml:space="preserve"> </w:t>
      </w:r>
      <w:r>
        <w:t xml:space="preserve">empirical eligible set converges to</w:t>
      </w:r>
      <w:r>
        <w:t xml:space="preserve"> </w:t>
      </w:r>
      <m:oMath>
        <m:r>
          <m:rPr>
            <m:scr m:val="script"/>
            <m:sty m:val="p"/>
          </m:rPr>
          <m:t>E</m:t>
        </m:r>
      </m:oMath>
      <w:r>
        <w:t xml:space="preserve">, its dimension converges to</w:t>
      </w:r>
      <w:r>
        <w:t xml:space="preserve"> </w:t>
      </w:r>
      <m:oMath>
        <m:sSub>
          <m:e>
            <m:r>
              <m:t>r</m:t>
            </m:r>
          </m:e>
          <m:sub>
            <m:r>
              <m:t>0</m:t>
            </m:r>
          </m:sub>
        </m:sSub>
      </m:oMath>
      <w:r>
        <w:t xml:space="preserve">, and the selected design identifies the total-effect coefficient. Its</w:t>
      </w:r>
      <w:r>
        <w:t xml:space="preserve"> </w:t>
      </w:r>
      <w:r>
        <w:t xml:space="preserve">readout bridge is that of Proposition 3a.</w:t>
      </w:r>
    </w:p>
    <w:p>
      <w:pPr>
        <w:pStyle w:val="BodyText"/>
      </w:pPr>
      <w:r>
        <w:t xml:space="preserve">The proof is given in Appendix A.4.</w:t>
      </w:r>
    </w:p>
    <w:bookmarkEnd w:id="25"/>
    <w:bookmarkStart w:id="26" w:name="X4858f3333069a8b757db43aef72be6219818802"/>
    <w:p>
      <w:pPr>
        <w:pStyle w:val="Heading2"/>
      </w:pPr>
      <w:r>
        <w:t xml:space="preserve">4.4 Propagated factors and network information</w:t>
      </w:r>
    </w:p>
    <w:p>
      <w:pPr>
        <w:pStyle w:val="FirstParagraph"/>
      </w:pPr>
      <w:r>
        <w:t xml:space="preserve">Write</w:t>
      </w:r>
      <w:r>
        <w:t xml:space="preserve"> </w:t>
      </w:r>
      <m:oMath>
        <m:r>
          <m:t>U</m:t>
        </m:r>
        <m:r>
          <m:rPr>
            <m:sty m:val="p"/>
          </m:rPr>
          <m:t>=</m:t>
        </m:r>
        <m:r>
          <m:t>U</m:t>
        </m:r>
        <m:r>
          <m:rPr>
            <m:sty m:val="p"/>
          </m:rPr>
          <m:t>Θ</m:t>
        </m:r>
        <m:r>
          <m:rPr>
            <m:sty m:val="p"/>
          </m:rPr>
          <m:t>+</m:t>
        </m:r>
        <m:r>
          <m:t>F</m:t>
        </m:r>
        <m:sSup>
          <m:e>
            <m:r>
              <m:rPr>
                <m:sty m:val="p"/>
              </m:rPr>
              <m:t>Λ</m:t>
            </m:r>
          </m:e>
          <m:sup>
            <m:r>
              <m:rPr>
                <m:sty m:val="p"/>
              </m:rPr>
              <m:t>⊤</m:t>
            </m:r>
          </m:sup>
        </m:sSup>
        <m:r>
          <m:rPr>
            <m:sty m:val="p"/>
          </m:rPr>
          <m:t>+</m:t>
        </m:r>
        <m:r>
          <m:t>E</m:t>
        </m:r>
      </m:oMath>
      <w:r>
        <w:t xml:space="preserve"> </w:t>
      </w:r>
      <w:r>
        <w:t xml:space="preserve">and</w:t>
      </w:r>
      <w:r>
        <w:t xml:space="preserve"> </w:t>
      </w:r>
      <m:oMath>
        <m:r>
          <m:t>B</m:t>
        </m:r>
        <m:r>
          <m:rPr>
            <m:sty m:val="p"/>
          </m:rPr>
          <m:t>=</m:t>
        </m:r>
        <m:r>
          <m:rPr>
            <m:sty m:val="p"/>
          </m:rPr>
          <m:t>(</m:t>
        </m:r>
        <m:r>
          <m:t>I</m:t>
        </m:r>
        <m:r>
          <m:rPr>
            <m:sty m:val="p"/>
          </m:rPr>
          <m:t>−</m:t>
        </m:r>
        <m:r>
          <m:rPr>
            <m:sty m:val="p"/>
          </m:rPr>
          <m:t>Θ</m:t>
        </m:r>
        <m:sSup>
          <m:e>
            <m:r>
              <m:rPr>
                <m:sty m:val="p"/>
              </m:rPr>
              <m:t>)</m:t>
            </m:r>
          </m:e>
          <m:sup>
            <m:r>
              <m:rPr>
                <m:sty m:val="p"/>
              </m:rPr>
              <m:t>−</m:t>
            </m:r>
            <m:r>
              <m:t>1</m:t>
            </m:r>
          </m:sup>
        </m:sSup>
      </m:oMath>
      <w:r>
        <w:t xml:space="preserve">. Assume</w:t>
      </w:r>
      <w:r>
        <w:t xml:space="preserve"> </w:t>
      </w:r>
      <m:oMath>
        <m:r>
          <m:rPr>
            <m:sty m:val="p"/>
          </m:rPr>
          <m:t>Var</m:t>
        </m:r>
        <m:r>
          <m:rPr>
            <m:sty m:val="p"/>
          </m:rPr>
          <m:t>(</m:t>
        </m:r>
        <m:r>
          <m:t>F</m:t>
        </m:r>
        <m:r>
          <m:rPr>
            <m:sty m:val="p"/>
          </m:rPr>
          <m:t>)</m:t>
        </m:r>
        <m:r>
          <m:rPr>
            <m:sty m:val="p"/>
          </m:rPr>
          <m:t>=</m:t>
        </m:r>
        <m:sSub>
          <m:e>
            <m:r>
              <m:t>I</m:t>
            </m:r>
          </m:e>
          <m:sub>
            <m:r>
              <m:t>r</m:t>
            </m:r>
          </m:sub>
        </m:sSub>
      </m:oMath>
      <w:r>
        <w:t xml:space="preserve">,</w:t>
      </w:r>
      <w:r>
        <w:t xml:space="preserve"> </w:t>
      </w:r>
      <m:oMath>
        <m:r>
          <m:t>F</m:t>
        </m:r>
      </m:oMath>
      <w:r>
        <w:t xml:space="preserve"> </w:t>
      </w:r>
      <w:r>
        <w:t xml:space="preserve">independent of</w:t>
      </w:r>
      <w:r>
        <w:t xml:space="preserve"> </w:t>
      </w:r>
      <m:oMath>
        <m:r>
          <m:t>E</m:t>
        </m:r>
      </m:oMath>
      <w:r>
        <w:t xml:space="preserve">, and positive diagonal</w:t>
      </w:r>
      <w:r>
        <w:t xml:space="preserve"> </w:t>
      </w:r>
      <m:oMath>
        <m:r>
          <m:rPr>
            <m:sty m:val="p"/>
          </m:rPr>
          <m:t>Ψ</m:t>
        </m:r>
        <m:r>
          <m:rPr>
            <m:sty m:val="p"/>
          </m:rPr>
          <m:t>=</m:t>
        </m:r>
        <m:r>
          <m:rPr>
            <m:sty m:val="p"/>
          </m:rPr>
          <m:t>Var</m:t>
        </m:r>
        <m:r>
          <m:rPr>
            <m:sty m:val="p"/>
          </m:rPr>
          <m:t>(</m:t>
        </m:r>
        <m:r>
          <m:t>E</m:t>
        </m:r>
        <m:r>
          <m:rPr>
            <m:sty m:val="p"/>
          </m:rPr>
          <m:t>)</m:t>
        </m:r>
      </m:oMath>
      <w:r>
        <w:t xml:space="preserve">.</w:t>
      </w:r>
    </w:p>
    <w:p>
      <w:pPr>
        <w:pStyle w:val="BodyText"/>
      </w:pPr>
      <w:r>
        <w:rPr>
          <w:b/>
          <w:bCs/>
        </w:rPr>
        <w:t xml:space="preserve">Proposition 4 (factor propagation and precision structure).</w:t>
      </w:r>
      <w:r>
        <w:t xml:space="preserve"> </w:t>
      </w:r>
      <w:r>
        <w:t xml:space="preserve">If</w:t>
      </w:r>
      <w:r>
        <w:t xml:space="preserve"> </w:t>
      </w:r>
      <m:oMath>
        <m:r>
          <m:t>F</m:t>
        </m:r>
      </m:oMath>
      <w:r>
        <w:t xml:space="preserve"> </w:t>
      </w:r>
      <w:r>
        <w:t xml:space="preserve">and</w:t>
      </w:r>
      <w:r>
        <w:t xml:space="preserve"> </w:t>
      </w:r>
      <m:oMath>
        <m:r>
          <m:rPr>
            <m:sty m:val="p"/>
          </m:rPr>
          <m:t>Λ</m:t>
        </m:r>
      </m:oMath>
      <w:r>
        <w:t xml:space="preserve"> </w:t>
      </w:r>
      <w:r>
        <w:t xml:space="preserve">have column rank</w:t>
      </w:r>
      <w:r>
        <w:t xml:space="preserve"> </w:t>
      </w:r>
      <m:oMath>
        <m:r>
          <m:t>r</m:t>
        </m:r>
      </m:oMath>
      <w:r>
        <w:t xml:space="preserve">, the signal</w:t>
      </w:r>
      <w:r>
        <w:t xml:space="preserve"> </w:t>
      </w:r>
      <m:oMath>
        <m:r>
          <m:t>F</m:t>
        </m:r>
        <m:sSup>
          <m:e>
            <m:r>
              <m:rPr>
                <m:sty m:val="p"/>
              </m:rPr>
              <m:t>Λ</m:t>
            </m:r>
          </m:e>
          <m:sup>
            <m:r>
              <m:rPr>
                <m:sty m:val="p"/>
              </m:rPr>
              <m:t>⊤</m:t>
            </m:r>
          </m:sup>
        </m:sSup>
        <m:r>
          <m:t>B</m:t>
        </m:r>
      </m:oMath>
      <w:r>
        <w:t xml:space="preserve"> </w:t>
      </w:r>
      <w:r>
        <w:t xml:space="preserve">has column space</w:t>
      </w:r>
      <w:r>
        <w:t xml:space="preserve"> </w:t>
      </w:r>
      <m:oMath>
        <m:r>
          <m:rPr>
            <m:sty m:val="p"/>
          </m:rPr>
          <m:t>span</m:t>
        </m:r>
        <m:r>
          <m:rPr>
            <m:sty m:val="p"/>
          </m:rPr>
          <m:t>(</m:t>
        </m:r>
        <m:r>
          <m:t>F</m:t>
        </m:r>
        <m:r>
          <m:rPr>
            <m:sty m:val="p"/>
          </m:rPr>
          <m:t>)</m:t>
        </m:r>
      </m:oMath>
      <w:r>
        <w:t xml:space="preserve">. The precision of a molecular row is</w:t>
      </w:r>
    </w:p>
    <w:p>
      <w:pPr>
        <w:pStyle w:val="BodyText"/>
      </w:pPr>
      <m:oMathPara>
        <m:oMathParaPr>
          <m:jc m:val="center"/>
        </m:oMathParaPr>
        <m:oMath>
          <m:r>
            <m:rPr>
              <m:sty m:val="p"/>
            </m:rPr>
            <m:t>Ω</m:t>
          </m:r>
          <m:r>
            <m:rPr>
              <m:sty m:val="p"/>
            </m:rPr>
            <m:t>=</m:t>
          </m:r>
          <m:r>
            <m:rPr>
              <m:sty m:val="p"/>
            </m:rPr>
            <m:t>(</m:t>
          </m:r>
          <m:r>
            <m:t>I</m:t>
          </m:r>
          <m:r>
            <m:rPr>
              <m:sty m:val="p"/>
            </m:rPr>
            <m:t>−</m:t>
          </m:r>
          <m:r>
            <m:rPr>
              <m:sty m:val="p"/>
            </m:rPr>
            <m:t>Θ</m:t>
          </m:r>
          <m:r>
            <m:rPr>
              <m:sty m:val="p"/>
            </m:rPr>
            <m:t>)</m:t>
          </m:r>
          <m:sSup>
            <m:e>
              <m:r>
                <m:rPr>
                  <m:sty m:val="p"/>
                </m:rPr>
                <m:t>Ψ</m:t>
              </m:r>
            </m:e>
            <m:sup>
              <m:r>
                <m:rPr>
                  <m:sty m:val="p"/>
                </m:rPr>
                <m:t>−</m:t>
              </m:r>
              <m:r>
                <m:t>1</m:t>
              </m:r>
            </m:sup>
          </m:sSup>
          <m:r>
            <m:rPr>
              <m:sty m:val="p"/>
            </m:rPr>
            <m:t>(</m:t>
          </m:r>
          <m:r>
            <m:t>I</m:t>
          </m:r>
          <m:r>
            <m:rPr>
              <m:sty m:val="p"/>
            </m:rPr>
            <m:t>−</m:t>
          </m:r>
          <m:r>
            <m:rPr>
              <m:sty m:val="p"/>
            </m:rPr>
            <m:t>Θ</m:t>
          </m:r>
          <m:sSup>
            <m:e>
              <m:r>
                <m:rPr>
                  <m:sty m:val="p"/>
                </m:rPr>
                <m:t>)</m:t>
              </m:r>
            </m:e>
            <m:sup>
              <m:r>
                <m:rPr>
                  <m:sty m:val="p"/>
                </m:rPr>
                <m:t>⊤</m:t>
              </m:r>
            </m:sup>
          </m:sSup>
          <m:r>
            <m:rPr>
              <m:sty m:val="p"/>
            </m:rPr>
            <m:t>−</m:t>
          </m:r>
          <m:acc>
            <m:accPr>
              <m:chr m:val="̃"/>
            </m:accPr>
            <m:e>
              <m:r>
                <m:rPr>
                  <m:sty m:val="p"/>
                </m:rPr>
                <m:t>Λ</m:t>
              </m:r>
            </m:e>
          </m:acc>
          <m:r>
            <m:rPr>
              <m:sty m:val="p"/>
            </m:rPr>
            <m:t>(</m:t>
          </m:r>
          <m:sSub>
            <m:e>
              <m:r>
                <m:t>I</m:t>
              </m:r>
            </m:e>
            <m:sub>
              <m:r>
                <m:t>r</m:t>
              </m:r>
            </m:sub>
          </m:sSub>
          <m:r>
            <m:rPr>
              <m:sty m:val="p"/>
            </m:rPr>
            <m:t>+</m:t>
          </m:r>
          <m:sSup>
            <m:e>
              <m:r>
                <m:rPr>
                  <m:sty m:val="p"/>
                </m:rPr>
                <m:t>Λ</m:t>
              </m:r>
            </m:e>
            <m:sup>
              <m:r>
                <m:rPr>
                  <m:sty m:val="p"/>
                </m:rPr>
                <m:t>⊤</m:t>
              </m:r>
            </m:sup>
          </m:sSup>
          <m:sSup>
            <m:e>
              <m:r>
                <m:rPr>
                  <m:sty m:val="p"/>
                </m:rPr>
                <m:t>Ψ</m:t>
              </m:r>
            </m:e>
            <m:sup>
              <m:r>
                <m:rPr>
                  <m:sty m:val="p"/>
                </m:rPr>
                <m:t>−</m:t>
              </m:r>
              <m:r>
                <m:t>1</m:t>
              </m:r>
            </m:sup>
          </m:sSup>
          <m:r>
            <m:rPr>
              <m:sty m:val="p"/>
            </m:rPr>
            <m:t>Λ</m:t>
          </m:r>
          <m:sSup>
            <m:e>
              <m:r>
                <m:rPr>
                  <m:sty m:val="p"/>
                </m:rPr>
                <m:t>)</m:t>
              </m:r>
            </m:e>
            <m:sup>
              <m:r>
                <m:rPr>
                  <m:sty m:val="p"/>
                </m:rPr>
                <m:t>−</m:t>
              </m:r>
              <m:r>
                <m:t>1</m:t>
              </m:r>
            </m:sup>
          </m:sSup>
          <m:sSup>
            <m:e>
              <m:acc>
                <m:accPr>
                  <m:chr m:val="̃"/>
                </m:accPr>
                <m:e>
                  <m:r>
                    <m:rPr>
                      <m:sty m:val="p"/>
                    </m:rPr>
                    <m:t>Λ</m:t>
                  </m:r>
                </m:e>
              </m:acc>
            </m:e>
            <m:sup>
              <m:r>
                <m:rPr>
                  <m:sty m:val="p"/>
                </m:rPr>
                <m:t>⊤</m:t>
              </m:r>
            </m:sup>
          </m:sSup>
          <m:r>
            <m:rPr>
              <m:sty m:val="p"/>
            </m:rPr>
            <m:t>,</m:t>
          </m:r>
          <m:r>
            <m:t>  </m:t>
          </m:r>
          <m:acc>
            <m:accPr>
              <m:chr m:val="̃"/>
            </m:accPr>
            <m:e>
              <m:r>
                <m:rPr>
                  <m:sty m:val="p"/>
                </m:rPr>
                <m:t>Λ</m:t>
              </m:r>
            </m:e>
          </m:acc>
          <m:r>
            <m:rPr>
              <m:sty m:val="p"/>
            </m:rPr>
            <m:t>=</m:t>
          </m:r>
          <m:r>
            <m:rPr>
              <m:sty m:val="p"/>
            </m:rPr>
            <m:t>(</m:t>
          </m:r>
          <m:r>
            <m:t>I</m:t>
          </m:r>
          <m:r>
            <m:rPr>
              <m:sty m:val="p"/>
            </m:rPr>
            <m:t>−</m:t>
          </m:r>
          <m:r>
            <m:rPr>
              <m:sty m:val="p"/>
            </m:rPr>
            <m:t>Θ</m:t>
          </m:r>
          <m:r>
            <m:rPr>
              <m:sty m:val="p"/>
            </m:rPr>
            <m:t>)</m:t>
          </m:r>
          <m:sSup>
            <m:e>
              <m:r>
                <m:rPr>
                  <m:sty m:val="p"/>
                </m:rPr>
                <m:t>Ψ</m:t>
              </m:r>
            </m:e>
            <m:sup>
              <m:r>
                <m:rPr>
                  <m:sty m:val="p"/>
                </m:rPr>
                <m:t>−</m:t>
              </m:r>
              <m:r>
                <m:t>1</m:t>
              </m:r>
            </m:sup>
          </m:sSup>
          <m:r>
            <m:rPr>
              <m:sty m:val="p"/>
            </m:rPr>
            <m:t>Λ</m:t>
          </m:r>
          <m:r>
            <m:rPr>
              <m:sty m:val="p"/>
            </m:rPr>
            <m:t>.</m:t>
          </m:r>
        </m:oMath>
      </m:oMathPara>
    </w:p>
    <w:p>
      <w:pPr>
        <w:pStyle w:val="FirstParagraph"/>
      </w:pPr>
      <w:r>
        <w:t xml:space="preserve">The second term is positive semidefinite and has rank at most</w:t>
      </w:r>
      <w:r>
        <w:t xml:space="preserve"> </w:t>
      </w:r>
      <m:oMath>
        <m:r>
          <m:t>r</m:t>
        </m:r>
      </m:oMath>
      <w:r>
        <w:t xml:space="preserve">. The first term has support contained in the moral graph of</w:t>
      </w:r>
      <w:r>
        <w:t xml:space="preserve"> </w:t>
      </w:r>
      <m:oMath>
        <m:r>
          <m:rPr>
            <m:sty m:val="p"/>
          </m:rPr>
          <m:t>Θ</m:t>
        </m:r>
      </m:oMath>
      <w:r>
        <w:t xml:space="preserve">, with equality in the absence of coefficient cancellations.</w:t>
      </w:r>
    </w:p>
    <w:p>
      <w:pPr>
        <w:pStyle w:val="BodyText"/>
      </w:pPr>
      <w:r>
        <w:t xml:space="preserve">The proof is given in Appendix A.4.</w:t>
      </w:r>
    </w:p>
    <w:p>
      <w:pPr>
        <w:pStyle w:val="BodyText"/>
      </w:pPr>
      <w:r>
        <w:t xml:space="preserve">The formula explains why the selected support and the latent representation supply complementary information. The systemic state contributes to observed nodewise associations and also creates the cross-proxy signal used by the bridge. N1 specifies structural coverage by the population selection graph; it is an explicit condition on the selected graph in the presence of this latent contribution [22].</w:t>
      </w:r>
    </w:p>
    <w:bookmarkEnd w:id="26"/>
    <w:bookmarkStart w:id="27" w:name="construction-and-large-sample-estimation"/>
    <w:p>
      <w:pPr>
        <w:pStyle w:val="Heading2"/>
      </w:pPr>
      <w:r>
        <w:t xml:space="preserve">4.5 Construction and large-sample estimation</w:t>
      </w:r>
    </w:p>
    <w:p>
      <w:pPr>
        <w:pStyle w:val="FirstParagraph"/>
      </w:pPr>
      <w:r>
        <w:t xml:space="preserve">For each fixed niche window, define its population nodewise LASSO using the conditional distribution within the prespecified niche-index quantile intervals of each window family. Assume a continuous index distribution, positive window probability, nonsingular within-window predictor covariance, and a positive margin for both active coefficients and inactive KKT inequalities. Assume the preprocessing and loading-eligibility decisions have stable population limits. Appendix A.1 shows that empirical niche-window supports then converge jointly to their population supports. The finite frequency aggregation, prespecified treatment eligibility and fixed protein ordering give stable proxy sets. Assume the limiting candidate designs obey the systemic mean and proxy-error orthogonality conditions in the finite-grid conditions following Proposition 3. N1 and N2 supply sufficient structural conditions for these roles. Assume at least one candidate spans all</w:t>
      </w:r>
      <w:r>
        <w:t xml:space="preserve"> </w:t>
      </w:r>
      <m:oMath>
        <m:r>
          <m:t>r</m:t>
        </m:r>
      </m:oMath>
      <w:r>
        <w:t xml:space="preserve"> </w:t>
      </w:r>
      <w:r>
        <w:t xml:space="preserve">joint directions and supplies full conditional information. Proposition 3b selects within that complete candidate set. A positive margin for its smallest conditional-root quality among distinct role designs makes selection stable; its limiting dimension is</w:t>
      </w:r>
      <w:r>
        <w:t xml:space="preserve"> </w:t>
      </w:r>
      <m:oMath>
        <m:r>
          <m:t>r</m:t>
        </m:r>
      </m:oMath>
      <w:r>
        <w:t xml:space="preserve">.</w:t>
      </w:r>
    </w:p>
    <w:p>
      <w:pPr>
        <w:pStyle w:val="BodyText"/>
      </w:pPr>
      <w:r>
        <w:t xml:space="preserve">Let</w:t>
      </w:r>
      <w:r>
        <w:t xml:space="preserve"> </w:t>
      </w:r>
      <m:oMath>
        <m:r>
          <m:t>m</m:t>
        </m:r>
        <m:r>
          <m:rPr>
            <m:sty m:val="p"/>
          </m:rPr>
          <m:t>=</m:t>
        </m:r>
        <m:r>
          <m:rPr>
            <m:sty m:val="p"/>
          </m:rPr>
          <m:t>(</m:t>
        </m:r>
        <m:r>
          <m:t>1</m:t>
        </m:r>
        <m:r>
          <m:rPr>
            <m:sty m:val="p"/>
          </m:rPr>
          <m:t>,</m:t>
        </m:r>
        <m:r>
          <m:t>A</m:t>
        </m:r>
        <m:r>
          <m:rPr>
            <m:sty m:val="p"/>
          </m:rPr>
          <m:t>,</m:t>
        </m:r>
        <m:sSup>
          <m:e>
            <m:r>
              <m:t>Z</m:t>
            </m:r>
          </m:e>
          <m:sup>
            <m:r>
              <m:rPr>
                <m:sty m:val="p"/>
              </m:rPr>
              <m:t>⊤</m:t>
            </m:r>
          </m:sup>
        </m:sSup>
        <m:r>
          <m:rPr>
            <m:sty m:val="p"/>
          </m:rPr>
          <m:t>,</m:t>
        </m:r>
        <m:sSup>
          <m:e>
            <m:r>
              <m:t>C</m:t>
            </m:r>
          </m:e>
          <m:sup>
            <m:r>
              <m:rPr>
                <m:sty m:val="p"/>
              </m:rPr>
              <m:t>⊤</m:t>
            </m:r>
          </m:sup>
        </m:sSup>
        <m:sSup>
          <m:e>
            <m:r>
              <m:rPr>
                <m:sty m:val="p"/>
              </m:rPr>
              <m:t>)</m:t>
            </m:r>
          </m:e>
          <m:sup>
            <m:r>
              <m:rPr>
                <m:sty m:val="p"/>
              </m:rPr>
              <m:t>⊤</m:t>
            </m:r>
          </m:sup>
        </m:sSup>
      </m:oMath>
      <w:r>
        <w:t xml:space="preserve"> </w:t>
      </w:r>
      <w:r>
        <w:t xml:space="preserve">and let</w:t>
      </w:r>
      <w:r>
        <w:t xml:space="preserve"> </w:t>
      </w:r>
      <m:oMath>
        <m:sSub>
          <m:e>
            <m:r>
              <m:t>H</m:t>
            </m:r>
          </m:e>
          <m:sub>
            <m:r>
              <m:t>n</m:t>
            </m:r>
          </m:sub>
        </m:sSub>
      </m:oMath>
      <w:r>
        <w:t xml:space="preserve"> </w:t>
      </w:r>
      <w:r>
        <w:t xml:space="preserve">collect the distinct sample moments of</w:t>
      </w:r>
      <w:r>
        <w:t xml:space="preserve"> </w:t>
      </w:r>
      <m:oMath>
        <m:r>
          <m:t>m</m:t>
        </m:r>
        <m:sSup>
          <m:e>
            <m:r>
              <m:t>m</m:t>
            </m:r>
          </m:e>
          <m:sup>
            <m:r>
              <m:rPr>
                <m:sty m:val="p"/>
              </m:rPr>
              <m:t>⊤</m:t>
            </m:r>
          </m:sup>
        </m:sSup>
        <m:r>
          <m:rPr>
            <m:sty m:val="p"/>
          </m:rPr>
          <m:t>,</m:t>
        </m:r>
        <m:r>
          <m:t>m</m:t>
        </m:r>
        <m:sSup>
          <m:e>
            <m:r>
              <m:t>W</m:t>
            </m:r>
          </m:e>
          <m:sup>
            <m:r>
              <m:rPr>
                <m:sty m:val="p"/>
              </m:rPr>
              <m:t>⊤</m:t>
            </m:r>
          </m:sup>
        </m:sSup>
        <m:r>
          <m:rPr>
            <m:sty m:val="p"/>
          </m:rPr>
          <m:t>,</m:t>
        </m:r>
        <m:r>
          <m:t>m</m:t>
        </m:r>
        <m:r>
          <m:t>Y</m:t>
        </m:r>
      </m:oMath>
      <w:r>
        <w:t xml:space="preserve">. After the roles and rank stabilise, least squares, projection onto the retained first-stage space, and second-stage regression define</w:t>
      </w:r>
      <w:r>
        <w:t xml:space="preserve"> </w:t>
      </w:r>
      <m:oMath>
        <m:sSub>
          <m:e>
            <m:acc>
              <m:accPr>
                <m:chr m:val="̂"/>
              </m:accPr>
              <m:e>
                <m:r>
                  <m:t>τ</m:t>
                </m:r>
              </m:e>
            </m:acc>
          </m:e>
          <m:sub>
            <m:r>
              <m:t>A</m:t>
            </m:r>
          </m:sub>
        </m:sSub>
        <m:r>
          <m:rPr>
            <m:sty m:val="p"/>
          </m:rPr>
          <m:t>=</m:t>
        </m:r>
        <m:r>
          <m:t>f</m:t>
        </m:r>
        <m:r>
          <m:rPr>
            <m:sty m:val="p"/>
          </m:rPr>
          <m:t>(</m:t>
        </m:r>
        <m:sSub>
          <m:e>
            <m:r>
              <m:t>H</m:t>
            </m:r>
          </m:e>
          <m:sub>
            <m:r>
              <m:t>n</m:t>
            </m:r>
          </m:sub>
        </m:sSub>
        <m:r>
          <m:rPr>
            <m:sty m:val="p"/>
          </m:rPr>
          <m:t>)</m:t>
        </m:r>
      </m:oMath>
      <w:r>
        <w:t xml:space="preserve">. Assume iid patients with finite fourth moments, nonsingular</w:t>
      </w:r>
      <w:r>
        <w:t xml:space="preserve"> </w:t>
      </w:r>
      <m:oMath>
        <m:r>
          <m:t>E</m:t>
        </m:r>
        <m:r>
          <m:rPr>
            <m:sty m:val="p"/>
          </m:rPr>
          <m:t>[</m:t>
        </m:r>
        <m:r>
          <m:t>m</m:t>
        </m:r>
        <m:sSup>
          <m:e>
            <m:r>
              <m:t>m</m:t>
            </m:r>
          </m:e>
          <m:sup>
            <m:r>
              <m:rPr>
                <m:sty m:val="p"/>
              </m:rPr>
              <m:t>⊤</m:t>
            </m:r>
          </m:sup>
        </m:sSup>
        <m:r>
          <m:rPr>
            <m:sty m:val="p"/>
          </m:rPr>
          <m:t>]</m:t>
        </m:r>
      </m:oMath>
      <w:r>
        <w:t xml:space="preserve">, a separated rank-</w:t>
      </w:r>
      <m:oMath>
        <m:r>
          <m:t>r</m:t>
        </m:r>
      </m:oMath>
      <w:r>
        <w:t xml:space="preserve"> </w:t>
      </w:r>
      <w:r>
        <w:t xml:space="preserve">first-stage subspace, a full-rank reduced second-stage design, and positive population conditional information. These are pointwise regularity conditions at a fixed identified model.</w:t>
      </w:r>
    </w:p>
    <w:p>
      <w:pPr>
        <w:pStyle w:val="BodyText"/>
      </w:pPr>
      <w:r>
        <w:rPr>
          <w:b/>
          <w:bCs/>
        </w:rPr>
        <w:t xml:space="preserve">Theorem 1 (construction and effect estimation).</w:t>
      </w:r>
      <w:r>
        <w:t xml:space="preserve"> </w:t>
      </w:r>
      <w:r>
        <w:t xml:space="preserve">Under the preceding construction and identification conditions, the selected roles and</w:t>
      </w:r>
      <w:r>
        <w:t xml:space="preserve"> </w:t>
      </w:r>
      <m:oMath>
        <m:sSub>
          <m:e>
            <m:acc>
              <m:accPr>
                <m:chr m:val="̂"/>
              </m:accPr>
              <m:e>
                <m:r>
                  <m:t>r</m:t>
                </m:r>
              </m:e>
            </m:acc>
          </m:e>
          <m:sub>
            <m:r>
              <m:t>b</m:t>
            </m:r>
          </m:sub>
        </m:sSub>
      </m:oMath>
      <w:r>
        <w:t xml:space="preserve"> </w:t>
      </w:r>
      <w:r>
        <w:t xml:space="preserve">converge to their population values,</w:t>
      </w:r>
      <w:r>
        <w:t xml:space="preserve"> </w:t>
      </w:r>
      <m:oMath>
        <m:sSub>
          <m:e>
            <m:acc>
              <m:accPr>
                <m:chr m:val="̂"/>
              </m:accPr>
              <m:e>
                <m:r>
                  <m:t>τ</m:t>
                </m:r>
              </m:e>
            </m:acc>
          </m:e>
          <m:sub>
            <m:r>
              <m:t>A</m:t>
            </m:r>
          </m:sub>
        </m:sSub>
        <m:sSub>
          <m:e>
            <m:r>
              <m:rPr>
                <m:sty m:val="p"/>
              </m:rPr>
              <m:t>→</m:t>
            </m:r>
          </m:e>
          <m:sub>
            <m:r>
              <m:t>p</m:t>
            </m:r>
          </m:sub>
        </m:sSub>
        <m:sSub>
          <m:e>
            <m:r>
              <m:t>τ</m:t>
            </m:r>
          </m:e>
          <m:sub>
            <m:r>
              <m:t>A</m:t>
            </m:r>
          </m:sub>
        </m:sSub>
      </m:oMath>
      <w:r>
        <w:t xml:space="preserve">, and</w:t>
      </w:r>
    </w:p>
    <w:p>
      <w:pPr>
        <w:pStyle w:val="BodyText"/>
      </w:pPr>
      <m:oMathPara>
        <m:oMathParaPr>
          <m:jc m:val="center"/>
        </m:oMathParaPr>
        <m:oMath>
          <m:rad>
            <m:radPr>
              <m:degHide m:val="on"/>
            </m:radPr>
            <m:deg/>
            <m:e>
              <m:r>
                <m:t>n</m:t>
              </m:r>
            </m:e>
          </m:rad>
          <m:r>
            <m:rPr>
              <m:sty m:val="p"/>
            </m:rPr>
            <m:t>(</m:t>
          </m:r>
          <m:sSub>
            <m:e>
              <m:acc>
                <m:accPr>
                  <m:chr m:val="̂"/>
                </m:accPr>
                <m:e>
                  <m:r>
                    <m:t>τ</m:t>
                  </m:r>
                </m:e>
              </m:acc>
            </m:e>
            <m:sub>
              <m:r>
                <m:t>A</m:t>
              </m:r>
            </m:sub>
          </m:sSub>
          <m:r>
            <m:rPr>
              <m:sty m:val="p"/>
            </m:rPr>
            <m:t>−</m:t>
          </m:r>
          <m:sSub>
            <m:e>
              <m:r>
                <m:t>τ</m:t>
              </m:r>
            </m:e>
            <m:sub>
              <m:r>
                <m:t>A</m:t>
              </m:r>
            </m:sub>
          </m:sSub>
          <m:r>
            <m:rPr>
              <m:sty m:val="p"/>
            </m:rPr>
            <m:t>)</m:t>
          </m:r>
          <m:r>
            <m:rPr>
              <m:sty m:val="p"/>
            </m:rPr>
            <m:t>→</m:t>
          </m:r>
          <m:r>
            <m:t>N</m:t>
          </m:r>
          <m:r>
            <m:rPr>
              <m:sty m:val="p"/>
            </m:rPr>
            <m:t>(</m:t>
          </m:r>
          <m:r>
            <m:t>0</m:t>
          </m:r>
          <m:r>
            <m:rPr>
              <m:sty m:val="p"/>
            </m:rPr>
            <m:t>,</m:t>
          </m:r>
          <m:r>
            <m:t>J</m:t>
          </m:r>
          <m:sSub>
            <m:e>
              <m:r>
                <m:rPr>
                  <m:sty m:val="p"/>
                </m:rPr>
                <m:t>Σ</m:t>
              </m:r>
            </m:e>
            <m:sub>
              <m:r>
                <m:t>q</m:t>
              </m:r>
            </m:sub>
          </m:sSub>
          <m:sSup>
            <m:e>
              <m:r>
                <m:t>J</m:t>
              </m:r>
            </m:e>
            <m:sup>
              <m:r>
                <m:rPr>
                  <m:sty m:val="p"/>
                </m:rPr>
                <m:t>⊤</m:t>
              </m:r>
            </m:sup>
          </m:sSup>
          <m:r>
            <m:rPr>
              <m:sty m:val="p"/>
            </m:rPr>
            <m:t>)</m:t>
          </m:r>
          <m:r>
            <m:rPr>
              <m:sty m:val="p"/>
            </m:rPr>
            <m:t>,</m:t>
          </m:r>
          <m:r>
            <m:t>  </m:t>
          </m:r>
          <m:r>
            <m:t>J</m:t>
          </m:r>
          <m:r>
            <m:rPr>
              <m:sty m:val="p"/>
            </m:rPr>
            <m:t>=</m:t>
          </m:r>
          <m:r>
            <m:rPr>
              <m:sty m:val="p"/>
            </m:rPr>
            <m:t>∇</m:t>
          </m:r>
          <m:r>
            <m:t>f</m:t>
          </m:r>
          <m:r>
            <m:rPr>
              <m:sty m:val="p"/>
            </m:rPr>
            <m:t>(</m:t>
          </m:r>
          <m:r>
            <m:t>H</m:t>
          </m:r>
          <m:r>
            <m:rPr>
              <m:sty m:val="p"/>
            </m:rPr>
            <m:t>)</m:t>
          </m:r>
          <m:r>
            <m:rPr>
              <m:sty m:val="p"/>
            </m:rPr>
            <m:t>,</m:t>
          </m:r>
          <m:r>
            <m:t> </m:t>
          </m:r>
          <m:sSub>
            <m:e>
              <m:r>
                <m:rPr>
                  <m:sty m:val="p"/>
                </m:rPr>
                <m:t>Σ</m:t>
              </m:r>
            </m:e>
            <m:sub>
              <m:r>
                <m:t>q</m:t>
              </m:r>
            </m:sub>
          </m:sSub>
          <m:r>
            <m:rPr>
              <m:sty m:val="p"/>
            </m:rPr>
            <m:t>=</m:t>
          </m:r>
          <m:r>
            <m:rPr>
              <m:sty m:val="p"/>
            </m:rPr>
            <m:t>Var</m:t>
          </m:r>
          <m:r>
            <m:rPr>
              <m:sty m:val="p"/>
            </m:rPr>
            <m:t>(</m:t>
          </m:r>
          <m:sSub>
            <m:e>
              <m:r>
                <m:t>q</m:t>
              </m:r>
            </m:e>
            <m:sub>
              <m:r>
                <m:t>i</m:t>
              </m:r>
            </m:sub>
          </m:sSub>
          <m:r>
            <m:rPr>
              <m:sty m:val="p"/>
            </m:rPr>
            <m:t>)</m:t>
          </m:r>
          <m:r>
            <m:rPr>
              <m:sty m:val="p"/>
            </m:rPr>
            <m:t>,</m:t>
          </m:r>
          <m:r>
            <m:t> </m:t>
          </m:r>
          <m:r>
            <m:t>H</m:t>
          </m:r>
          <m:r>
            <m:rPr>
              <m:sty m:val="p"/>
            </m:rPr>
            <m:t>=</m:t>
          </m:r>
          <m:r>
            <m:t>E</m:t>
          </m:r>
          <m:r>
            <m:rPr>
              <m:sty m:val="p"/>
            </m:rPr>
            <m:t>[</m:t>
          </m:r>
          <m:sSub>
            <m:e>
              <m:r>
                <m:t>q</m:t>
              </m:r>
            </m:e>
            <m:sub>
              <m:r>
                <m:t>i</m:t>
              </m:r>
            </m:sub>
          </m:sSub>
          <m:r>
            <m:rPr>
              <m:sty m:val="p"/>
            </m:rPr>
            <m:t>]</m:t>
          </m:r>
          <m:r>
            <m:rPr>
              <m:sty m:val="p"/>
            </m:rPr>
            <m:t>.</m:t>
          </m:r>
        </m:oMath>
      </m:oMathPara>
    </w:p>
    <w:p>
      <w:pPr>
        <w:pStyle w:val="FirstParagraph"/>
      </w:pPr>
      <w:r>
        <w:t xml:space="preserve">Here</w:t>
      </w:r>
      <w:r>
        <w:t xml:space="preserve"> </w:t>
      </w:r>
      <m:oMath>
        <m:sSub>
          <m:e>
            <m:r>
              <m:t>q</m:t>
            </m:r>
          </m:e>
          <m:sub>
            <m:r>
              <m:t>i</m:t>
            </m:r>
          </m:sub>
        </m:sSub>
      </m:oMath>
      <w:r>
        <w:t xml:space="preserve"> </w:t>
      </w:r>
      <w:r>
        <w:t xml:space="preserve">is the patient moment vector. The gradient includes the first-stage fit and retained projection. Appendix A.2 gives the proof.</w:t>
      </w:r>
    </w:p>
    <w:p>
      <w:pPr>
        <w:pStyle w:val="BodyText"/>
      </w:pPr>
      <w:r>
        <w:rPr>
          <w:b/>
          <w:bCs/>
        </w:rPr>
        <w:t xml:space="preserve">Corollary 1 (patient bootstrap).</w:t>
      </w:r>
      <w:r>
        <w:t xml:space="preserve"> </w:t>
      </w:r>
      <w:r>
        <w:t xml:space="preserve">Holding the selected roles and rank fixed and refitting both bridge stages and the projection consistently estimates the limiting distribution under Theorem 1’s construction conditions.</w:t>
      </w:r>
    </w:p>
    <w:p>
      <w:pPr>
        <w:pStyle w:val="BodyText"/>
      </w:pPr>
      <w:r>
        <w:rPr>
          <w:b/>
          <w:bCs/>
        </w:rPr>
        <w:t xml:space="preserve">Corollary 1b (complete construction bootstrap).</w:t>
      </w:r>
      <w:r>
        <w:t xml:space="preserve"> </w:t>
      </w:r>
      <w:r>
        <w:t xml:space="preserve">In addition, suppose the within-window empirical moments, fitted curves and preprocessing have bootstrap consistency. Rebuilding supports, roles, ranks and conditional design selection inside each patient bootstrap, then refitting the bridge, consistently estimates the same limiting distribution. Under Theorem 2 the bootstrap also refits censoring. The derivative includes every smooth fitted stage; positive support and selection margins stabilise the discrete stages. Appendix A.2 gives the argument.</w:t>
      </w:r>
    </w:p>
    <w:bookmarkEnd w:id="27"/>
    <w:bookmarkStart w:id="28" w:name="Xc3038c4bfa2a710479928bcda06dfe06916ceb0"/>
    <w:p>
      <w:pPr>
        <w:pStyle w:val="Heading2"/>
      </w:pPr>
      <w:r>
        <w:t xml:space="preserve">4.6 Causal survival targets through a censored-outcome bridge</w:t>
      </w:r>
    </w:p>
    <w:p>
      <w:pPr>
        <w:pStyle w:val="FirstParagraph"/>
      </w:pPr>
      <w:r>
        <w:t xml:space="preserve">Let</w:t>
      </w:r>
      <w:r>
        <w:t xml:space="preserve"> </w:t>
      </w:r>
      <m:oMath>
        <m:r>
          <m:t>T</m:t>
        </m:r>
      </m:oMath>
      <w:r>
        <w:t xml:space="preserve"> </w:t>
      </w:r>
      <w:r>
        <w:t xml:space="preserve">be event time,</w:t>
      </w:r>
      <w:r>
        <w:t xml:space="preserve"> </w:t>
      </w:r>
      <m:oMath>
        <m:r>
          <m:t>K</m:t>
        </m:r>
      </m:oMath>
      <w:r>
        <w:t xml:space="preserve"> </w:t>
      </w:r>
      <w:r>
        <w:t xml:space="preserve">censoring time,</w:t>
      </w:r>
      <w:r>
        <w:t xml:space="preserve"> </w:t>
      </w:r>
      <m:oMath>
        <m:r>
          <m:t>O</m:t>
        </m:r>
        <m:r>
          <m:rPr>
            <m:sty m:val="p"/>
          </m:rPr>
          <m:t>=</m:t>
        </m:r>
        <m:r>
          <m:rPr>
            <m:sty m:val="p"/>
          </m:rPr>
          <m:t>min</m:t>
        </m:r>
        <m:r>
          <m:rPr>
            <m:sty m:val="p"/>
          </m:rPr>
          <m:t>(</m:t>
        </m:r>
        <m:r>
          <m:t>T</m:t>
        </m:r>
        <m:r>
          <m:rPr>
            <m:sty m:val="p"/>
          </m:rPr>
          <m:t>,</m:t>
        </m:r>
        <m:r>
          <m:t>K</m:t>
        </m:r>
        <m:r>
          <m:rPr>
            <m:sty m:val="p"/>
          </m:rPr>
          <m:t>)</m:t>
        </m:r>
      </m:oMath>
      <w:r>
        <w:t xml:space="preserve">, and</w:t>
      </w:r>
      <w:r>
        <w:t xml:space="preserve"> </w:t>
      </w:r>
      <m:oMath>
        <m:r>
          <m:t>D</m:t>
        </m:r>
        <m:r>
          <m:rPr>
            <m:sty m:val="p"/>
          </m:rPr>
          <m:t>=</m:t>
        </m:r>
        <m:r>
          <m:t>I</m:t>
        </m:r>
        <m:r>
          <m:rPr>
            <m:sty m:val="p"/>
          </m:rPr>
          <m:t>(</m:t>
        </m:r>
        <m:r>
          <m:t>T</m:t>
        </m:r>
        <m:r>
          <m:rPr>
            <m:sty m:val="p"/>
          </m:rPr>
          <m:t>≤</m:t>
        </m:r>
        <m:r>
          <m:t>K</m:t>
        </m:r>
        <m:r>
          <m:rPr>
            <m:sty m:val="p"/>
          </m:rPr>
          <m:t>)</m:t>
        </m:r>
      </m:oMath>
      <w:r>
        <w:t xml:space="preserve">. Define</w:t>
      </w:r>
      <w:r>
        <w:t xml:space="preserve"> </w:t>
      </w:r>
      <m:oMath>
        <m:r>
          <m:t>G</m:t>
        </m:r>
        <m:r>
          <m:rPr>
            <m:sty m:val="p"/>
          </m:rPr>
          <m:t>(</m:t>
        </m:r>
        <m:r>
          <m:t>t</m:t>
        </m:r>
        <m:r>
          <m:rPr>
            <m:sty m:val="p"/>
          </m:rPr>
          <m:t>∣</m:t>
        </m:r>
        <m:r>
          <m:t>A</m:t>
        </m:r>
        <m:r>
          <m:rPr>
            <m:sty m:val="p"/>
          </m:rPr>
          <m:t>,</m:t>
        </m:r>
        <m:r>
          <m:t>C</m:t>
        </m:r>
        <m:r>
          <m:rPr>
            <m:sty m:val="p"/>
          </m:rPr>
          <m:t>)</m:t>
        </m:r>
        <m:r>
          <m:rPr>
            <m:sty m:val="p"/>
          </m:rPr>
          <m:t>=</m:t>
        </m:r>
        <m:r>
          <m:t>P</m:t>
        </m:r>
        <m:r>
          <m:rPr>
            <m:sty m:val="p"/>
          </m:rPr>
          <m:t>(</m:t>
        </m:r>
        <m:r>
          <m:t>K</m:t>
        </m:r>
        <m:r>
          <m:rPr>
            <m:sty m:val="p"/>
          </m:rPr>
          <m:t>&gt;</m:t>
        </m:r>
        <m:r>
          <m:t>t</m:t>
        </m:r>
        <m:r>
          <m:rPr>
            <m:sty m:val="p"/>
          </m:rPr>
          <m:t>∣</m:t>
        </m:r>
        <m:r>
          <m:t>A</m:t>
        </m:r>
        <m:r>
          <m:rPr>
            <m:sty m:val="p"/>
          </m:rPr>
          <m:t>,</m:t>
        </m:r>
        <m:r>
          <m:t>C</m:t>
        </m:r>
        <m:r>
          <m:rPr>
            <m:sty m:val="p"/>
          </m:rPr>
          <m:t>)</m:t>
        </m:r>
      </m:oMath>
      <w:r>
        <w:t xml:space="preserve">. Assume</w:t>
      </w:r>
      <w:r>
        <w:t xml:space="preserve"> </w:t>
      </w:r>
      <m:oMath>
        <m:r>
          <m:t>K</m:t>
        </m:r>
        <m:r>
          <m:rPr>
            <m:sty m:val="p"/>
          </m:rPr>
          <m:t>⟂</m:t>
        </m:r>
        <m:r>
          <m:rPr>
            <m:sty m:val="p"/>
          </m:rPr>
          <m:t>(</m:t>
        </m:r>
        <m:r>
          <m:t>T</m:t>
        </m:r>
        <m:r>
          <m:rPr>
            <m:sty m:val="p"/>
          </m:rPr>
          <m:t>,</m:t>
        </m:r>
        <m:r>
          <m:t>F</m:t>
        </m:r>
        <m:r>
          <m:rPr>
            <m:sty m:val="p"/>
          </m:rPr>
          <m:t>,</m:t>
        </m:r>
        <m:r>
          <m:t>Z</m:t>
        </m:r>
        <m:r>
          <m:rPr>
            <m:sty m:val="p"/>
          </m:rPr>
          <m:t>,</m:t>
        </m:r>
        <m:r>
          <m:t>W</m:t>
        </m:r>
        <m:r>
          <m:rPr>
            <m:sty m:val="p"/>
          </m:rPr>
          <m:t>)</m:t>
        </m:r>
        <m:r>
          <m:rPr>
            <m:sty m:val="p"/>
          </m:rPr>
          <m:t>∣</m:t>
        </m:r>
        <m:r>
          <m:rPr>
            <m:sty m:val="p"/>
          </m:rPr>
          <m:t>(</m:t>
        </m:r>
        <m:r>
          <m:t>A</m:t>
        </m:r>
        <m:r>
          <m:rPr>
            <m:sty m:val="p"/>
          </m:rPr>
          <m:t>,</m:t>
        </m:r>
        <m:r>
          <m:t>C</m:t>
        </m:r>
        <m:r>
          <m:rPr>
            <m:sty m:val="p"/>
          </m:rPr>
          <m:t>)</m:t>
        </m:r>
      </m:oMath>
      <w:r>
        <w:t xml:space="preserve"> </w:t>
      </w:r>
      <w:r>
        <w:t xml:space="preserve">and</w:t>
      </w:r>
      <w:r>
        <w:t xml:space="preserve"> </w:t>
      </w:r>
      <m:oMath>
        <m:r>
          <m:t>G</m:t>
        </m:r>
      </m:oMath>
      <w:r>
        <w:t xml:space="preserve"> </w:t>
      </w:r>
      <w:r>
        <w:t xml:space="preserve">bounded away from zero through the horizon</w:t>
      </w:r>
      <w:r>
        <w:t xml:space="preserve"> </w:t>
      </w:r>
      <m:oMath>
        <m:r>
          <m:t>ℓ</m:t>
        </m:r>
      </m:oMath>
      <w:r>
        <w:t xml:space="preserve">. For a complete-data target</w:t>
      </w:r>
      <w:r>
        <w:t xml:space="preserve"> </w:t>
      </w:r>
      <m:oMath>
        <m:sSub>
          <m:e>
            <m:r>
              <m:t>L</m:t>
            </m:r>
          </m:e>
          <m:sub>
            <m:r>
              <m:t>ℓ</m:t>
            </m:r>
          </m:sub>
        </m:sSub>
        <m:r>
          <m:rPr>
            <m:sty m:val="p"/>
          </m:rPr>
          <m:t>=</m:t>
        </m:r>
        <m:r>
          <m:rPr>
            <m:sty m:val="p"/>
          </m:rPr>
          <m:t>min</m:t>
        </m:r>
        <m:r>
          <m:rPr>
            <m:sty m:val="p"/>
          </m:rPr>
          <m:t>(</m:t>
        </m:r>
        <m:r>
          <m:t>T</m:t>
        </m:r>
        <m:r>
          <m:rPr>
            <m:sty m:val="p"/>
          </m:rPr>
          <m:t>,</m:t>
        </m:r>
        <m:r>
          <m:t>ℓ</m:t>
        </m:r>
        <m:r>
          <m:rPr>
            <m:sty m:val="p"/>
          </m:rPr>
          <m:t>)</m:t>
        </m:r>
      </m:oMath>
      <w:r>
        <w:t xml:space="preserve"> </w:t>
      </w:r>
      <w:r>
        <w:t xml:space="preserve">or</w:t>
      </w:r>
      <w:r>
        <w:t xml:space="preserve"> </w:t>
      </w:r>
      <m:oMath>
        <m:sSub>
          <m:e>
            <m:r>
              <m:t>L</m:t>
            </m:r>
          </m:e>
          <m:sub>
            <m:r>
              <m:t>t</m:t>
            </m:r>
          </m:sub>
        </m:sSub>
        <m:r>
          <m:rPr>
            <m:sty m:val="p"/>
          </m:rPr>
          <m:t>=</m:t>
        </m:r>
        <m:r>
          <m:t>I</m:t>
        </m:r>
        <m:r>
          <m:rPr>
            <m:sty m:val="p"/>
          </m:rPr>
          <m:t>(</m:t>
        </m:r>
        <m:r>
          <m:t>T</m:t>
        </m:r>
        <m:r>
          <m:rPr>
            <m:sty m:val="p"/>
          </m:rPr>
          <m:t>&gt;</m:t>
        </m:r>
        <m:r>
          <m:t>t</m:t>
        </m:r>
        <m:r>
          <m:rPr>
            <m:sty m:val="p"/>
          </m:rPr>
          <m:t>)</m:t>
        </m:r>
      </m:oMath>
      <w:r>
        <w:t xml:space="preserve">, assume the intervention mean and conditional mean have the form in Proposition 2, with target-specific coefficients</w:t>
      </w:r>
      <w:r>
        <w:t xml:space="preserve"> </w:t>
      </w:r>
      <m:oMath>
        <m:sSub>
          <m:e>
            <m:r>
              <m:t>μ</m:t>
            </m:r>
          </m:e>
          <m:sub>
            <m:r>
              <m:t>L</m:t>
            </m:r>
          </m:sub>
        </m:sSub>
        <m:r>
          <m:rPr>
            <m:sty m:val="p"/>
          </m:rPr>
          <m:t>,</m:t>
        </m:r>
        <m:sSub>
          <m:e>
            <m:r>
              <m:t>τ</m:t>
            </m:r>
          </m:e>
          <m:sub>
            <m:r>
              <m:t>A</m:t>
            </m:r>
            <m:r>
              <m:rPr>
                <m:sty m:val="p"/>
              </m:rPr>
              <m:t>,</m:t>
            </m:r>
            <m:r>
              <m:t>L</m:t>
            </m:r>
          </m:sub>
        </m:sSub>
        <m:r>
          <m:rPr>
            <m:sty m:val="p"/>
          </m:rPr>
          <m:t>,</m:t>
        </m:r>
        <m:sSub>
          <m:e>
            <m:r>
              <m:t>b</m:t>
            </m:r>
          </m:e>
          <m:sub>
            <m:r>
              <m:t>L</m:t>
            </m:r>
          </m:sub>
        </m:sSub>
        <m:r>
          <m:rPr>
            <m:sty m:val="p"/>
          </m:rPr>
          <m:t>,</m:t>
        </m:r>
        <m:sSub>
          <m:e>
            <m:r>
              <m:t>d</m:t>
            </m:r>
          </m:e>
          <m:sub>
            <m:r>
              <m:t>L</m:t>
            </m:r>
          </m:sub>
        </m:sSub>
      </m:oMath>
      <w:r>
        <w:t xml:space="preserve">.</w:t>
      </w:r>
    </w:p>
    <w:p>
      <w:pPr>
        <w:pStyle w:val="BodyText"/>
      </w:pPr>
      <w:r>
        <w:rPr>
          <w:b/>
          <w:bCs/>
        </w:rPr>
        <w:t xml:space="preserve">Proposition 5 (restricted-survival identification).</w:t>
      </w:r>
      <w:r>
        <w:t xml:space="preserve"> </w:t>
      </w:r>
      <w:r>
        <w:t xml:space="preserve">The observed-data variables</w:t>
      </w:r>
    </w:p>
    <w:p>
      <w:pPr>
        <w:pStyle w:val="BodyText"/>
      </w:pPr>
      <m:oMathPara>
        <m:oMathParaPr>
          <m:jc m:val="center"/>
        </m:oMathParaPr>
        <m:oMath>
          <m:sSub>
            <m:e>
              <m:r>
                <m:t>V</m:t>
              </m:r>
            </m:e>
            <m:sub>
              <m:r>
                <m:t>ℓ</m:t>
              </m:r>
            </m:sub>
          </m:sSub>
          <m:r>
            <m:rPr>
              <m:sty m:val="p"/>
            </m:rPr>
            <m:t>=</m:t>
          </m:r>
          <m:nary>
            <m:naryPr>
              <m:chr m:val="∫"/>
              <m:limLoc m:val="subSup"/>
              <m:subHide m:val="off"/>
              <m:supHide m:val="off"/>
            </m:naryPr>
            <m:sub>
              <m:r>
                <m:t>0</m:t>
              </m:r>
            </m:sub>
            <m:sup>
              <m:r>
                <m:t>ℓ</m:t>
              </m:r>
            </m:sup>
            <m:e>
              <m:f>
                <m:fPr>
                  <m:type m:val="bar"/>
                </m:fPr>
                <m:num>
                  <m:r>
                    <m:t>I</m:t>
                  </m:r>
                  <m:r>
                    <m:rPr>
                      <m:sty m:val="p"/>
                    </m:rPr>
                    <m:t>(</m:t>
                  </m:r>
                  <m:r>
                    <m:t>O</m:t>
                  </m:r>
                  <m:r>
                    <m:rPr>
                      <m:sty m:val="p"/>
                    </m:rPr>
                    <m:t>&gt;</m:t>
                  </m:r>
                  <m:r>
                    <m:t>u</m:t>
                  </m:r>
                  <m:r>
                    <m:rPr>
                      <m:sty m:val="p"/>
                    </m:rPr>
                    <m:t>)</m:t>
                  </m:r>
                </m:num>
                <m:den>
                  <m:r>
                    <m:t>G</m:t>
                  </m:r>
                  <m:r>
                    <m:rPr>
                      <m:sty m:val="p"/>
                    </m:rPr>
                    <m:t>(</m:t>
                  </m:r>
                  <m:r>
                    <m:t>u</m:t>
                  </m:r>
                  <m:r>
                    <m:rPr>
                      <m:sty m:val="p"/>
                    </m:rPr>
                    <m:t>∣</m:t>
                  </m:r>
                  <m:r>
                    <m:t>A</m:t>
                  </m:r>
                  <m:r>
                    <m:rPr>
                      <m:sty m:val="p"/>
                    </m:rPr>
                    <m:t>,</m:t>
                  </m:r>
                  <m:r>
                    <m:t>C</m:t>
                  </m:r>
                  <m:r>
                    <m:rPr>
                      <m:sty m:val="p"/>
                    </m:rPr>
                    <m:t>)</m:t>
                  </m:r>
                </m:den>
              </m:f>
            </m:e>
          </m:nary>
          <m:r>
            <m:t> </m:t>
          </m:r>
          <m:r>
            <m:t>d</m:t>
          </m:r>
          <m:r>
            <m:t>u</m:t>
          </m:r>
          <m:r>
            <m:rPr>
              <m:sty m:val="p"/>
            </m:rPr>
            <m:t>,</m:t>
          </m:r>
          <m:r>
            <m:t>  </m:t>
          </m:r>
          <m:sSub>
            <m:e>
              <m:r>
                <m:t>V</m:t>
              </m:r>
            </m:e>
            <m:sub>
              <m:r>
                <m:t>t</m:t>
              </m:r>
            </m:sub>
          </m:sSub>
          <m:r>
            <m:rPr>
              <m:sty m:val="p"/>
            </m:rPr>
            <m:t>=</m:t>
          </m:r>
          <m:f>
            <m:fPr>
              <m:type m:val="bar"/>
            </m:fPr>
            <m:num>
              <m:r>
                <m:t>I</m:t>
              </m:r>
              <m:r>
                <m:rPr>
                  <m:sty m:val="p"/>
                </m:rPr>
                <m:t>(</m:t>
              </m:r>
              <m:r>
                <m:t>O</m:t>
              </m:r>
              <m:r>
                <m:rPr>
                  <m:sty m:val="p"/>
                </m:rPr>
                <m:t>&gt;</m:t>
              </m:r>
              <m:r>
                <m:t>t</m:t>
              </m:r>
              <m:r>
                <m:rPr>
                  <m:sty m:val="p"/>
                </m:rPr>
                <m:t>)</m:t>
              </m:r>
            </m:num>
            <m:den>
              <m:r>
                <m:t>G</m:t>
              </m:r>
              <m:r>
                <m:rPr>
                  <m:sty m:val="p"/>
                </m:rPr>
                <m:t>(</m:t>
              </m:r>
              <m:r>
                <m:t>t</m:t>
              </m:r>
              <m:r>
                <m:rPr>
                  <m:sty m:val="p"/>
                </m:rPr>
                <m:t>∣</m:t>
              </m:r>
              <m:r>
                <m:t>A</m:t>
              </m:r>
              <m:r>
                <m:rPr>
                  <m:sty m:val="p"/>
                </m:rPr>
                <m:t>,</m:t>
              </m:r>
              <m:r>
                <m:t>C</m:t>
              </m:r>
              <m:r>
                <m:rPr>
                  <m:sty m:val="p"/>
                </m:rPr>
                <m:t>)</m:t>
              </m:r>
            </m:den>
          </m:f>
        </m:oMath>
      </m:oMathPara>
    </w:p>
    <w:p>
      <w:pPr>
        <w:pStyle w:val="FirstParagraph"/>
      </w:pPr>
      <w:r>
        <w:t xml:space="preserve">have the same conditional means given</w:t>
      </w:r>
      <w:r>
        <w:t xml:space="preserve"> </w:t>
      </w:r>
      <m:oMath>
        <m:r>
          <m:rPr>
            <m:sty m:val="p"/>
          </m:rPr>
          <m:t>(</m:t>
        </m:r>
        <m:r>
          <m:t>A</m:t>
        </m:r>
        <m:r>
          <m:rPr>
            <m:sty m:val="p"/>
          </m:rPr>
          <m:t>,</m:t>
        </m:r>
        <m:r>
          <m:t>F</m:t>
        </m:r>
        <m:r>
          <m:rPr>
            <m:sty m:val="p"/>
          </m:rPr>
          <m:t>,</m:t>
        </m:r>
        <m:r>
          <m:t>Z</m:t>
        </m:r>
        <m:r>
          <m:rPr>
            <m:sty m:val="p"/>
          </m:rPr>
          <m:t>,</m:t>
        </m:r>
        <m:r>
          <m:t>C</m:t>
        </m:r>
        <m:r>
          <m:rPr>
            <m:sty m:val="p"/>
          </m:rPr>
          <m:t>)</m:t>
        </m:r>
      </m:oMath>
      <w:r>
        <w:t xml:space="preserve"> </w:t>
      </w:r>
      <w:r>
        <w:t xml:space="preserve">as</w:t>
      </w:r>
      <w:r>
        <w:t xml:space="preserve"> </w:t>
      </w:r>
      <m:oMath>
        <m:r>
          <m:rPr>
            <m:sty m:val="p"/>
          </m:rPr>
          <m:t>min</m:t>
        </m:r>
        <m:r>
          <m:rPr>
            <m:sty m:val="p"/>
          </m:rPr>
          <m:t>(</m:t>
        </m:r>
        <m:r>
          <m:t>T</m:t>
        </m:r>
        <m:r>
          <m:rPr>
            <m:sty m:val="p"/>
          </m:rPr>
          <m:t>,</m:t>
        </m:r>
        <m:r>
          <m:t>ℓ</m:t>
        </m:r>
        <m:r>
          <m:rPr>
            <m:sty m:val="p"/>
          </m:rPr>
          <m:t>)</m:t>
        </m:r>
      </m:oMath>
      <w:r>
        <w:t xml:space="preserve"> </w:t>
      </w:r>
      <w:r>
        <w:t xml:space="preserve">and</w:t>
      </w:r>
      <w:r>
        <w:t xml:space="preserve"> </w:t>
      </w:r>
      <m:oMath>
        <m:r>
          <m:t>I</m:t>
        </m:r>
        <m:r>
          <m:rPr>
            <m:sty m:val="p"/>
          </m:rPr>
          <m:t>(</m:t>
        </m:r>
        <m:r>
          <m:t>T</m:t>
        </m:r>
        <m:r>
          <m:rPr>
            <m:sty m:val="p"/>
          </m:rPr>
          <m:t>&gt;</m:t>
        </m:r>
        <m:r>
          <m:t>t</m:t>
        </m:r>
        <m:r>
          <m:rPr>
            <m:sty m:val="p"/>
          </m:rPr>
          <m:t>)</m:t>
        </m:r>
      </m:oMath>
      <w:r>
        <w:t xml:space="preserve">, respectively. Their proximal bridges identify</w:t>
      </w:r>
    </w:p>
    <w:p>
      <w:pPr>
        <w:pStyle w:val="BodyText"/>
      </w:pPr>
      <m:oMathPara>
        <m:oMathParaPr>
          <m:jc m:val="center"/>
        </m:oMathParaPr>
        <m:oMath>
          <m:sSub>
            <m:e>
              <m:r>
                <m:t>M</m:t>
              </m:r>
            </m:e>
            <m:sub>
              <m:r>
                <m:t>ℓ</m:t>
              </m:r>
            </m:sub>
          </m:sSub>
          <m:r>
            <m:rPr>
              <m:sty m:val="p"/>
            </m:rPr>
            <m:t>(</m:t>
          </m:r>
          <m:r>
            <m:t>a</m:t>
          </m:r>
          <m:r>
            <m:rPr>
              <m:sty m:val="p"/>
            </m:rPr>
            <m:t>)</m:t>
          </m:r>
          <m:r>
            <m:rPr>
              <m:sty m:val="p"/>
            </m:rPr>
            <m:t>=</m:t>
          </m:r>
          <m:r>
            <m:t>E</m:t>
          </m:r>
          <m:r>
            <m:rPr>
              <m:sty m:val="p"/>
            </m:rPr>
            <m:t>[</m:t>
          </m:r>
          <m:r>
            <m:rPr>
              <m:sty m:val="p"/>
            </m:rPr>
            <m:t>min</m:t>
          </m:r>
          <m:r>
            <m:rPr>
              <m:sty m:val="p"/>
            </m:rPr>
            <m:t>(</m:t>
          </m:r>
          <m:sSup>
            <m:e>
              <m:r>
                <m:t>T</m:t>
              </m:r>
            </m:e>
            <m:sup>
              <m:r>
                <m:t>a</m:t>
              </m:r>
            </m:sup>
          </m:sSup>
          <m:r>
            <m:rPr>
              <m:sty m:val="p"/>
            </m:rPr>
            <m:t>,</m:t>
          </m:r>
          <m:r>
            <m:t>ℓ</m:t>
          </m:r>
          <m:r>
            <m:rPr>
              <m:sty m:val="p"/>
            </m:rPr>
            <m:t>)</m:t>
          </m:r>
          <m:r>
            <m:rPr>
              <m:sty m:val="p"/>
            </m:rPr>
            <m:t>]</m:t>
          </m:r>
          <m:r>
            <m:rPr>
              <m:sty m:val="p"/>
            </m:rPr>
            <m:t>,</m:t>
          </m:r>
          <m:r>
            <m:t>  </m:t>
          </m:r>
          <m:sSub>
            <m:e>
              <m:r>
                <m:t>S</m:t>
              </m:r>
            </m:e>
            <m:sub>
              <m:r>
                <m:t>a</m:t>
              </m:r>
            </m:sub>
          </m:sSub>
          <m:r>
            <m:rPr>
              <m:sty m:val="p"/>
            </m:rPr>
            <m:t>(</m:t>
          </m:r>
          <m:r>
            <m:t>t</m:t>
          </m:r>
          <m:r>
            <m:rPr>
              <m:sty m:val="p"/>
            </m:rPr>
            <m:t>)</m:t>
          </m:r>
          <m:r>
            <m:rPr>
              <m:sty m:val="p"/>
            </m:rPr>
            <m:t>=</m:t>
          </m:r>
          <m:r>
            <m:t>P</m:t>
          </m:r>
          <m:r>
            <m:rPr>
              <m:sty m:val="p"/>
            </m:rPr>
            <m:t>(</m:t>
          </m:r>
          <m:sSup>
            <m:e>
              <m:r>
                <m:t>T</m:t>
              </m:r>
            </m:e>
            <m:sup>
              <m:r>
                <m:t>a</m:t>
              </m:r>
            </m:sup>
          </m:sSup>
          <m:r>
            <m:rPr>
              <m:sty m:val="p"/>
            </m:rPr>
            <m:t>&gt;</m:t>
          </m:r>
          <m:r>
            <m:t>t</m:t>
          </m:r>
          <m:r>
            <m:rPr>
              <m:sty m:val="p"/>
            </m:rPr>
            <m:t>)</m:t>
          </m:r>
          <m:r>
            <m:rPr>
              <m:sty m:val="p"/>
            </m:rPr>
            <m:t>,</m:t>
          </m:r>
        </m:oMath>
      </m:oMathPara>
    </w:p>
    <w:p>
      <w:pPr>
        <w:pStyle w:val="FirstParagraph"/>
      </w:pPr>
      <w:r>
        <w:t xml:space="preserve">and the contrasts satisfy</w:t>
      </w:r>
    </w:p>
    <w:p>
      <w:pPr>
        <w:pStyle w:val="BodyText"/>
      </w:pPr>
      <m:oMathPara>
        <m:oMathParaPr>
          <m:jc m:val="center"/>
        </m:oMathParaPr>
        <m:oMath>
          <m:sSub>
            <m:e>
              <m:r>
                <m:t>M</m:t>
              </m:r>
            </m:e>
            <m:sub>
              <m:r>
                <m:t>ℓ</m:t>
              </m:r>
            </m:sub>
          </m:sSub>
          <m:r>
            <m:rPr>
              <m:sty m:val="p"/>
            </m:rPr>
            <m:t>(</m:t>
          </m:r>
          <m:r>
            <m:t>a</m:t>
          </m:r>
          <m:r>
            <m:rPr>
              <m:sty m:val="p"/>
            </m:rPr>
            <m:t>)</m:t>
          </m:r>
          <m:r>
            <m:rPr>
              <m:sty m:val="p"/>
            </m:rPr>
            <m:t>−</m:t>
          </m:r>
          <m:sSub>
            <m:e>
              <m:r>
                <m:t>M</m:t>
              </m:r>
            </m:e>
            <m:sub>
              <m:r>
                <m:t>ℓ</m:t>
              </m:r>
            </m:sub>
          </m:sSub>
          <m:r>
            <m:rPr>
              <m:sty m:val="p"/>
            </m:rPr>
            <m:t>(</m:t>
          </m:r>
          <m:sSup>
            <m:e>
              <m:r>
                <m:t>a</m:t>
              </m:r>
            </m:e>
            <m:sup>
              <m:r>
                <m:rPr>
                  <m:sty m:val="p"/>
                </m:rPr>
                <m:t>′</m:t>
              </m:r>
            </m:sup>
          </m:sSup>
          <m:r>
            <m:rPr>
              <m:sty m:val="p"/>
            </m:rPr>
            <m:t>)</m:t>
          </m:r>
          <m:r>
            <m:rPr>
              <m:sty m:val="p"/>
            </m:rPr>
            <m:t>=</m:t>
          </m:r>
          <m:sSub>
            <m:e>
              <m:r>
                <m:t>τ</m:t>
              </m:r>
            </m:e>
            <m:sub>
              <m:r>
                <m:t>A</m:t>
              </m:r>
              <m:r>
                <m:rPr>
                  <m:sty m:val="p"/>
                </m:rPr>
                <m:t>,</m:t>
              </m:r>
              <m:r>
                <m:t>ℓ</m:t>
              </m:r>
            </m:sub>
          </m:sSub>
          <m:r>
            <m:rPr>
              <m:sty m:val="p"/>
            </m:rPr>
            <m:t>(</m:t>
          </m:r>
          <m:r>
            <m:t>a</m:t>
          </m:r>
          <m:r>
            <m:rPr>
              <m:sty m:val="p"/>
            </m:rPr>
            <m:t>−</m:t>
          </m:r>
          <m:sSup>
            <m:e>
              <m:r>
                <m:t>a</m:t>
              </m:r>
            </m:e>
            <m:sup>
              <m:r>
                <m:rPr>
                  <m:sty m:val="p"/>
                </m:rPr>
                <m:t>′</m:t>
              </m:r>
            </m:sup>
          </m:sSup>
          <m:r>
            <m:rPr>
              <m:sty m:val="p"/>
            </m:rPr>
            <m:t>)</m:t>
          </m:r>
          <m:r>
            <m:rPr>
              <m:sty m:val="p"/>
            </m:rPr>
            <m:t>,</m:t>
          </m:r>
          <m:r>
            <m:t>  </m:t>
          </m:r>
          <m:sSub>
            <m:e>
              <m:r>
                <m:t>S</m:t>
              </m:r>
            </m:e>
            <m:sub>
              <m:r>
                <m:t>a</m:t>
              </m:r>
            </m:sub>
          </m:sSub>
          <m:r>
            <m:rPr>
              <m:sty m:val="p"/>
            </m:rPr>
            <m:t>(</m:t>
          </m:r>
          <m:r>
            <m:t>t</m:t>
          </m:r>
          <m:r>
            <m:rPr>
              <m:sty m:val="p"/>
            </m:rPr>
            <m:t>)</m:t>
          </m:r>
          <m:r>
            <m:rPr>
              <m:sty m:val="p"/>
            </m:rPr>
            <m:t>−</m:t>
          </m:r>
          <m:sSub>
            <m:e>
              <m:r>
                <m:t>S</m:t>
              </m:r>
            </m:e>
            <m:sub>
              <m:sSup>
                <m:e>
                  <m:r>
                    <m:t>a</m:t>
                  </m:r>
                </m:e>
                <m:sup>
                  <m:r>
                    <m:rPr>
                      <m:sty m:val="p"/>
                    </m:rPr>
                    <m:t>′</m:t>
                  </m:r>
                </m:sup>
              </m:sSup>
            </m:sub>
          </m:sSub>
          <m:r>
            <m:rPr>
              <m:sty m:val="p"/>
            </m:rPr>
            <m:t>(</m:t>
          </m:r>
          <m:r>
            <m:t>t</m:t>
          </m:r>
          <m:r>
            <m:rPr>
              <m:sty m:val="p"/>
            </m:rPr>
            <m:t>)</m:t>
          </m:r>
          <m:r>
            <m:rPr>
              <m:sty m:val="p"/>
            </m:rPr>
            <m:t>=</m:t>
          </m:r>
          <m:sSub>
            <m:e>
              <m:r>
                <m:t>τ</m:t>
              </m:r>
            </m:e>
            <m:sub>
              <m:r>
                <m:t>A</m:t>
              </m:r>
              <m:r>
                <m:rPr>
                  <m:sty m:val="p"/>
                </m:rPr>
                <m:t>,</m:t>
              </m:r>
              <m:r>
                <m:t>t</m:t>
              </m:r>
            </m:sub>
          </m:sSub>
          <m:r>
            <m:rPr>
              <m:sty m:val="p"/>
            </m:rPr>
            <m:t>(</m:t>
          </m:r>
          <m:r>
            <m:t>a</m:t>
          </m:r>
          <m:r>
            <m:rPr>
              <m:sty m:val="p"/>
            </m:rPr>
            <m:t>−</m:t>
          </m:r>
          <m:sSup>
            <m:e>
              <m:r>
                <m:t>a</m:t>
              </m:r>
            </m:e>
            <m:sup>
              <m:r>
                <m:rPr>
                  <m:sty m:val="p"/>
                </m:rPr>
                <m:t>′</m:t>
              </m:r>
            </m:sup>
          </m:sSup>
          <m:r>
            <m:rPr>
              <m:sty m:val="p"/>
            </m:rPr>
            <m:t>)</m:t>
          </m:r>
          <m:r>
            <m:rPr>
              <m:sty m:val="p"/>
            </m:rPr>
            <m:t>.</m:t>
          </m:r>
        </m:oMath>
      </m:oMathPara>
    </w:p>
    <w:p>
      <w:pPr>
        <w:pStyle w:val="FirstParagraph"/>
      </w:pPr>
      <w:r>
        <w:t xml:space="preserve">The proof is given in Appendix A.4.</w:t>
      </w:r>
    </w:p>
    <w:p>
      <w:pPr>
        <w:pStyle w:val="BodyText"/>
      </w:pPr>
      <w:r>
        <w:t xml:space="preserve">The horizon-specific mean bridge permits an unrestricted event-time hazard.</w:t>
      </w:r>
    </w:p>
    <w:p>
      <w:pPr>
        <w:pStyle w:val="BodyText"/>
      </w:pPr>
      <w:r>
        <w:rPr>
          <w:b/>
          <w:bCs/>
        </w:rPr>
        <w:t xml:space="preserve">Theorem 2 (survival estimation and joint bootstrap).</w:t>
      </w:r>
      <w:r>
        <w:t xml:space="preserve"> </w:t>
      </w:r>
      <w:r>
        <w:t xml:space="preserve">In addition to Theorem 1’s moment and construction conditions, suppose the censoring estimator has a regular asymptotically linear expansion in the function space used by</w:t>
      </w:r>
      <w:r>
        <w:t xml:space="preserve"> </w:t>
      </w:r>
      <m:oMath>
        <m:sSub>
          <m:e>
            <m:r>
              <m:t>V</m:t>
            </m:r>
          </m:e>
          <m:sub>
            <m:r>
              <m:t>L</m:t>
            </m:r>
          </m:sub>
        </m:sSub>
      </m:oMath>
      <w:r>
        <w:t xml:space="preserve">, with corresponding bootstrap validity. Positivity and differentiability of the inverse-censoring map then give</w:t>
      </w:r>
    </w:p>
    <w:p>
      <w:pPr>
        <w:pStyle w:val="BodyText"/>
      </w:pPr>
      <m:oMathPara>
        <m:oMathParaPr>
          <m:jc m:val="center"/>
        </m:oMathParaPr>
        <m:oMath>
          <m:rad>
            <m:radPr>
              <m:degHide m:val="on"/>
            </m:radPr>
            <m:deg/>
            <m:e>
              <m:r>
                <m:t>n</m:t>
              </m:r>
            </m:e>
          </m:rad>
          <m:r>
            <m:rPr>
              <m:sty m:val="p"/>
            </m:rPr>
            <m:t>(</m:t>
          </m:r>
          <m:sSub>
            <m:e>
              <m:acc>
                <m:accPr>
                  <m:chr m:val="̂"/>
                </m:accPr>
                <m:e>
                  <m:r>
                    <m:t>τ</m:t>
                  </m:r>
                </m:e>
              </m:acc>
            </m:e>
            <m:sub>
              <m:r>
                <m:t>A</m:t>
              </m:r>
              <m:r>
                <m:rPr>
                  <m:sty m:val="p"/>
                </m:rPr>
                <m:t>,</m:t>
              </m:r>
              <m:r>
                <m:t>L</m:t>
              </m:r>
            </m:sub>
          </m:sSub>
          <m:r>
            <m:rPr>
              <m:sty m:val="p"/>
            </m:rPr>
            <m:t>−</m:t>
          </m:r>
          <m:sSub>
            <m:e>
              <m:r>
                <m:t>τ</m:t>
              </m:r>
            </m:e>
            <m:sub>
              <m:r>
                <m:t>A</m:t>
              </m:r>
              <m:r>
                <m:rPr>
                  <m:sty m:val="p"/>
                </m:rPr>
                <m:t>,</m:t>
              </m:r>
              <m:r>
                <m:t>L</m:t>
              </m:r>
            </m:sub>
          </m:sSub>
          <m:r>
            <m:rPr>
              <m:sty m:val="p"/>
            </m:rPr>
            <m:t>)</m:t>
          </m:r>
          <m:r>
            <m:rPr>
              <m:sty m:val="p"/>
            </m:rPr>
            <m:t>=</m:t>
          </m:r>
          <m:sSup>
            <m:e>
              <m:r>
                <m:t>n</m:t>
              </m:r>
            </m:e>
            <m:sup>
              <m:r>
                <m:rPr>
                  <m:sty m:val="p"/>
                </m:rPr>
                <m:t>−</m:t>
              </m:r>
              <m:r>
                <m:t>1</m:t>
              </m:r>
              <m:r>
                <m:rPr>
                  <m:sty m:val="p"/>
                </m:rPr>
                <m:t>/</m:t>
              </m:r>
              <m:r>
                <m:t>2</m:t>
              </m:r>
            </m:sup>
          </m:sSup>
          <m:nary>
            <m:naryPr>
              <m:chr m:val="∑"/>
              <m:limLoc m:val="undOvr"/>
              <m:subHide m:val="off"/>
              <m:supHide m:val="on"/>
            </m:naryPr>
            <m:sub>
              <m:r>
                <m:t>i</m:t>
              </m:r>
            </m:sub>
            <m:sup>
              <m:r>
                <m:t>​</m:t>
              </m:r>
            </m:sup>
            <m:e>
              <m:d>
                <m:dPr>
                  <m:begChr m:val="["/>
                  <m:sepChr m:val=""/>
                  <m:endChr m:val="]"/>
                  <m:grow/>
                </m:dPr>
                <m:e>
                  <m:r>
                    <m:t>J</m:t>
                  </m:r>
                  <m:r>
                    <m:rPr>
                      <m:sty m:val="p"/>
                    </m:rPr>
                    <m:t>{</m:t>
                  </m:r>
                  <m:sSub>
                    <m:e>
                      <m:r>
                        <m:t>q</m:t>
                      </m:r>
                    </m:e>
                    <m:sub>
                      <m:r>
                        <m:t>i</m:t>
                      </m:r>
                    </m:sub>
                  </m:sSub>
                  <m:r>
                    <m:rPr>
                      <m:sty m:val="p"/>
                    </m:rPr>
                    <m:t>(</m:t>
                  </m:r>
                  <m:r>
                    <m:t>G</m:t>
                  </m:r>
                  <m:r>
                    <m:rPr>
                      <m:sty m:val="p"/>
                    </m:rPr>
                    <m:t>)</m:t>
                  </m:r>
                  <m:r>
                    <m:rPr>
                      <m:sty m:val="p"/>
                    </m:rPr>
                    <m:t>−</m:t>
                  </m:r>
                  <m:r>
                    <m:t>H</m:t>
                  </m:r>
                  <m:r>
                    <m:rPr>
                      <m:sty m:val="p"/>
                    </m:rPr>
                    <m:t>}</m:t>
                  </m:r>
                  <m:r>
                    <m:rPr>
                      <m:sty m:val="p"/>
                    </m:rPr>
                    <m:t>+</m:t>
                  </m:r>
                  <m:sSub>
                    <m:e>
                      <m:r>
                        <m:rPr>
                          <m:scr m:val="script"/>
                          <m:sty m:val="p"/>
                        </m:rPr>
                        <m:t>D</m:t>
                      </m:r>
                    </m:e>
                    <m:sub>
                      <m:r>
                        <m:t>G</m:t>
                      </m:r>
                    </m:sub>
                  </m:sSub>
                  <m:sSub>
                    <m:e>
                      <m:r>
                        <m:t>φ</m:t>
                      </m:r>
                    </m:e>
                    <m:sub>
                      <m:r>
                        <m:t>G</m:t>
                      </m:r>
                      <m:r>
                        <m:rPr>
                          <m:sty m:val="p"/>
                        </m:rPr>
                        <m:t>,</m:t>
                      </m:r>
                      <m:r>
                        <m:t>i</m:t>
                      </m:r>
                    </m:sub>
                  </m:sSub>
                </m:e>
              </m:d>
            </m:e>
          </m:nary>
          <m:r>
            <m:rPr>
              <m:sty m:val="p"/>
            </m:rPr>
            <m:t>+</m:t>
          </m:r>
          <m:sSub>
            <m:e>
              <m:r>
                <m:t>o</m:t>
              </m:r>
            </m:e>
            <m:sub>
              <m:r>
                <m:t>p</m:t>
              </m:r>
            </m:sub>
          </m:sSub>
          <m:r>
            <m:rPr>
              <m:sty m:val="p"/>
            </m:rPr>
            <m:t>(</m:t>
          </m:r>
          <m:r>
            <m:t>1</m:t>
          </m:r>
          <m:r>
            <m:rPr>
              <m:sty m:val="p"/>
            </m:rPr>
            <m:t>)</m:t>
          </m:r>
          <m:r>
            <m:rPr>
              <m:sty m:val="p"/>
            </m:rPr>
            <m:t>.</m:t>
          </m:r>
        </m:oMath>
      </m:oMathPara>
    </w:p>
    <w:p>
      <w:pPr>
        <w:pStyle w:val="FirstParagraph"/>
      </w:pPr>
      <w:r>
        <w:t xml:space="preserve">Here</w:t>
      </w:r>
      <w:r>
        <w:t xml:space="preserve"> </w:t>
      </w:r>
      <m:oMath>
        <m:sSub>
          <m:e>
            <m:r>
              <m:t>φ</m:t>
            </m:r>
          </m:e>
          <m:sub>
            <m:r>
              <m:t>G</m:t>
            </m:r>
            <m:r>
              <m:rPr>
                <m:sty m:val="p"/>
              </m:rPr>
              <m:t>,</m:t>
            </m:r>
            <m:r>
              <m:t>i</m:t>
            </m:r>
          </m:sub>
        </m:sSub>
      </m:oMath>
      <w:r>
        <w:t xml:space="preserve"> </w:t>
      </w:r>
      <w:r>
        <w:t xml:space="preserve">is the censoring-model influence function and</w:t>
      </w:r>
      <w:r>
        <w:t xml:space="preserve"> </w:t>
      </w:r>
      <m:oMath>
        <m:sSub>
          <m:e>
            <m:r>
              <m:rPr>
                <m:scr m:val="script"/>
                <m:sty m:val="p"/>
              </m:rPr>
              <m:t>D</m:t>
            </m:r>
          </m:e>
          <m:sub>
            <m:r>
              <m:t>G</m:t>
            </m:r>
          </m:sub>
        </m:sSub>
      </m:oMath>
      <w:r>
        <w:t xml:space="preserve"> </w:t>
      </w:r>
      <w:r>
        <w:t xml:space="preserve">differentiates the effect through the pseudo-outcome. The patient bootstrap that refits</w:t>
      </w:r>
      <w:r>
        <w:t xml:space="preserve"> </w:t>
      </w:r>
      <m:oMath>
        <m:r>
          <m:t>G</m:t>
        </m:r>
      </m:oMath>
      <w:r>
        <w:t xml:space="preserve">, the first stage, projection and outcome bridge consistently estimates the joint limiting distribution. Appendix A.3 gives the derivative and proof. The application uses a Cox model for censoring on</w:t>
      </w:r>
      <w:r>
        <w:t xml:space="preserve"> </w:t>
      </w:r>
      <m:oMath>
        <m:r>
          <m:rPr>
            <m:sty m:val="p"/>
          </m:rPr>
          <m:t>(</m:t>
        </m:r>
        <m:r>
          <m:t>A</m:t>
        </m:r>
        <m:r>
          <m:rPr>
            <m:sty m:val="p"/>
          </m:rPr>
          <m:t>,</m:t>
        </m:r>
        <m:r>
          <m:t>C</m:t>
        </m:r>
        <m:r>
          <m:rPr>
            <m:sty m:val="p"/>
          </m:rPr>
          <m:t>)</m:t>
        </m:r>
      </m:oMath>
      <w:r>
        <w:t xml:space="preserve"> </w:t>
      </w:r>
      <w:r>
        <w:t xml:space="preserve">and its Breslow baseline; the RMST simulation uses independent censoring and reverse Kaplan–Meier.</w:t>
      </w:r>
    </w:p>
    <w:bookmarkEnd w:id="28"/>
    <w:bookmarkStart w:id="29" w:name="concentrated-moment-inference"/>
    <w:p>
      <w:pPr>
        <w:pStyle w:val="Heading2"/>
      </w:pPr>
      <w:r>
        <w:t xml:space="preserve">4.7 Concentrated moment inference</w:t>
      </w:r>
    </w:p>
    <w:p>
      <w:pPr>
        <w:pStyle w:val="FirstParagraph"/>
      </w:pPr>
      <w:r>
        <w:t xml:space="preserve">For residualised instruments and readouts, define</w:t>
      </w:r>
      <w:r>
        <w:t xml:space="preserve"> </w:t>
      </w:r>
      <m:oMath>
        <m:r>
          <m:t>T</m:t>
        </m:r>
        <m:r>
          <m:rPr>
            <m:sty m:val="p"/>
          </m:rPr>
          <m:t>,</m:t>
        </m:r>
        <m:r>
          <m:t>U</m:t>
        </m:r>
        <m:r>
          <m:rPr>
            <m:sty m:val="p"/>
          </m:rPr>
          <m:t>,</m:t>
        </m:r>
        <m:r>
          <m:t>B</m:t>
        </m:r>
        <m:r>
          <m:rPr>
            <m:sty m:val="p"/>
          </m:rPr>
          <m:t>,</m:t>
        </m:r>
        <m:r>
          <m:t>L</m:t>
        </m:r>
        <m:r>
          <m:rPr>
            <m:sty m:val="p"/>
          </m:rPr>
          <m:t>,</m:t>
        </m:r>
        <m:r>
          <m:t>N</m:t>
        </m:r>
        <m:r>
          <m:rPr>
            <m:sty m:val="p"/>
          </m:rPr>
          <m:t>,</m:t>
        </m:r>
        <m:r>
          <m:t>D</m:t>
        </m:r>
      </m:oMath>
      <w:r>
        <w:t xml:space="preserve"> </w:t>
      </w:r>
      <w:r>
        <w:t xml:space="preserve">as in Section 3.7. The nuisance bridge moments give</w:t>
      </w:r>
      <w:r>
        <w:t xml:space="preserve"> </w:t>
      </w:r>
      <m:oMath>
        <m:r>
          <m:t>E</m:t>
        </m:r>
        <m:r>
          <m:rPr>
            <m:sty m:val="p"/>
          </m:rPr>
          <m:t>[</m:t>
        </m:r>
        <m:r>
          <m:t>T</m:t>
        </m:r>
        <m:r>
          <m:t>Y</m:t>
        </m:r>
        <m:r>
          <m:rPr>
            <m:sty m:val="p"/>
          </m:rPr>
          <m:t>]</m:t>
        </m:r>
        <m:r>
          <m:rPr>
            <m:sty m:val="p"/>
          </m:rPr>
          <m:t>=</m:t>
        </m:r>
        <m:sSub>
          <m:e>
            <m:r>
              <m:t>τ</m:t>
            </m:r>
          </m:e>
          <m:sub>
            <m:r>
              <m:t>A</m:t>
            </m:r>
          </m:sub>
        </m:sSub>
        <m:r>
          <m:t>E</m:t>
        </m:r>
        <m:r>
          <m:rPr>
            <m:sty m:val="p"/>
          </m:rPr>
          <m:t>[</m:t>
        </m:r>
        <m:r>
          <m:t>T</m:t>
        </m:r>
        <m:r>
          <m:t>A</m:t>
        </m:r>
        <m:r>
          <m:rPr>
            <m:sty m:val="p"/>
          </m:rPr>
          <m:t>]</m:t>
        </m:r>
        <m:r>
          <m:rPr>
            <m:sty m:val="p"/>
          </m:rPr>
          <m:t>+</m:t>
        </m:r>
        <m:r>
          <m:t>B</m:t>
        </m:r>
        <m:r>
          <m:t>η</m:t>
        </m:r>
      </m:oMath>
      <w:r>
        <w:t xml:space="preserve">; substituting into the remaining moments establishes</w:t>
      </w:r>
      <w:r>
        <w:t xml:space="preserve"> </w:t>
      </w:r>
      <m:oMath>
        <m:r>
          <m:t>N</m:t>
        </m:r>
        <m:r>
          <m:rPr>
            <m:sty m:val="p"/>
          </m:rPr>
          <m:t>=</m:t>
        </m:r>
        <m:sSub>
          <m:e>
            <m:r>
              <m:t>τ</m:t>
            </m:r>
          </m:e>
          <m:sub>
            <m:r>
              <m:t>A</m:t>
            </m:r>
          </m:sub>
        </m:sSub>
        <m:r>
          <m:t>D</m:t>
        </m:r>
      </m:oMath>
      <w:r>
        <w:t xml:space="preserve">. If</w:t>
      </w:r>
      <w:r>
        <w:t xml:space="preserve"> </w:t>
      </w:r>
      <m:oMath>
        <m:sSup>
          <m:e>
            <m:r>
              <m:t>D</m:t>
            </m:r>
          </m:e>
          <m:sup>
            <m:r>
              <m:rPr>
                <m:sty m:val="p"/>
              </m:rPr>
              <m:t>⊤</m:t>
            </m:r>
          </m:sup>
        </m:sSup>
        <m:r>
          <m:t>D</m:t>
        </m:r>
        <m:r>
          <m:rPr>
            <m:sty m:val="p"/>
          </m:rPr>
          <m:t>&gt;</m:t>
        </m:r>
        <m:r>
          <m:t>0</m:t>
        </m:r>
      </m:oMath>
      <w:r>
        <w:t xml:space="preserve">, concentration identifies the same total-effect coefficient. Joint information can keep the nuisance block regular when the final effect-information direction is weak.</w:t>
      </w:r>
    </w:p>
    <w:p>
      <w:pPr>
        <w:pStyle w:val="BodyText"/>
      </w:pPr>
      <w:r>
        <w:rPr>
          <w:b/>
          <w:bCs/>
        </w:rPr>
        <w:t xml:space="preserve">Theorem 3 (concentrated bridge confidence set).</w:t>
      </w:r>
      <w:r>
        <w:t xml:space="preserve"> </w:t>
      </w:r>
      <w:r>
        <w:t xml:space="preserve">Fix valid molecular roles</w:t>
      </w:r>
      <w:r>
        <w:t xml:space="preserve"> </w:t>
      </w:r>
      <w:r>
        <w:t xml:space="preserve">and dimension, or suppose their selection stabilises as in Proposition 3b.</w:t>
      </w:r>
      <w:r>
        <w:t xml:space="preserve"> </w:t>
      </w:r>
      <w:r>
        <w:t xml:space="preserve">Suppose the joint readout space and</w:t>
      </w:r>
      <w:r>
        <w:t xml:space="preserve"> </w:t>
      </w:r>
      <m:oMath>
        <m:r>
          <m:t>B</m:t>
        </m:r>
      </m:oMath>
      <w:r>
        <w:t xml:space="preserve"> </w:t>
      </w:r>
      <w:r>
        <w:t xml:space="preserve">are</w:t>
      </w:r>
      <w:r>
        <w:t xml:space="preserve"> </w:t>
      </w:r>
      <w:r>
        <w:t xml:space="preserve">regular and separated, the nuisance pivot choices have a stable population</w:t>
      </w:r>
      <w:r>
        <w:t xml:space="preserve"> </w:t>
      </w:r>
      <w:r>
        <w:t xml:space="preserve">limit, and the patient moments have finite fourth moments. For survival also</w:t>
      </w:r>
      <w:r>
        <w:t xml:space="preserve"> </w:t>
      </w:r>
      <w:r>
        <w:t xml:space="preserve">assume the censoring and positivity conditions of Theorem 2. Let</w:t>
      </w:r>
      <w:r>
        <w:t xml:space="preserve"> </w:t>
      </w:r>
      <m:oMath>
        <m:acc>
          <m:accPr>
            <m:chr m:val="̂"/>
          </m:accPr>
          <m:e>
            <m:r>
              <m:t>θ</m:t>
            </m:r>
          </m:e>
        </m:acc>
        <m:r>
          <m:rPr>
            <m:sty m:val="p"/>
          </m:rPr>
          <m:t>=</m:t>
        </m:r>
        <m:r>
          <m:rPr>
            <m:sty m:val="p"/>
          </m:rPr>
          <m:t>(</m:t>
        </m:r>
        <m:sSup>
          <m:e>
            <m:acc>
              <m:accPr>
                <m:chr m:val="̂"/>
              </m:accPr>
              <m:e>
                <m:r>
                  <m:t>N</m:t>
                </m:r>
              </m:e>
            </m:acc>
          </m:e>
          <m:sup>
            <m:r>
              <m:rPr>
                <m:sty m:val="p"/>
              </m:rPr>
              <m:t>⊤</m:t>
            </m:r>
          </m:sup>
        </m:sSup>
        <m:r>
          <m:rPr>
            <m:sty m:val="p"/>
          </m:rPr>
          <m:t>,</m:t>
        </m:r>
        <m:sSup>
          <m:e>
            <m:acc>
              <m:accPr>
                <m:chr m:val="̂"/>
              </m:accPr>
              <m:e>
                <m:r>
                  <m:t>D</m:t>
                </m:r>
              </m:e>
            </m:acc>
          </m:e>
          <m:sup>
            <m:r>
              <m:rPr>
                <m:sty m:val="p"/>
              </m:rPr>
              <m:t>⊤</m:t>
            </m:r>
          </m:sup>
        </m:sSup>
        <m:sSup>
          <m:e>
            <m:r>
              <m:rPr>
                <m:sty m:val="p"/>
              </m:rPr>
              <m:t>)</m:t>
            </m:r>
          </m:e>
          <m:sup>
            <m:r>
              <m:rPr>
                <m:sty m:val="p"/>
              </m:rPr>
              <m:t>⊤</m:t>
            </m:r>
          </m:sup>
        </m:sSup>
      </m:oMath>
      <w:r>
        <w:t xml:space="preserve"> </w:t>
      </w:r>
      <w:r>
        <w:t xml:space="preserve">have a joint central</w:t>
      </w:r>
      <w:r>
        <w:t xml:space="preserve"> </w:t>
      </w:r>
      <w:r>
        <w:t xml:space="preserve">limit theorem with consistently estimated sampling covariance</w:t>
      </w:r>
      <w:r>
        <w:t xml:space="preserve"> </w:t>
      </w:r>
      <m:oMath>
        <m:acc>
          <m:accPr>
            <m:chr m:val="̂"/>
          </m:accPr>
          <m:e>
            <m:r>
              <m:t>V</m:t>
            </m:r>
          </m:e>
        </m:acc>
      </m:oMath>
      <w:r>
        <w:t xml:space="preserve">.</w:t>
      </w:r>
      <w:r>
        <w:t xml:space="preserve"> </w:t>
      </w:r>
      <w:r>
        <w:t xml:space="preserve">For each</w:t>
      </w:r>
      <w:r>
        <w:t xml:space="preserve"> </w:t>
      </w:r>
      <m:oMath>
        <m:r>
          <m:t>j</m:t>
        </m:r>
      </m:oMath>
      <w:r>
        <w:t xml:space="preserve">, let</w:t>
      </w:r>
      <w:r>
        <w:t xml:space="preserve"> </w:t>
      </w:r>
      <m:oMath>
        <m:sSub>
          <m:e>
            <m:acc>
              <m:accPr>
                <m:chr m:val="̂"/>
              </m:accPr>
              <m:e>
                <m:r>
                  <m:t>V</m:t>
                </m:r>
              </m:e>
            </m:acc>
          </m:e>
          <m:sub>
            <m:r>
              <m:t>j</m:t>
            </m:r>
          </m:sub>
        </m:sSub>
      </m:oMath>
      <w:r>
        <w:t xml:space="preserve"> </w:t>
      </w:r>
      <w:r>
        <w:t xml:space="preserve">be the covariance submatrix of</w:t>
      </w:r>
      <w:r>
        <w:t xml:space="preserve"> </w:t>
      </w:r>
      <m:oMath>
        <m:r>
          <m:rPr>
            <m:sty m:val="p"/>
          </m:rPr>
          <m:t>(</m:t>
        </m:r>
        <m:sSub>
          <m:e>
            <m:acc>
              <m:accPr>
                <m:chr m:val="̂"/>
              </m:accPr>
              <m:e>
                <m:r>
                  <m:t>N</m:t>
                </m:r>
              </m:e>
            </m:acc>
          </m:e>
          <m:sub>
            <m:r>
              <m:t>j</m:t>
            </m:r>
          </m:sub>
        </m:sSub>
        <m:r>
          <m:rPr>
            <m:sty m:val="p"/>
          </m:rPr>
          <m:t>,</m:t>
        </m:r>
        <m:sSub>
          <m:e>
            <m:acc>
              <m:accPr>
                <m:chr m:val="̂"/>
              </m:accPr>
              <m:e>
                <m:r>
                  <m:t>D</m:t>
                </m:r>
              </m:e>
            </m:acc>
          </m:e>
          <m:sub>
            <m:r>
              <m:t>j</m:t>
            </m:r>
          </m:sub>
        </m:sSub>
        <m:r>
          <m:rPr>
            <m:sty m:val="p"/>
          </m:rPr>
          <m:t>)</m:t>
        </m:r>
      </m:oMath>
      <w:r>
        <w:t xml:space="preserve">, and assume nonzero variance of its true-effect</w:t>
      </w:r>
      <w:r>
        <w:t xml:space="preserve"> </w:t>
      </w:r>
      <w:r>
        <w:t xml:space="preserve">null moment. For fixed</w:t>
      </w:r>
      <w:r>
        <w:t xml:space="preserve"> </w:t>
      </w:r>
      <m:oMath>
        <m:r>
          <m:t>m</m:t>
        </m:r>
      </m:oMath>
      <w:r>
        <w:t xml:space="preserve">, set</w:t>
      </w:r>
    </w:p>
    <w:p>
      <w:pPr>
        <w:pStyle w:val="BodyText"/>
      </w:pPr>
      <m:oMathPara>
        <m:oMathParaPr>
          <m:jc m:val="center"/>
        </m:oMathParaPr>
        <m:oMath>
          <m:sSub>
            <m:e>
              <m:r>
                <m:rPr>
                  <m:scr m:val="script"/>
                  <m:sty m:val="p"/>
                </m:rPr>
                <m:t>C</m:t>
              </m:r>
            </m:e>
            <m:sub>
              <m:r>
                <m:t>1</m:t>
              </m:r>
              <m:r>
                <m:rPr>
                  <m:sty m:val="p"/>
                </m:rPr>
                <m:t>−</m:t>
              </m:r>
              <m:r>
                <m:t>α</m:t>
              </m:r>
            </m:sub>
          </m:sSub>
          <m:r>
            <m:rPr>
              <m:sty m:val="p"/>
            </m:rPr>
            <m:t>=</m:t>
          </m:r>
          <m:limLow>
            <m:e>
              <m:limUpp>
                <m:e>
                  <m:r>
                    <m:rPr>
                      <m:sty m:val="p"/>
                    </m:rPr>
                    <m:t>⋂</m:t>
                  </m:r>
                </m:e>
                <m:lim>
                  <m:r>
                    <m:t>m</m:t>
                  </m:r>
                </m:lim>
              </m:limUpp>
            </m:e>
            <m:lim>
              <m:r>
                <m:t>j</m:t>
              </m:r>
              <m:r>
                <m:rPr>
                  <m:sty m:val="p"/>
                </m:rPr>
                <m:t>=</m:t>
              </m:r>
              <m:r>
                <m:t>1</m:t>
              </m:r>
            </m:lim>
          </m:limLow>
          <m:d>
            <m:dPr>
              <m:begChr m:val="{"/>
              <m:sepChr m:val=""/>
              <m:endChr m:val="}"/>
              <m:grow/>
            </m:dPr>
            <m:e>
              <m:r>
                <m:t>t</m:t>
              </m:r>
              <m:r>
                <m:rPr>
                  <m:sty m:val="p"/>
                </m:rPr>
                <m:t>:</m:t>
              </m:r>
              <m:r>
                <m:rPr>
                  <m:sty m:val="p"/>
                </m:rPr>
                <m:t>(</m:t>
              </m:r>
              <m:sSub>
                <m:e>
                  <m:acc>
                    <m:accPr>
                      <m:chr m:val="̂"/>
                    </m:accPr>
                    <m:e>
                      <m:r>
                        <m:t>N</m:t>
                      </m:r>
                    </m:e>
                  </m:acc>
                </m:e>
                <m:sub>
                  <m:r>
                    <m:t>j</m:t>
                  </m:r>
                </m:sub>
              </m:sSub>
              <m:r>
                <m:rPr>
                  <m:sty m:val="p"/>
                </m:rPr>
                <m:t>−</m:t>
              </m:r>
              <m:r>
                <m:t>t</m:t>
              </m:r>
              <m:sSub>
                <m:e>
                  <m:acc>
                    <m:accPr>
                      <m:chr m:val="̂"/>
                    </m:accPr>
                    <m:e>
                      <m:r>
                        <m:t>D</m:t>
                      </m:r>
                    </m:e>
                  </m:acc>
                </m:e>
                <m:sub>
                  <m:r>
                    <m:t>j</m:t>
                  </m:r>
                </m:sub>
              </m:sSub>
              <m:sSup>
                <m:e>
                  <m:r>
                    <m:rPr>
                      <m:sty m:val="p"/>
                    </m:rPr>
                    <m:t>)</m:t>
                  </m:r>
                </m:e>
                <m:sup>
                  <m:r>
                    <m:t>2</m:t>
                  </m:r>
                </m:sup>
              </m:sSup>
              <m:r>
                <m:rPr>
                  <m:sty m:val="p"/>
                </m:rPr>
                <m:t>≤</m:t>
              </m:r>
              <m:sSubSup>
                <m:e>
                  <m:r>
                    <m:t>z</m:t>
                  </m:r>
                </m:e>
                <m:sub>
                  <m:r>
                    <m:t>1</m:t>
                  </m:r>
                  <m:r>
                    <m:rPr>
                      <m:sty m:val="p"/>
                    </m:rPr>
                    <m:t>−</m:t>
                  </m:r>
                  <m:r>
                    <m:t>α</m:t>
                  </m:r>
                  <m:r>
                    <m:rPr>
                      <m:sty m:val="p"/>
                    </m:rPr>
                    <m:t>/</m:t>
                  </m:r>
                  <m:r>
                    <m:rPr>
                      <m:sty m:val="p"/>
                    </m:rPr>
                    <m:t>(</m:t>
                  </m:r>
                  <m:r>
                    <m:t>2</m:t>
                  </m:r>
                  <m:r>
                    <m:t>m</m:t>
                  </m:r>
                  <m:r>
                    <m:rPr>
                      <m:sty m:val="p"/>
                    </m:rPr>
                    <m:t>)</m:t>
                  </m:r>
                </m:sub>
                <m:sup>
                  <m:r>
                    <m:t>2</m:t>
                  </m:r>
                </m:sup>
              </m:sSubSup>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t</m:t>
                        </m:r>
                      </m:e>
                    </m:mr>
                  </m:m>
                </m:e>
              </m:d>
              <m:sSub>
                <m:e>
                  <m:acc>
                    <m:accPr>
                      <m:chr m:val="̂"/>
                    </m:accPr>
                    <m:e>
                      <m:r>
                        <m:t>V</m:t>
                      </m:r>
                    </m:e>
                  </m:acc>
                </m:e>
                <m:sub>
                  <m:r>
                    <m:t>j</m:t>
                  </m:r>
                </m:sub>
              </m:sSub>
              <m:d>
                <m:dPr>
                  <m:begChr m:val="("/>
                  <m:sepChr m:val=""/>
                  <m:endChr m:val=")"/>
                  <m:grow/>
                </m:dPr>
                <m:e>
                  <m:m>
                    <m:mPr>
                      <m:baseJc m:val="center"/>
                      <m:plcHide m:val="on"/>
                      <m:mcs>
                        <m:mc>
                          <m:mcPr>
                            <m:mcJc m:val="center"/>
                            <m:count m:val="1"/>
                          </m:mcPr>
                        </m:mc>
                      </m:mcs>
                    </m:mPr>
                    <m:mr>
                      <m:e>
                        <m:r>
                          <m:t>1</m:t>
                        </m:r>
                      </m:e>
                    </m:mr>
                    <m:mr>
                      <m:e>
                        <m:r>
                          <m:rPr>
                            <m:sty m:val="p"/>
                          </m:rPr>
                          <m:t>−</m:t>
                        </m:r>
                        <m:r>
                          <m:t>t</m:t>
                        </m:r>
                      </m:e>
                    </m:mr>
                  </m:m>
                </m:e>
              </m:d>
            </m:e>
          </m:d>
          <m:r>
            <m:rPr>
              <m:sty m:val="p"/>
            </m:rPr>
            <m:t>.</m:t>
          </m:r>
        </m:oMath>
      </m:oMathPara>
    </w:p>
    <w:p>
      <w:pPr>
        <w:pStyle w:val="FirstParagraph"/>
      </w:pPr>
      <w:r>
        <w:t xml:space="preserve">Then</w:t>
      </w:r>
      <w:r>
        <w:t xml:space="preserve"> </w:t>
      </w:r>
      <m:oMath>
        <m:r>
          <m:rPr>
            <m:sty m:val="p"/>
          </m:rPr>
          <m:t>liminf</m:t>
        </m:r>
        <m:r>
          <m:rPr>
            <m:sty m:val="p"/>
          </m:rPr>
          <m:t>Pr</m:t>
        </m:r>
        <m:r>
          <m:rPr>
            <m:sty m:val="p"/>
          </m:rPr>
          <m:t>(</m:t>
        </m:r>
        <m:sSub>
          <m:e>
            <m:r>
              <m:t>τ</m:t>
            </m:r>
          </m:e>
          <m:sub>
            <m:r>
              <m:t>A</m:t>
            </m:r>
          </m:sub>
        </m:sSub>
        <m:r>
          <m:rPr>
            <m:sty m:val="p"/>
          </m:rPr>
          <m:t>∈</m:t>
        </m:r>
        <m:sSub>
          <m:e>
            <m:r>
              <m:rPr>
                <m:scr m:val="script"/>
                <m:sty m:val="p"/>
              </m:rPr>
              <m:t>C</m:t>
            </m:r>
          </m:e>
          <m:sub>
            <m:r>
              <m:t>1</m:t>
            </m:r>
            <m:r>
              <m:rPr>
                <m:sty m:val="p"/>
              </m:rPr>
              <m:t>−</m:t>
            </m:r>
            <m:r>
              <m:t>α</m:t>
            </m:r>
          </m:sub>
        </m:sSub>
        <m:r>
          <m:rPr>
            <m:sty m:val="p"/>
          </m:rPr>
          <m:t>)</m:t>
        </m:r>
        <m:r>
          <m:rPr>
            <m:sty m:val="p"/>
          </m:rPr>
          <m:t>≥</m:t>
        </m:r>
        <m:r>
          <m:t>1</m:t>
        </m:r>
        <m:r>
          <m:rPr>
            <m:sty m:val="p"/>
          </m:rPr>
          <m:t>−</m:t>
        </m:r>
        <m:r>
          <m:t>α</m:t>
        </m:r>
      </m:oMath>
      <w:r>
        <w:t xml:space="preserve">.</w:t>
      </w:r>
      <w:r>
        <w:t xml:space="preserve"> </w:t>
      </w:r>
      <w:r>
        <w:t xml:space="preserve">The statement is uniform along sequences with a uniform joint moment CLT,</w:t>
      </w:r>
      <w:r>
        <w:t xml:space="preserve"> </w:t>
      </w:r>
      <w:r>
        <w:t xml:space="preserve">uniform covariance consistency, a regular separated nuisance block and joint</w:t>
      </w:r>
      <w:r>
        <w:t xml:space="preserve"> </w:t>
      </w:r>
      <w:r>
        <w:t xml:space="preserve">readout space, stable nuisance pivots, and uniformly nondegenerate null-moment</w:t>
      </w:r>
      <w:r>
        <w:t xml:space="preserve"> </w:t>
      </w:r>
      <w:r>
        <w:t xml:space="preserve">variances, including sequences with</w:t>
      </w:r>
      <w:r>
        <w:t xml:space="preserve"> </w:t>
      </w:r>
      <m:oMath>
        <m:r>
          <m:t>D</m:t>
        </m:r>
        <m:r>
          <m:rPr>
            <m:sty m:val="p"/>
          </m:rPr>
          <m:t>→</m:t>
        </m:r>
        <m:r>
          <m:t>0</m:t>
        </m:r>
      </m:oMath>
      <w:r>
        <w:t xml:space="preserve">.</w:t>
      </w:r>
    </w:p>
    <w:p>
      <w:pPr>
        <w:pStyle w:val="BodyText"/>
      </w:pPr>
      <w:r>
        <w:t xml:space="preserve">The proof is given in Appendix A.4.</w:t>
      </w:r>
    </w:p>
    <w:p>
      <w:pPr>
        <w:pStyle w:val="BodyText"/>
      </w:pPr>
      <w:r>
        <w:t xml:space="preserve">Fieller inversion [23] applies to each concentrated moment. The Bonferroni intersection gives coverage through the union bound, allowing dependence among components.</w:t>
      </w:r>
    </w:p>
    <w:bookmarkEnd w:id="29"/>
    <w:bookmarkStart w:id="30" w:name="Xa9dac6593f44ea0df5e51f45ab8c1d0f97d1061"/>
    <w:p>
      <w:pPr>
        <w:pStyle w:val="Heading2"/>
      </w:pPr>
      <w:r>
        <w:t xml:space="preserve">4.8 Independent discovery and clinical estimation</w:t>
      </w:r>
    </w:p>
    <w:p>
      <w:pPr>
        <w:pStyle w:val="FirstParagraph"/>
      </w:pPr>
      <w:r>
        <w:t xml:space="preserve">Let</w:t>
      </w:r>
      <w:r>
        <w:t xml:space="preserve"> </w:t>
      </w:r>
      <m:oMath>
        <m:r>
          <m:rPr>
            <m:scr m:val="script"/>
            <m:sty m:val="p"/>
          </m:rPr>
          <m:t>D</m:t>
        </m:r>
      </m:oMath>
      <w:r>
        <w:t xml:space="preserve"> </w:t>
      </w:r>
      <w:r>
        <w:t xml:space="preserve">contain discovery patients and</w:t>
      </w:r>
      <w:r>
        <w:t xml:space="preserve"> </w:t>
      </w:r>
      <m:oMath>
        <m:r>
          <m:rPr>
            <m:scr m:val="script"/>
            <m:sty m:val="p"/>
          </m:rPr>
          <m:t>I</m:t>
        </m:r>
      </m:oMath>
      <w:r>
        <w:t xml:space="preserve"> </w:t>
      </w:r>
      <w:r>
        <w:t xml:space="preserve">contain independent estimation patients. Molecular preprocessing, the panel, the support grid, proxy roles, dimension, readout matrix</w:t>
      </w:r>
      <w:r>
        <w:t xml:space="preserve"> </w:t>
      </w:r>
      <m:oMath>
        <m:sSub>
          <m:e>
            <m:r>
              <m:t>P</m:t>
            </m:r>
          </m:e>
          <m:sub>
            <m:r>
              <m:rPr>
                <m:scr m:val="script"/>
                <m:sty m:val="p"/>
              </m:rPr>
              <m:t>D</m:t>
            </m:r>
          </m:sub>
        </m:sSub>
      </m:oMath>
      <w:r>
        <w:t xml:space="preserve"> </w:t>
      </w:r>
      <w:r>
        <w:t xml:space="preserve">and nuisance moment coordinates are functions of</w:t>
      </w:r>
      <w:r>
        <w:t xml:space="preserve"> </w:t>
      </w:r>
      <m:oMath>
        <m:r>
          <m:rPr>
            <m:scr m:val="script"/>
            <m:sty m:val="p"/>
          </m:rPr>
          <m:t>D</m:t>
        </m:r>
      </m:oMath>
      <w:r>
        <w:t xml:space="preserve">. They are fixed when analysing</w:t>
      </w:r>
      <w:r>
        <w:t xml:space="preserve"> </w:t>
      </w:r>
      <m:oMath>
        <m:r>
          <m:rPr>
            <m:scr m:val="script"/>
            <m:sty m:val="p"/>
          </m:rPr>
          <m:t>I</m:t>
        </m:r>
      </m:oMath>
      <w:r>
        <w:t xml:space="preserve">. Write</w:t>
      </w:r>
      <w:r>
        <w:t xml:space="preserve"> </w:t>
      </w:r>
      <m:oMath>
        <m:sSub>
          <m:e>
            <m:r>
              <m:rPr>
                <m:scr m:val="script"/>
                <m:sty m:val="p"/>
              </m:rPr>
              <m:t>G</m:t>
            </m:r>
          </m:e>
          <m:sub>
            <m:r>
              <m:t>n</m:t>
            </m:r>
          </m:sub>
        </m:sSub>
      </m:oMath>
      <w:r>
        <w:t xml:space="preserve"> </w:t>
      </w:r>
      <w:r>
        <w:t xml:space="preserve">for the event that an available discovery design has valid proxy roles, dimension</w:t>
      </w:r>
      <w:r>
        <w:t xml:space="preserve"> </w:t>
      </w:r>
      <m:oMath>
        <m:sSub>
          <m:e>
            <m:r>
              <m:t>r</m:t>
            </m:r>
          </m:e>
          <m:sub>
            <m:r>
              <m:t>0</m:t>
            </m:r>
          </m:sub>
        </m:sSub>
      </m:oMath>
      <w:r>
        <w:t xml:space="preserve">,</w:t>
      </w:r>
      <w:r>
        <w:t xml:space="preserve"> </w:t>
      </w:r>
      <m:oMath>
        <m:r>
          <m:rPr>
            <m:sty m:val="p"/>
          </m:rPr>
          <m:t>rank</m:t>
        </m:r>
        <m:r>
          <m:rPr>
            <m:sty m:val="p"/>
          </m:rPr>
          <m:t>(</m:t>
        </m:r>
        <m:sSubSup>
          <m:e>
            <m:r>
              <m:t>P</m:t>
            </m:r>
          </m:e>
          <m:sub>
            <m:r>
              <m:rPr>
                <m:scr m:val="script"/>
                <m:sty m:val="p"/>
              </m:rPr>
              <m:t>D</m:t>
            </m:r>
          </m:sub>
          <m:sup>
            <m:r>
              <m:rPr>
                <m:sty m:val="p"/>
              </m:rPr>
              <m:t>⊤</m:t>
            </m:r>
          </m:sup>
        </m:sSubSup>
        <m:sSub>
          <m:e>
            <m:r>
              <m:t>L</m:t>
            </m:r>
          </m:e>
          <m:sub>
            <m:r>
              <m:t>W</m:t>
            </m:r>
          </m:sub>
        </m:sSub>
        <m:r>
          <m:rPr>
            <m:sty m:val="p"/>
          </m:rPr>
          <m:t>)</m:t>
        </m:r>
        <m:r>
          <m:rPr>
            <m:sty m:val="p"/>
          </m:rPr>
          <m:t>=</m:t>
        </m:r>
        <m:sSub>
          <m:e>
            <m:r>
              <m:t>r</m:t>
            </m:r>
          </m:e>
          <m:sub>
            <m:r>
              <m:t>0</m:t>
            </m:r>
          </m:sub>
        </m:sSub>
      </m:oMath>
      <w:r>
        <w:t xml:space="preserve">, and a regular population nuisance block. A discovery design without sufficient information returns</w:t>
      </w:r>
      <w:r>
        <w:t xml:space="preserve"> </w:t>
      </w:r>
      <m:oMath>
        <m:r>
          <m:rPr>
            <m:scr m:val="double-struck"/>
            <m:sty m:val="p"/>
          </m:rPr>
          <m:t>R</m:t>
        </m:r>
      </m:oMath>
      <w:r>
        <w:t xml:space="preserve"> </w:t>
      </w:r>
      <w:r>
        <w:t xml:space="preserve">and supplies no point estimate.</w:t>
      </w:r>
    </w:p>
    <w:p>
      <w:pPr>
        <w:pStyle w:val="BodyText"/>
      </w:pPr>
      <w:r>
        <w:rPr>
          <w:b/>
          <w:bCs/>
        </w:rPr>
        <w:t xml:space="preserve">Theorem 4 (inference from independent estimation patients).</w:t>
      </w:r>
      <w:r>
        <w:t xml:space="preserve"> </w:t>
      </w:r>
      <w:r>
        <w:t xml:space="preserve">Conditional on a discovery design in</w:t>
      </w:r>
      <w:r>
        <w:t xml:space="preserve"> </w:t>
      </w:r>
      <m:oMath>
        <m:sSub>
          <m:e>
            <m:r>
              <m:rPr>
                <m:scr m:val="script"/>
                <m:sty m:val="p"/>
              </m:rPr>
              <m:t>G</m:t>
            </m:r>
          </m:e>
          <m:sub>
            <m:r>
              <m:t>n</m:t>
            </m:r>
          </m:sub>
        </m:sSub>
      </m:oMath>
      <w:r>
        <w:t xml:space="preserve">, suppose Proposition 2 holds for its selected proxies, and the concentrated moment vector in estimation patients has a uniform joint central limit law with a consistently estimated covariance. Assume a fixed upper bound on the number of moment coordinates, uniformly nonsingular covariate projections, a nuisance block with smallest singular value bounded away from zero, and null-moment variances bounded away from zero. For censored targets, impose Proposition 5 and the correctly specified, regular censoring fit of Theorem 2, refitted only in estimation patients and their resamples. Then the intersected Fieller set</w:t>
      </w:r>
      <w:r>
        <w:t xml:space="preserve"> </w:t>
      </w:r>
      <m:oMath>
        <m:sSub>
          <m:e>
            <m:r>
              <m:rPr>
                <m:scr m:val="script"/>
                <m:sty m:val="p"/>
              </m:rPr>
              <m:t>C</m:t>
            </m:r>
          </m:e>
          <m:sub>
            <m:r>
              <m:rPr>
                <m:scr m:val="script"/>
                <m:sty m:val="p"/>
              </m:rPr>
              <m:t>I</m:t>
            </m:r>
          </m:sub>
        </m:sSub>
        <m:r>
          <m:rPr>
            <m:sty m:val="p"/>
          </m:rPr>
          <m:t>(</m:t>
        </m:r>
        <m:r>
          <m:rPr>
            <m:scr m:val="script"/>
            <m:sty m:val="p"/>
          </m:rPr>
          <m:t>D</m:t>
        </m:r>
        <m:r>
          <m:rPr>
            <m:sty m:val="p"/>
          </m:rPr>
          <m:t>)</m:t>
        </m:r>
      </m:oMath>
      <w:r>
        <w:t xml:space="preserve"> </w:t>
      </w:r>
      <w:r>
        <w:t xml:space="preserve">satisfies</w:t>
      </w:r>
    </w:p>
    <w:p>
      <w:pPr>
        <w:pStyle w:val="BodyText"/>
      </w:pPr>
      <m:oMathPara>
        <m:oMathParaPr>
          <m:jc m:val="center"/>
        </m:oMathParaPr>
        <m:oMath>
          <m:limLow>
            <m:e>
              <m:r>
                <m:rPr>
                  <m:sty m:val="p"/>
                </m:rPr>
                <m:t>inf</m:t>
              </m:r>
            </m:e>
            <m:lim>
              <m:r>
                <m:rPr>
                  <m:scr m:val="script"/>
                  <m:sty m:val="p"/>
                </m:rPr>
                <m:t>D</m:t>
              </m:r>
              <m:r>
                <m:rPr>
                  <m:sty m:val="p"/>
                </m:rPr>
                <m:t>∈</m:t>
              </m:r>
              <m:sSub>
                <m:e>
                  <m:r>
                    <m:rPr>
                      <m:scr m:val="script"/>
                      <m:sty m:val="p"/>
                    </m:rPr>
                    <m:t>G</m:t>
                  </m:r>
                </m:e>
                <m:sub>
                  <m:r>
                    <m:t>n</m:t>
                  </m:r>
                </m:sub>
              </m:sSub>
            </m:lim>
          </m:limLow>
          <m:r>
            <m:t>P</m:t>
          </m:r>
          <m:r>
            <m:rPr>
              <m:sty m:val="p"/>
            </m:rPr>
            <m:t>{</m:t>
          </m:r>
          <m:sSub>
            <m:e>
              <m:r>
                <m:t>τ</m:t>
              </m:r>
            </m:e>
            <m:sub>
              <m:r>
                <m:t>A</m:t>
              </m:r>
            </m:sub>
          </m:sSub>
          <m:r>
            <m:rPr>
              <m:sty m:val="p"/>
            </m:rPr>
            <m:t>∈</m:t>
          </m:r>
          <m:sSub>
            <m:e>
              <m:r>
                <m:rPr>
                  <m:scr m:val="script"/>
                  <m:sty m:val="p"/>
                </m:rPr>
                <m:t>C</m:t>
              </m:r>
            </m:e>
            <m:sub>
              <m:r>
                <m:rPr>
                  <m:scr m:val="script"/>
                  <m:sty m:val="p"/>
                </m:rPr>
                <m:t>I</m:t>
              </m:r>
            </m:sub>
          </m:sSub>
          <m:r>
            <m:rPr>
              <m:sty m:val="p"/>
            </m:rPr>
            <m:t>(</m:t>
          </m:r>
          <m:r>
            <m:rPr>
              <m:scr m:val="script"/>
              <m:sty m:val="p"/>
            </m:rPr>
            <m:t>D</m:t>
          </m:r>
          <m:r>
            <m:rPr>
              <m:sty m:val="p"/>
            </m:rPr>
            <m:t>)</m:t>
          </m:r>
          <m:r>
            <m:rPr>
              <m:sty m:val="p"/>
            </m:rPr>
            <m:t>∣</m:t>
          </m:r>
          <m:r>
            <m:rPr>
              <m:scr m:val="script"/>
              <m:sty m:val="p"/>
            </m:rPr>
            <m:t>D</m:t>
          </m:r>
          <m:r>
            <m:rPr>
              <m:sty m:val="p"/>
            </m:rPr>
            <m:t>}</m:t>
          </m:r>
          <m:r>
            <m:rPr>
              <m:sty m:val="p"/>
            </m:rPr>
            <m:t>≥</m:t>
          </m:r>
          <m:r>
            <m:t>1</m:t>
          </m:r>
          <m:r>
            <m:rPr>
              <m:sty m:val="p"/>
            </m:rPr>
            <m:t>−</m:t>
          </m:r>
          <m:r>
            <m:t>α</m:t>
          </m:r>
          <m:r>
            <m:rPr>
              <m:sty m:val="p"/>
            </m:rPr>
            <m:t>−</m:t>
          </m:r>
          <m:r>
            <m:t>o</m:t>
          </m:r>
          <m:r>
            <m:rPr>
              <m:sty m:val="p"/>
            </m:rPr>
            <m:t>(</m:t>
          </m:r>
          <m:r>
            <m:t>1</m:t>
          </m:r>
          <m:r>
            <m:rPr>
              <m:sty m:val="p"/>
            </m:rPr>
            <m:t>)</m:t>
          </m:r>
          <m:r>
            <m:rPr>
              <m:sty m:val="p"/>
            </m:rPr>
            <m:t>.</m:t>
          </m:r>
        </m:oMath>
      </m:oMathPara>
    </w:p>
    <w:p>
      <w:pPr>
        <w:pStyle w:val="FirstParagraph"/>
      </w:pPr>
      <w:r>
        <w:t xml:space="preserve">The effect-information vector may approach zero. There is no requirement that the winning molecular design converge to one particular candidate. If an available invalid or dimension-incomplete discovery design occurs with probability at most</w:t>
      </w:r>
      <w:r>
        <w:t xml:space="preserve"> </w:t>
      </w:r>
      <m:oMath>
        <m:sSub>
          <m:e>
            <m:r>
              <m:t>ε</m:t>
            </m:r>
          </m:e>
          <m:sub>
            <m:r>
              <m:t>n</m:t>
            </m:r>
          </m:sub>
        </m:sSub>
      </m:oMath>
      <w:r>
        <w:t xml:space="preserve">, returning</w:t>
      </w:r>
      <w:r>
        <w:t xml:space="preserve"> </w:t>
      </w:r>
      <m:oMath>
        <m:r>
          <m:rPr>
            <m:scr m:val="double-struck"/>
            <m:sty m:val="p"/>
          </m:rPr>
          <m:t>R</m:t>
        </m:r>
      </m:oMath>
      <w:r>
        <w:t xml:space="preserve"> </w:t>
      </w:r>
      <w:r>
        <w:t xml:space="preserve">for unavailable designs and numerical failures gives</w:t>
      </w:r>
    </w:p>
    <w:p>
      <w:pPr>
        <w:pStyle w:val="BodyText"/>
      </w:pPr>
      <m:oMathPara>
        <m:oMathParaPr>
          <m:jc m:val="center"/>
        </m:oMathParaPr>
        <m:oMath>
          <m:r>
            <m:t>P</m:t>
          </m:r>
          <m:r>
            <m:rPr>
              <m:sty m:val="p"/>
            </m:rPr>
            <m:t>{</m:t>
          </m:r>
          <m:sSub>
            <m:e>
              <m:r>
                <m:t>τ</m:t>
              </m:r>
            </m:e>
            <m:sub>
              <m:r>
                <m:t>A</m:t>
              </m:r>
            </m:sub>
          </m:sSub>
          <m:r>
            <m:rPr>
              <m:sty m:val="p"/>
            </m:rPr>
            <m:t>∈</m:t>
          </m:r>
          <m:sSub>
            <m:e>
              <m:r>
                <m:rPr>
                  <m:scr m:val="script"/>
                  <m:sty m:val="p"/>
                </m:rPr>
                <m:t>C</m:t>
              </m:r>
            </m:e>
            <m:sub>
              <m:r>
                <m:rPr>
                  <m:scr m:val="script"/>
                  <m:sty m:val="p"/>
                </m:rPr>
                <m:t>I</m:t>
              </m:r>
            </m:sub>
          </m:sSub>
          <m:r>
            <m:rPr>
              <m:sty m:val="p"/>
            </m:rPr>
            <m:t>(</m:t>
          </m:r>
          <m:r>
            <m:rPr>
              <m:scr m:val="script"/>
              <m:sty m:val="p"/>
            </m:rPr>
            <m:t>D</m:t>
          </m:r>
          <m:r>
            <m:rPr>
              <m:sty m:val="p"/>
            </m:rPr>
            <m:t>)</m:t>
          </m:r>
          <m:r>
            <m:rPr>
              <m:sty m:val="p"/>
            </m:rPr>
            <m:t>}</m:t>
          </m:r>
          <m:r>
            <m:rPr>
              <m:sty m:val="p"/>
            </m:rPr>
            <m:t>≥</m:t>
          </m:r>
          <m:r>
            <m:t>1</m:t>
          </m:r>
          <m:r>
            <m:rPr>
              <m:sty m:val="p"/>
            </m:rPr>
            <m:t>−</m:t>
          </m:r>
          <m:r>
            <m:t>α</m:t>
          </m:r>
          <m:r>
            <m:rPr>
              <m:sty m:val="p"/>
            </m:rPr>
            <m:t>−</m:t>
          </m:r>
          <m:sSub>
            <m:e>
              <m:r>
                <m:t>ε</m:t>
              </m:r>
            </m:e>
            <m:sub>
              <m:r>
                <m:t>n</m:t>
              </m:r>
            </m:sub>
          </m:sSub>
          <m:r>
            <m:rPr>
              <m:sty m:val="p"/>
            </m:rPr>
            <m:t>−</m:t>
          </m:r>
          <m:r>
            <m:t>o</m:t>
          </m:r>
          <m:r>
            <m:rPr>
              <m:sty m:val="p"/>
            </m:rPr>
            <m:t>(</m:t>
          </m:r>
          <m:r>
            <m:t>1</m:t>
          </m:r>
          <m:r>
            <m:rPr>
              <m:sty m:val="p"/>
            </m:rPr>
            <m:t>)</m:t>
          </m:r>
          <m:r>
            <m:rPr>
              <m:sty m:val="p"/>
            </m:rPr>
            <m:t>.</m:t>
          </m:r>
        </m:oMath>
      </m:oMathPara>
    </w:p>
    <w:p>
      <w:pPr>
        <w:pStyle w:val="FirstParagraph"/>
      </w:pPr>
      <w:r>
        <w:t xml:space="preserve">In particular, consistent discovery of valid complete roles with</w:t>
      </w:r>
      <w:r>
        <w:t xml:space="preserve"> </w:t>
      </w:r>
      <m:oMath>
        <m:sSub>
          <m:e>
            <m:r>
              <m:t>ε</m:t>
            </m:r>
          </m:e>
          <m:sub>
            <m:r>
              <m:t>n</m:t>
            </m:r>
          </m:sub>
        </m:sSub>
        <m:r>
          <m:rPr>
            <m:sty m:val="p"/>
          </m:rPr>
          <m:t>→</m:t>
        </m:r>
        <m:r>
          <m:t>0</m:t>
        </m:r>
      </m:oMath>
      <w:r>
        <w:t xml:space="preserve"> </w:t>
      </w:r>
      <w:r>
        <w:t xml:space="preserve">yields unconditional asymptotic coverage at least</w:t>
      </w:r>
      <w:r>
        <w:t xml:space="preserve"> </w:t>
      </w:r>
      <m:oMath>
        <m:r>
          <m:t>1</m:t>
        </m:r>
        <m:r>
          <m:rPr>
            <m:sty m:val="p"/>
          </m:rPr>
          <m:t>−</m:t>
        </m:r>
        <m:r>
          <m:t>α</m:t>
        </m:r>
      </m:oMath>
      <w:r>
        <w:t xml:space="preserve">. Covariance consistency includes an increasing number of moment resamples in the asymptotic statement.</w:t>
      </w:r>
    </w:p>
    <w:p>
      <w:pPr>
        <w:pStyle w:val="BodyText"/>
      </w:pPr>
      <w:r>
        <w:t xml:space="preserve">The proof is given in Appendix A.5.</w:t>
      </w:r>
    </w:p>
    <w:bookmarkEnd w:id="30"/>
    <w:bookmarkEnd w:id="31"/>
    <w:bookmarkStart w:id="36" w:name="simulation"/>
    <w:p>
      <w:pPr>
        <w:pStyle w:val="Heading1"/>
      </w:pPr>
      <w:r>
        <w:t xml:space="preserve">5 Simulation</w:t>
      </w:r>
    </w:p>
    <w:bookmarkStart w:id="32" w:name="molecular-systems-and-causal-targets"/>
    <w:p>
      <w:pPr>
        <w:pStyle w:val="Heading2"/>
      </w:pPr>
      <w:r>
        <w:t xml:space="preserve">5.1 Molecular systems and causal targets</w:t>
      </w:r>
    </w:p>
    <w:p>
      <w:pPr>
        <w:pStyle w:val="FirstParagraph"/>
      </w:pPr>
      <w:r>
        <w:t xml:space="preserve">The first five fixed acyclic systems contain one exposure, six designated treatment proxies, six designated outcome proxies and 18 additional proteins. Set</w:t>
      </w:r>
      <w:r>
        <w:t xml:space="preserve"> </w:t>
      </w:r>
      <m:oMath>
        <m:r>
          <m:t>X</m:t>
        </m:r>
        <m:r>
          <m:rPr>
            <m:sty m:val="p"/>
          </m:rPr>
          <m:t>=</m:t>
        </m:r>
        <m:r>
          <m:rPr>
            <m:sty m:val="p"/>
          </m:rPr>
          <m:t>(</m:t>
        </m:r>
        <m:sSub>
          <m:e>
            <m:r>
              <m:t>ℓ</m:t>
            </m:r>
          </m:e>
          <m:sub>
            <m:r>
              <m:t>F</m:t>
            </m:r>
          </m:sub>
        </m:sSub>
        <m:r>
          <m:t>F</m:t>
        </m:r>
        <m:sSup>
          <m:e>
            <m:r>
              <m:rPr>
                <m:sty m:val="p"/>
              </m:rPr>
              <m:t>Λ</m:t>
            </m:r>
          </m:e>
          <m:sup>
            <m:r>
              <m:rPr>
                <m:sty m:val="p"/>
              </m:rPr>
              <m:t>⊤</m:t>
            </m:r>
          </m:sup>
        </m:sSup>
        <m:r>
          <m:rPr>
            <m:sty m:val="p"/>
          </m:rPr>
          <m:t>+</m:t>
        </m:r>
        <m:r>
          <m:t>E</m:t>
        </m:r>
        <m:r>
          <m:rPr>
            <m:sty m:val="p"/>
          </m:rPr>
          <m:t>)</m:t>
        </m:r>
        <m:r>
          <m:rPr>
            <m:sty m:val="p"/>
          </m:rPr>
          <m:t>(</m:t>
        </m:r>
        <m:r>
          <m:t>I</m:t>
        </m:r>
        <m:r>
          <m:rPr>
            <m:sty m:val="p"/>
          </m:rPr>
          <m:t>−</m:t>
        </m:r>
        <m:r>
          <m:rPr>
            <m:sty m:val="p"/>
          </m:rPr>
          <m:t>Θ</m:t>
        </m:r>
        <m:sSup>
          <m:e>
            <m:r>
              <m:rPr>
                <m:sty m:val="p"/>
              </m:rPr>
              <m:t>)</m:t>
            </m:r>
          </m:e>
          <m:sup>
            <m:r>
              <m:rPr>
                <m:sty m:val="p"/>
              </m:rPr>
              <m:t>−</m:t>
            </m:r>
            <m:r>
              <m:t>1</m:t>
            </m:r>
          </m:sup>
        </m:sSup>
      </m:oMath>
      <w:r>
        <w:t xml:space="preserve">, with independent factor coordinates and structural errors uniform on</w:t>
      </w:r>
      <w:r>
        <w:t xml:space="preserve"> </w:t>
      </w:r>
      <m:oMath>
        <m:r>
          <m:rPr>
            <m:sty m:val="p"/>
          </m:rPr>
          <m:t>(</m:t>
        </m:r>
        <m:r>
          <m:rPr>
            <m:sty m:val="p"/>
          </m:rPr>
          <m:t>−</m:t>
        </m:r>
        <m:rad>
          <m:radPr>
            <m:degHide m:val="on"/>
          </m:radPr>
          <m:deg/>
          <m:e>
            <m:r>
              <m:t>3</m:t>
            </m:r>
          </m:e>
        </m:rad>
        <m:r>
          <m:rPr>
            <m:sty m:val="p"/>
          </m:rPr>
          <m:t>,</m:t>
        </m:r>
        <m:rad>
          <m:radPr>
            <m:degHide m:val="on"/>
          </m:radPr>
          <m:deg/>
          <m:e>
            <m:r>
              <m:t>3</m:t>
            </m:r>
          </m:e>
        </m:rad>
        <m:r>
          <m:rPr>
            <m:sty m:val="p"/>
          </m:rPr>
          <m:t>)</m:t>
        </m:r>
      </m:oMath>
      <w:r>
        <w:t xml:space="preserve">; proxy-error scales are 0.5 and other scales are 1. Background regulation varies among a branch, chain and three modules, with signed edges of absolute strength 0.3–0.7. Systems I–III have</w:t>
      </w:r>
      <w:r>
        <w:t xml:space="preserve"> </w:t>
      </w:r>
      <m:oMath>
        <m:r>
          <m:t>r</m:t>
        </m:r>
        <m:r>
          <m:rPr>
            <m:sty m:val="p"/>
          </m:rPr>
          <m:t>=</m:t>
        </m:r>
        <m:r>
          <m:t>1</m:t>
        </m:r>
      </m:oMath>
      <w:r>
        <w:t xml:space="preserve">, sample sizes 400, 1000 and 1000, and loading scales 0.25, 0.25 and 0.50. Systems IV–V have</w:t>
      </w:r>
      <w:r>
        <w:t xml:space="preserve"> </w:t>
      </w:r>
      <m:oMath>
        <m:r>
          <m:t>r</m:t>
        </m:r>
        <m:r>
          <m:rPr>
            <m:sty m:val="p"/>
          </m:rPr>
          <m:t>=</m:t>
        </m:r>
        <m:r>
          <m:t>2</m:t>
        </m:r>
      </m:oMath>
      <w:r>
        <w:t xml:space="preserve">,</w:t>
      </w:r>
      <w:r>
        <w:t xml:space="preserve"> </w:t>
      </w:r>
      <m:oMath>
        <m:r>
          <m:t>n</m:t>
        </m:r>
        <m:r>
          <m:rPr>
            <m:sty m:val="p"/>
          </m:rPr>
          <m:t>=</m:t>
        </m:r>
        <m:r>
          <m:t>1000</m:t>
        </m:r>
      </m:oMath>
      <w:r>
        <w:t xml:space="preserve">, and scales 0.25 and 0.35. Their fixed loading seeds generate, respectively, a weak second conditional proxy direction and two stronger directions. Systems VI–VII extend the branch systems to 60 proteins, with 47 background proteins. System VI has</w:t>
      </w:r>
      <w:r>
        <w:t xml:space="preserve"> </w:t>
      </w:r>
      <m:oMath>
        <m:r>
          <m:t>n</m:t>
        </m:r>
        <m:r>
          <m:rPr>
            <m:sty m:val="p"/>
          </m:rPr>
          <m:t>=</m:t>
        </m:r>
        <m:r>
          <m:t>411</m:t>
        </m:r>
      </m:oMath>
      <w:r>
        <w:t xml:space="preserve">,</w:t>
      </w:r>
      <w:r>
        <w:t xml:space="preserve"> </w:t>
      </w:r>
      <m:oMath>
        <m:r>
          <m:t>r</m:t>
        </m:r>
        <m:r>
          <m:rPr>
            <m:sty m:val="p"/>
          </m:rPr>
          <m:t>=</m:t>
        </m:r>
        <m:r>
          <m:t>1</m:t>
        </m:r>
      </m:oMath>
      <w:r>
        <w:t xml:space="preserve">, scale 0.25 and the loading seed of system I; system VII has</w:t>
      </w:r>
      <w:r>
        <w:t xml:space="preserve"> </w:t>
      </w:r>
      <m:oMath>
        <m:r>
          <m:t>n</m:t>
        </m:r>
        <m:r>
          <m:rPr>
            <m:sty m:val="p"/>
          </m:rPr>
          <m:t>=</m:t>
        </m:r>
        <m:r>
          <m:t>352</m:t>
        </m:r>
      </m:oMath>
      <w:r>
        <w:t xml:space="preserve">,</w:t>
      </w:r>
      <w:r>
        <w:t xml:space="preserve"> </w:t>
      </w:r>
      <m:oMath>
        <m:r>
          <m:t>r</m:t>
        </m:r>
        <m:r>
          <m:rPr>
            <m:sty m:val="p"/>
          </m:rPr>
          <m:t>=</m:t>
        </m:r>
        <m:r>
          <m:t>2</m:t>
        </m:r>
      </m:oMath>
      <w:r>
        <w:t xml:space="preserve">, scale 0.35 and the loading seed of system V. Their panel and sample sizes correspond to OV and the supplementary LUAD analysis. All matrices and seeds are supplied in the code.</w:t>
      </w:r>
    </w:p>
    <w:p>
      <w:pPr>
        <w:pStyle w:val="BodyText"/>
      </w:pPr>
      <w:r>
        <w:t xml:space="preserve">For linear effects, set</w:t>
      </w:r>
      <w:r>
        <w:t xml:space="preserve"> </w:t>
      </w:r>
      <m:oMath>
        <m:r>
          <m:t>Y</m:t>
        </m:r>
        <m:r>
          <m:rPr>
            <m:sty m:val="p"/>
          </m:rPr>
          <m:t>=</m:t>
        </m:r>
        <m:r>
          <m:t>0.5</m:t>
        </m:r>
        <m:r>
          <m:t>A</m:t>
        </m:r>
        <m:r>
          <m:rPr>
            <m:sty m:val="p"/>
          </m:rPr>
          <m:t>+</m:t>
        </m:r>
        <m:r>
          <m:t>X</m:t>
        </m:r>
        <m:r>
          <m:t>π</m:t>
        </m:r>
        <m:r>
          <m:rPr>
            <m:sty m:val="p"/>
          </m:rPr>
          <m:t>+</m:t>
        </m:r>
        <m:r>
          <m:t>F</m:t>
        </m:r>
        <m:sSub>
          <m:e>
            <m:r>
              <m:t>λ</m:t>
            </m:r>
          </m:e>
          <m:sub>
            <m:r>
              <m:t>Y</m:t>
            </m:r>
          </m:sub>
        </m:sSub>
        <m:r>
          <m:rPr>
            <m:sty m:val="p"/>
          </m:rPr>
          <m:t>+</m:t>
        </m:r>
        <m:sSub>
          <m:e>
            <m:r>
              <m:t>ϵ</m:t>
            </m:r>
          </m:e>
          <m:sub>
            <m:r>
              <m:t>Y</m:t>
            </m:r>
          </m:sub>
        </m:sSub>
      </m:oMath>
      <w:r>
        <w:t xml:space="preserve">, with independent standard normal outcome error. Outcome-directed background proteins are non-descendants of the exposure, so the total-effect target is 0.5 per raw exposure unit. For censored RMST, generate early event times uniformly between 10 and 14 months and late times between 55 and 65 months. The early-event probability is</w:t>
      </w:r>
      <w:r>
        <w:t xml:space="preserve"> </w:t>
      </w:r>
      <m:oMath>
        <m:r>
          <m:t>0.5</m:t>
        </m:r>
        <m:r>
          <m:rPr>
            <m:sty m:val="p"/>
          </m:rPr>
          <m:t>−</m:t>
        </m:r>
        <m:r>
          <m:rPr>
            <m:sty m:val="p"/>
          </m:rPr>
          <m:t>(</m:t>
        </m:r>
        <m:r>
          <m:t>1.5</m:t>
        </m:r>
        <m:r>
          <m:rPr>
            <m:sty m:val="p"/>
          </m:rPr>
          <m:t>/</m:t>
        </m:r>
        <m:r>
          <m:t>24</m:t>
        </m:r>
        <m:r>
          <m:rPr>
            <m:sty m:val="p"/>
          </m:rPr>
          <m:t>)</m:t>
        </m:r>
        <m:r>
          <m:t>A</m:t>
        </m:r>
        <m:r>
          <m:rPr>
            <m:sty m:val="p"/>
          </m:rPr>
          <m:t>−</m:t>
        </m:r>
        <m:sSubSup>
          <m:e>
            <m:r>
              <m:t>b</m:t>
            </m:r>
          </m:e>
          <m:sub>
            <m:r>
              <m:t>F</m:t>
            </m:r>
          </m:sub>
          <m:sup>
            <m:r>
              <m:rPr>
                <m:sty m:val="p"/>
              </m:rPr>
              <m:t>⊤</m:t>
            </m:r>
          </m:sup>
        </m:sSubSup>
        <m:r>
          <m:t>F</m:t>
        </m:r>
        <m:r>
          <m:rPr>
            <m:sty m:val="p"/>
          </m:rPr>
          <m:t>−</m:t>
        </m:r>
        <m:sSubSup>
          <m:e>
            <m:r>
              <m:t>π</m:t>
            </m:r>
          </m:e>
          <m:sub>
            <m:r>
              <m:t>S</m:t>
            </m:r>
          </m:sub>
          <m:sup>
            <m:r>
              <m:rPr>
                <m:sty m:val="p"/>
              </m:rPr>
              <m:t>⊤</m:t>
            </m:r>
          </m:sup>
        </m:sSubSup>
        <m:r>
          <m:t>X</m:t>
        </m:r>
      </m:oMath>
      <w:r>
        <w:t xml:space="preserve">, with coefficient bounds ensuring values strictly between zero and one. Thus</w:t>
      </w:r>
    </w:p>
    <w:p>
      <w:pPr>
        <w:pStyle w:val="BodyText"/>
      </w:pPr>
      <m:oMathPara>
        <m:oMathParaPr>
          <m:jc m:val="center"/>
        </m:oMathParaPr>
        <m:oMath>
          <m:r>
            <m:t>E</m:t>
          </m:r>
          <m:r>
            <m:rPr>
              <m:sty m:val="p"/>
            </m:rPr>
            <m:t>[</m:t>
          </m:r>
          <m:r>
            <m:rPr>
              <m:sty m:val="p"/>
            </m:rPr>
            <m:t>min</m:t>
          </m:r>
          <m:r>
            <m:rPr>
              <m:sty m:val="p"/>
            </m:rPr>
            <m:t>(</m:t>
          </m:r>
          <m:r>
            <m:t>T</m:t>
          </m:r>
          <m:r>
            <m:rPr>
              <m:sty m:val="p"/>
            </m:rPr>
            <m:t>,</m:t>
          </m:r>
          <m:r>
            <m:t>36</m:t>
          </m:r>
          <m:r>
            <m:rPr>
              <m:sty m:val="p"/>
            </m:rPr>
            <m:t>)</m:t>
          </m:r>
          <m:r>
            <m:rPr>
              <m:sty m:val="p"/>
            </m:rPr>
            <m:t>∣</m:t>
          </m:r>
          <m:r>
            <m:t>A</m:t>
          </m:r>
          <m:r>
            <m:rPr>
              <m:sty m:val="p"/>
            </m:rPr>
            <m:t>,</m:t>
          </m:r>
          <m:r>
            <m:t>F</m:t>
          </m:r>
          <m:r>
            <m:rPr>
              <m:sty m:val="p"/>
            </m:rPr>
            <m:t>,</m:t>
          </m:r>
          <m:r>
            <m:t>X</m:t>
          </m:r>
          <m:r>
            <m:rPr>
              <m:sty m:val="p"/>
            </m:rPr>
            <m:t>]</m:t>
          </m:r>
          <m:r>
            <m:rPr>
              <m:sty m:val="p"/>
            </m:rPr>
            <m:t>=</m:t>
          </m:r>
          <m:r>
            <m:t>24</m:t>
          </m:r>
          <m:r>
            <m:rPr>
              <m:sty m:val="p"/>
            </m:rPr>
            <m:t>+</m:t>
          </m:r>
          <m:r>
            <m:t>1.5</m:t>
          </m:r>
          <m:r>
            <m:t>A</m:t>
          </m:r>
          <m:r>
            <m:rPr>
              <m:sty m:val="p"/>
            </m:rPr>
            <m:t>+</m:t>
          </m:r>
          <m:r>
            <m:t>24</m:t>
          </m:r>
          <m:sSubSup>
            <m:e>
              <m:r>
                <m:t>b</m:t>
              </m:r>
            </m:e>
            <m:sub>
              <m:r>
                <m:t>F</m:t>
              </m:r>
            </m:sub>
            <m:sup>
              <m:r>
                <m:rPr>
                  <m:sty m:val="p"/>
                </m:rPr>
                <m:t>⊤</m:t>
              </m:r>
            </m:sup>
          </m:sSubSup>
          <m:r>
            <m:t>F</m:t>
          </m:r>
          <m:r>
            <m:rPr>
              <m:sty m:val="p"/>
            </m:rPr>
            <m:t>+</m:t>
          </m:r>
          <m:r>
            <m:t>24</m:t>
          </m:r>
          <m:sSubSup>
            <m:e>
              <m:r>
                <m:t>π</m:t>
              </m:r>
            </m:e>
            <m:sub>
              <m:r>
                <m:t>S</m:t>
              </m:r>
            </m:sub>
            <m:sup>
              <m:r>
                <m:rPr>
                  <m:sty m:val="p"/>
                </m:rPr>
                <m:t>⊤</m:t>
              </m:r>
            </m:sup>
          </m:sSubSup>
          <m:r>
            <m:t>X</m:t>
          </m:r>
          <m:r>
            <m:rPr>
              <m:sty m:val="p"/>
            </m:rPr>
            <m:t>,</m:t>
          </m:r>
        </m:oMath>
      </m:oMathPara>
    </w:p>
    <w:p>
      <w:pPr>
        <w:pStyle w:val="FirstParagraph"/>
      </w:pPr>
      <w:r>
        <w:t xml:space="preserve">and the total RMST effect is exactly 1.5 months per raw exposure unit. Censoring is independent exponential with mean 100 months; reverse Kaplan–Meier supplies the censoring weights. Network construction uses standardised protein levels, while effect regressions retain the raw exposure so that all estimators use the same raw-unit target.</w:t>
      </w:r>
    </w:p>
    <w:bookmarkEnd w:id="32"/>
    <w:bookmarkStart w:id="33" w:name="comparators-and-evaluation"/>
    <w:p>
      <w:pPr>
        <w:pStyle w:val="Heading2"/>
      </w:pPr>
      <w:r>
        <w:t xml:space="preserve">5.2 Comparators and evaluation</w:t>
      </w:r>
    </w:p>
    <w:p>
      <w:pPr>
        <w:pStyle w:val="FirstParagraph"/>
      </w:pPr>
      <w:r>
        <w:t xml:space="preserve">The representation study isolates network construction and readout learning using a joint-information selector; Section 5.4 evaluates the independent workflow with conditional-information selection. Each of the seven systems uses 200 independent datasets, with replicate seed offset 30000, and 100 patient-bootstrap draws for each outcome. Linear and RMST targets share the molecular observations. Ten estimators analyse identical patients and targets: Joint-quality readout; conditional projection with the same selected roles and rank; the multiscale grid bridge; joint readout using one global nodewise window and the same penalties; correlation-selected proxies; designated joint readout using the true proxy blocks and rank; designated proximal regression using conditional projection with the same known blocks and rank; unadjusted regression; ordinary factor adjustment; and adjustment for true factors. Correlation selection assigns the six largest absolute exposure correlations to Z and the six smallest remaining correlations to W, with joint rank selected by the same sequential rule. The factor estimator chooses dimension by the multiplicative spectral gap and refits factors in each bootstrap draw. The designated estimators isolate readout learning with known valid roles; single-window and correlation comparisons isolate molecular design.</w:t>
      </w:r>
    </w:p>
    <w:p>
      <w:pPr>
        <w:pStyle w:val="BodyText"/>
      </w:pPr>
      <w:r>
        <w:t xml:space="preserve">Bootstrap draws hold selected roles and rank fixed and refit the readout projection, both regressions and censoring as appropriate. Evaluation includes fit and interval completion, generating-DAG proxy validity, dimension accuracy, bias, RMSE, 95% coverage and mean interval width. Monte Carlo standard errors accompany effect accuracy and coverage [24]; CSV summaries also give Wilson intervals for reporting and coverage. Bias and RMSE use reported fits; coverage uses completed intervals. Accuracy measures with fewer than five fits are left blank. Rank strata and paired squared-error differences appear in the supplementary results.</w:t>
      </w:r>
    </w:p>
    <w:bookmarkEnd w:id="33"/>
    <w:bookmarkStart w:id="34" w:name="joint-representation-results"/>
    <w:p>
      <w:pPr>
        <w:pStyle w:val="Heading2"/>
      </w:pPr>
      <w:r>
        <w:t xml:space="preserve">5.3 Joint representation results</w:t>
      </w:r>
    </w:p>
    <w:p>
      <w:pPr>
        <w:pStyle w:val="FirstParagraph"/>
      </w:pPr>
      <w:r>
        <w:t xml:space="preserve">The joint-readout estimator reports 200/200 fits in every system and outcome. Linear-effect coverage ranges from 0.935 to 0.965 and RMST coverage from 0.925 to 0.975. Selected proxy pairs satisfy the generating-DAG exclusions in all seven systems. Rank accuracy ranges from 0.835 to 0.975; Table S4 gives the rank strata.</w:t>
      </w:r>
    </w:p>
    <w:p>
      <w:pPr>
        <w:pStyle w:val="BodyText"/>
      </w:pPr>
      <w:r>
        <w:t xml:space="preserve">System IV isolates the contribution of joint readout under weak two-factor information. With the same selected roles and dimension, joint readout gives linear bias 0.013 (MCSE 0.012), compared with 0.203 (0.010) for conditional projection. Coverage increases from 0.625 to 0.965. The paired mean squared error difference, joint minus conditional, is -0.0353 (MCSE 0.0048; 200 pairs). For RMST, coverage increases from 0.900 to 0.965, while RMSE increases from 0.884 to 1.356 and interval width from 2.869 to 5.342 months. Joint readout therefore improves linear bias and coverage in this system with a precision cost for the censored target.</w:t>
      </w:r>
    </w:p>
    <w:p>
      <w:pPr>
        <w:pStyle w:val="BodyText"/>
      </w:pPr>
      <w:r>
        <w:t xml:space="preserve">The modular system III demonstrates the contribution of network-based proxy construction. Linear RMSE is 0.049 for joint readout, 0.195 for a single global window and 0.184 for correlation-selected proxies. Paired mean squared error differences are -0.0356 (MCSE 0.0038; 191 pairs) and -0.0313 (0.0026; 200 pairs). The corresponding reporting counts are 200/200, 191/200 and 200/200.</w:t>
      </w:r>
    </w:p>
    <w:p>
      <w:pPr>
        <w:pStyle w:val="BodyText"/>
      </w:pPr>
      <w:r>
        <w:t xml:space="preserve">In the 60-protein two-factor system VII, linear RMSE is 0.121, compared with 0.307 for the global-window design and 0.519 for correlation proxies. Paired differences are -0.0802 (0.0096; 173 pairs) and -0.2544 (0.0072; 200 pairs), with reporting counts 200/200, 173/200 and 200/200. Global and niche-window designs perform similarly in system IV. The known-role proximal reference has RMSE 0.093 in system VII, quantifying the precision available when valid proxy blocks and dimension are supplied. Tables S2–S4 and the complete paired-comparison records cover all seven systems and both outcomes.</w:t>
      </w:r>
    </w:p>
    <w:bookmarkEnd w:id="34"/>
    <w:bookmarkStart w:id="35" w:name="independent-discovery-and-estimation-1"/>
    <w:p>
      <w:pPr>
        <w:pStyle w:val="Heading2"/>
      </w:pPr>
      <w:r>
        <w:t xml:space="preserve">5.4 Independent discovery and estimation</w:t>
      </w:r>
    </w:p>
    <w:p>
      <w:pPr>
        <w:pStyle w:val="FirstParagraph"/>
      </w:pPr>
      <w:r>
        <w:t xml:space="preserve">With the allocation and moment rules fixed, each of the seven systems generates 200 fresh datasets at offset 140000 and receives one 75:25 partition. Discovery executes molecular construction; estimation computes both targets and 100 patient resamples of concentrated moments, refitting censoring for RMST. Point errors use the raw generating exposure unit. The paired normal reference uses the same estimation patients, point estimator and covariance. Coverage counts all 200 sets, including real-line, disconnected and empty sets (Table 4; Figure 4).</w:t>
      </w:r>
    </w:p>
    <w:p>
      <w:pPr>
        <w:pStyle w:val="BodyText"/>
      </w:pPr>
      <w:r>
        <w:t xml:space="preserve">All available point designs have valid roles under the generating DAG. Correct-dimension frequency ranges from 0.840 to 0.960 and set coverage from 0.950 to 0.995. In systems II, III and V, 186–190 of 200 linear-effect sets and 188–190 RMST sets are bounded, providing finite effect information alongside coverage.</w:t>
      </w:r>
    </w:p>
    <w:p>
      <w:pPr>
        <w:pStyle w:val="BodyText"/>
      </w:pPr>
      <w:r>
        <w:t xml:space="preserve">Weak system IV supplies 136/200 point fits, with linear bias 0.074, RMSE 0.353 and overall set coverage 0.965; coverage among point fits is 0.949. It yields 21/200 linear sets that are bounded and 163/200 that are the real line, including 64 unavailable designs. The RMST target also has 21/200 bounded sets. Thus high coverage in this system accompanies limited finite precision. Supporting selection and resampling studies appear in the supplementary methods.</w:t>
      </w:r>
    </w:p>
    <w:bookmarkEnd w:id="35"/>
    <w:bookmarkEnd w:id="36"/>
    <w:bookmarkStart w:id="40" w:name="X1852ab61adef96f374a9d6cb138e27a405b5972"/>
    <w:p>
      <w:pPr>
        <w:pStyle w:val="Heading1"/>
      </w:pPr>
      <w:r>
        <w:t xml:space="preserve">6 Application to ovarian-cancer molecular survival data</w:t>
      </w:r>
    </w:p>
    <w:bookmarkStart w:id="37" w:name="X622a5e621c55d47b89df863d518249d8af92c49"/>
    <w:p>
      <w:pPr>
        <w:pStyle w:val="Heading2"/>
      </w:pPr>
      <w:r>
        <w:t xml:space="preserve">6.1 Ovarian cohort and discovery construction</w:t>
      </w:r>
    </w:p>
    <w:p>
      <w:pPr>
        <w:pStyle w:val="FirstParagraph"/>
      </w:pPr>
      <w:r>
        <w:t xml:space="preserve">We use TCGA PanCancer Atlas ovarian-cancer (OV) RPPA and clinical tables from cBioPortal [25, 26, 27]. The cohort includes 411 patients and 245 deaths. The fixed split assigns 308 patients to discovery and 103 to estimation, with 67 deaths in estimation. Discovery selects the 60 most variable proteins after missingness and duplicate-antibody filtering. The bridge includes age. Clinical contrasts correspond to one discovery-cohort protein standard deviation at a 36-month horizon.</w:t>
      </w:r>
    </w:p>
    <w:p>
      <w:pPr>
        <w:pStyle w:val="BodyText"/>
      </w:pPr>
      <w:r>
        <w:t xml:space="preserve">Figure 2 illustrates LCK and CDH2 niche curves in the full-cohort reference. Figure 3 shows discovery-sample networks and curve contributions for PTEN, SERPINE1 and CCNE1; Figure 5 summarises their selected proxy designs. Table S1 and Figures S5–S6 report the supporting analyses in nine other tumour cohorts.</w:t>
      </w:r>
    </w:p>
    <w:bookmarkEnd w:id="37"/>
    <w:bookmarkStart w:id="38" w:name="Xf113147deec7559023043b05e06b81790312cf8"/>
    <w:p>
      <w:pPr>
        <w:pStyle w:val="Heading2"/>
      </w:pPr>
      <w:r>
        <w:t xml:space="preserve">6.2 Point estimates of restricted survival contrasts</w:t>
      </w:r>
    </w:p>
    <w:p>
      <w:pPr>
        <w:pStyle w:val="FirstParagraph"/>
      </w:pPr>
      <w:r>
        <w:t xml:space="preserve">Clinical estimation uses 300 patient resamples with the molecular design fixed, refitting censoring and concentrated moments. Of the 60 ovarian proteins, 26 supply eligible discovery designs and 24/60 complete point estimation (Figure 6). The panel yields two bounded, three disconnected and 55 real-line RMST sets; survival sets are two bounded, one disconnected and 57 real-line. All endpoint sets include zero; the fitted directions are exploratory signals.</w:t>
      </w:r>
    </w:p>
    <w:p>
      <w:pPr>
        <w:pStyle w:val="BodyText"/>
      </w:pPr>
      <w:r>
        <w:t xml:space="preserve">The three examples were chosen after analysis for bounded-set precision (PTEN) and ovarian-cancer biological relevance (SERPINE1 and CCNE1). Their designs share an eight-protein outcome-proxy pool: VHL, GAPDH, IGFBP2, RAB25, GAB2, EEF2K, TP53 and MAP2K1. Each selects window width 0.4 and support penalty 0.2, with rank one for PTEN and two for SERPINE1 and CCNE1. These proxy assignments use the exposure-specific exclusions in Section 4.1 (Table 5; Figure 5).</w:t>
      </w:r>
    </w:p>
    <w:p>
      <w:pPr>
        <w:pStyle w:val="BodyText"/>
      </w:pPr>
      <w:r>
        <w:t xml:space="preserve">PTEN has an estimated RMST contrast of 1.02 months and a 95% set of [-2.07, 4.24]; its survival contrast is 6.47 percentage points (Table 5; Figure 7). Clinical interpretation depends on histotype and measurement: a 5400-patient immunohistochemical study associated lower cytoplasmic PTEN with longer survival in high-grade serous cancer [28]. Here the positive coefficient concerns a continuous RPPA abundance contrast through the proximal mean bridge, a different measurement and estimand from the cytoplasmic staining association.</w:t>
      </w:r>
    </w:p>
    <w:p>
      <w:pPr>
        <w:pStyle w:val="BodyText"/>
      </w:pPr>
      <w:r>
        <w:t xml:space="preserve">SERPINE1, encoding plasminogen activator inhibitor-1 (PAI-1), has point contrasts of -11.55 RMST months and -39.48 survival percentage points. Higher PAI-1 mRNA expression has been associated with worse ovarian-cancer survival, and PAI-1 knockdown or inhibition reduced growth in PAI-1-expressing ovarian-cancer cell models [29]. This evidence motivates the protein-abundance intervention question and accords with the negative fitted direction.</w:t>
      </w:r>
    </w:p>
    <w:p>
      <w:pPr>
        <w:pStyle w:val="BodyText"/>
      </w:pPr>
      <w:r>
        <w:t xml:space="preserve">CCNE1, encoding cyclin E1, has point contrasts of -10.22 RMST months and -31.62 survival percentage points. An Ovarian Tumor Tissue Analysis consortium study of 3029 high-grade serous cancers associated CCNE1 protein overexpression and high-level amplification with shorter survival [30], providing a protein-level context for this negative direction. SERPINE1 and CCNE1 have real-line sets on both endpoints, leaving their effect magnitudes unbounded in this sample.</w:t>
      </w:r>
    </w:p>
    <w:p>
      <w:pPr>
        <w:pStyle w:val="BodyText"/>
      </w:pPr>
      <w:r>
        <w:t xml:space="preserve">HSPA1A is the second bounded ovarian RMST contrast: -0.62 months with set [-21.97, 10.19]. ACACA’s coefficient of -53.60 months lies outside the RMST target range and is marked at the display boundary in Figure 6.</w:t>
      </w:r>
    </w:p>
    <w:bookmarkEnd w:id="38"/>
    <w:bookmarkStart w:id="39" w:name="pathway-defined-intervention-boundaries"/>
    <w:p>
      <w:pPr>
        <w:pStyle w:val="Heading2"/>
      </w:pPr>
      <w:r>
        <w:t xml:space="preserve">6.3 Pathway-defined intervention boundaries</w:t>
      </w:r>
    </w:p>
    <w:p>
      <w:pPr>
        <w:pStyle w:val="FirstParagraph"/>
      </w:pPr>
      <w:r>
        <w:t xml:space="preserve">GAB2 perturbation studies connect ovarian tumour growth and angiogenesis to PI3K and RAS–MAPK signalling [31, 32]. Its ovarian boundary specification assigns these branches to the total intervention effect and excludes their proteins from proxy roles.</w:t>
      </w:r>
    </w:p>
    <w:p>
      <w:pPr>
        <w:pStyle w:val="BodyText"/>
      </w:pPr>
      <w:r>
        <w:t xml:space="preserve">In discovery patients, this boundary leaves fewer proxy coordinates than the required joint dimension. Estimating the pathway-defined GAB2 effect therefore requires additional eligible proxies. Supplementary methods and Tables S9–S10 give the full-cohort GAB2 and lung-cancer KDR reference analyses.</w:t>
      </w:r>
    </w:p>
    <w:bookmarkEnd w:id="39"/>
    <w:bookmarkEnd w:id="40"/>
    <w:bookmarkStart w:id="41" w:name="discussion"/>
    <w:p>
      <w:pPr>
        <w:pStyle w:val="Heading1"/>
      </w:pPr>
      <w:r>
        <w:t xml:space="preserve">7 Discussion</w:t>
      </w:r>
    </w:p>
    <w:p>
      <w:pPr>
        <w:pStyle w:val="FirstParagraph"/>
      </w:pPr>
      <w:r>
        <w:t xml:space="preserve">Joint readout learning and conditional design selection serve complementary purposes. Exposure information can stabilise the readout space, while conditional information measures the treatment proxies’ contribution beyond exposure. Independent estimation then uses the selected measurements to quantify the total-effect contrast and its precision.</w:t>
      </w:r>
    </w:p>
    <w:p>
      <w:pPr>
        <w:pStyle w:val="BodyText"/>
      </w:pPr>
      <w:r>
        <w:t xml:space="preserve">In the modular and 60-protein two-factor systems, niche-window construction improves linear-effect estimation over global-window and correlation designs. Joint readout reduces linear bias in the weak two-factor system, where its RMST intervals are wider. Global and niche-window designs perform similarly in some systems. The component study measures these representation differences; the independent study measures coverage and finite precision after discovery selection.</w:t>
      </w:r>
    </w:p>
    <w:p>
      <w:pPr>
        <w:pStyle w:val="BodyText"/>
      </w:pPr>
      <w:r>
        <w:t xml:space="preserve">The ovarian application places protein-abundance questions on clinical survival scales. PTEN highlights measurement-specific interpretation; SERPINE1 and CCNE1 relate the fitted directions to ovarian-cancer prognostic and experimental evidence. Future applications can increase identifying information through targeted measurement of eligible treatment proxies and systemic readouts, alongside larger estimation cohorts.</w:t>
      </w:r>
    </w:p>
    <w:bookmarkEnd w:id="41"/>
    <w:bookmarkStart w:id="42" w:name="acknowledgements"/>
    <w:p>
      <w:pPr>
        <w:pStyle w:val="Heading1"/>
      </w:pPr>
      <w:r>
        <w:t xml:space="preserve">Acknowledgements</w:t>
      </w:r>
    </w:p>
    <w:p>
      <w:pPr>
        <w:pStyle w:val="FirstParagraph"/>
      </w:pPr>
      <w:r>
        <w:t xml:space="preserve">[To be completed.]</w:t>
      </w:r>
    </w:p>
    <w:bookmarkEnd w:id="42"/>
    <w:bookmarkStart w:id="43" w:name="funding"/>
    <w:p>
      <w:pPr>
        <w:pStyle w:val="Heading1"/>
      </w:pPr>
      <w:r>
        <w:t xml:space="preserve">Funding</w:t>
      </w:r>
    </w:p>
    <w:p>
      <w:pPr>
        <w:pStyle w:val="FirstParagraph"/>
      </w:pPr>
      <w:r>
        <w:t xml:space="preserve">[To be completed.]</w:t>
      </w:r>
    </w:p>
    <w:bookmarkEnd w:id="43"/>
    <w:bookmarkStart w:id="44" w:name="conflict-of-interest"/>
    <w:p>
      <w:pPr>
        <w:pStyle w:val="Heading1"/>
      </w:pPr>
      <w:r>
        <w:t xml:space="preserve">Conflict of interest</w:t>
      </w:r>
    </w:p>
    <w:p>
      <w:pPr>
        <w:pStyle w:val="FirstParagraph"/>
      </w:pPr>
      <w:r>
        <w:t xml:space="preserve">[Authors to confirm their conflict-of-interest declaration.]</w:t>
      </w:r>
    </w:p>
    <w:bookmarkEnd w:id="44"/>
    <w:bookmarkStart w:id="45" w:name="data-availability-statement"/>
    <w:p>
      <w:pPr>
        <w:pStyle w:val="Heading1"/>
      </w:pPr>
      <w:r>
        <w:t xml:space="preserve">Data availability statement</w:t>
      </w:r>
    </w:p>
    <w:p>
      <w:pPr>
        <w:pStyle w:val="FirstParagraph"/>
      </w:pPr>
      <w:r>
        <w:t xml:space="preserve">The manuscript, analysis code, study protocols, aggregate results and reproduction instructions are available at https://github.com/ChangeSean/idopNetwork-proximal. TCGA inputs are obtained from cBioPortal using the repository’s study identifiers and download script.</w:t>
      </w:r>
    </w:p>
    <w:bookmarkEnd w:id="45"/>
    <w:bookmarkStart w:id="51" w:name="Xc247ddde18b83d30c4c043bdeecfe4170c88ac5"/>
    <w:p>
      <w:pPr>
        <w:pStyle w:val="Heading1"/>
      </w:pPr>
      <w:r>
        <w:t xml:space="preserve">Appendix A. Construction and inference proofs</w:t>
      </w:r>
    </w:p>
    <w:bookmarkStart w:id="46" w:name="Xd12deb52da0c549ed9bad2062dbacd7a6ecb814"/>
    <w:p>
      <w:pPr>
        <w:pStyle w:val="Heading2"/>
      </w:pPr>
      <w:r>
        <w:t xml:space="preserve">A.1 Niche-window support and proxy-map consistency</w:t>
      </w:r>
    </w:p>
    <w:p>
      <w:pPr>
        <w:pStyle w:val="FirstParagraph"/>
      </w:pPr>
      <w:r>
        <w:t xml:space="preserve">Let</w:t>
      </w:r>
      <w:r>
        <w:t xml:space="preserve"> </w:t>
      </w:r>
      <m:oMath>
        <m:r>
          <m:t>V</m:t>
        </m:r>
      </m:oMath>
      <w:r>
        <w:t xml:space="preserve"> </w:t>
      </w:r>
      <w:r>
        <w:t xml:space="preserve">denote the population standardised panel and</w:t>
      </w:r>
      <w:r>
        <w:t xml:space="preserve"> </w:t>
      </w:r>
      <m:oMath>
        <m:r>
          <m:t>s</m:t>
        </m:r>
        <m:r>
          <m:rPr>
            <m:sty m:val="p"/>
          </m:rPr>
          <m:t>(</m:t>
        </m:r>
        <m:r>
          <m:t>V</m:t>
        </m:r>
        <m:r>
          <m:rPr>
            <m:sty m:val="p"/>
          </m:rPr>
          <m:t>)</m:t>
        </m:r>
        <m:r>
          <m:rPr>
            <m:sty m:val="p"/>
          </m:rPr>
          <m:t>=</m:t>
        </m:r>
        <m:nary>
          <m:naryPr>
            <m:chr m:val="∑"/>
            <m:limLoc m:val="undOvr"/>
            <m:subHide m:val="off"/>
            <m:supHide m:val="on"/>
          </m:naryPr>
          <m:sub>
            <m:r>
              <m:t>j</m:t>
            </m:r>
          </m:sub>
          <m:sup>
            <m:r>
              <m:t>​</m:t>
            </m:r>
          </m:sup>
          <m:e>
            <m:sSub>
              <m:e>
                <m:r>
                  <m:t>V</m:t>
                </m:r>
              </m:e>
              <m:sub>
                <m:r>
                  <m:t>j</m:t>
                </m:r>
              </m:sub>
            </m:sSub>
          </m:e>
        </m:nary>
      </m:oMath>
      <w:r>
        <w:t xml:space="preserve">. For the non-overlapping family, population boundaries are the</w:t>
      </w:r>
      <w:r>
        <w:t xml:space="preserve"> </w:t>
      </w:r>
      <m:oMath>
        <m:r>
          <m:t>h</m:t>
        </m:r>
        <m:r>
          <m:rPr>
            <m:sty m:val="p"/>
          </m:rPr>
          <m:t>/</m:t>
        </m:r>
        <m:r>
          <m:t>5</m:t>
        </m:r>
      </m:oMath>
      <w:r>
        <w:t xml:space="preserve"> </w:t>
      </w:r>
      <w:r>
        <w:t xml:space="preserve">quantiles of</w:t>
      </w:r>
      <w:r>
        <w:t xml:space="preserve"> </w:t>
      </w:r>
      <m:oMath>
        <m:r>
          <m:t>s</m:t>
        </m:r>
      </m:oMath>
      <w:r>
        <w:t xml:space="preserve">. For width</w:t>
      </w:r>
      <w:r>
        <w:t xml:space="preserve"> </w:t>
      </w:r>
      <m:oMath>
        <m:r>
          <m:t>w</m:t>
        </m:r>
        <m:r>
          <m:rPr>
            <m:sty m:val="p"/>
          </m:rPr>
          <m:t>=</m:t>
        </m:r>
        <m:r>
          <m:t>0.4</m:t>
        </m:r>
      </m:oMath>
      <w:r>
        <w:t xml:space="preserve">, the five intervals have endpoints at quantiles</w:t>
      </w:r>
      <w:r>
        <w:t xml:space="preserve"> </w:t>
      </w:r>
      <m:oMath>
        <m:sSub>
          <m:e>
            <m:r>
              <m:t>u</m:t>
            </m:r>
          </m:e>
          <m:sub>
            <m:r>
              <m:t>j</m:t>
            </m:r>
          </m:sub>
        </m:sSub>
        <m:r>
          <m:rPr>
            <m:sty m:val="p"/>
          </m:rPr>
          <m:t>=</m:t>
        </m:r>
        <m:r>
          <m:t>j</m:t>
        </m:r>
        <m:r>
          <m:rPr>
            <m:sty m:val="p"/>
          </m:rPr>
          <m:t>(</m:t>
        </m:r>
        <m:r>
          <m:t>1</m:t>
        </m:r>
        <m:r>
          <m:rPr>
            <m:sty m:val="p"/>
          </m:rPr>
          <m:t>−</m:t>
        </m:r>
        <m:r>
          <m:t>w</m:t>
        </m:r>
        <m:r>
          <m:rPr>
            <m:sty m:val="p"/>
          </m:rPr>
          <m:t>)</m:t>
        </m:r>
        <m:r>
          <m:rPr>
            <m:sty m:val="p"/>
          </m:rPr>
          <m:t>/</m:t>
        </m:r>
        <m:r>
          <m:t>4</m:t>
        </m:r>
      </m:oMath>
      <w:r>
        <w:t xml:space="preserve"> </w:t>
      </w:r>
      <w:r>
        <w:t xml:space="preserve">and</w:t>
      </w:r>
      <w:r>
        <w:t xml:space="preserve"> </w:t>
      </w:r>
      <m:oMath>
        <m:sSub>
          <m:e>
            <m:r>
              <m:t>u</m:t>
            </m:r>
          </m:e>
          <m:sub>
            <m:r>
              <m:t>j</m:t>
            </m:r>
          </m:sub>
        </m:sSub>
        <m:r>
          <m:rPr>
            <m:sty m:val="p"/>
          </m:rPr>
          <m:t>+</m:t>
        </m:r>
        <m:r>
          <m:t>w</m:t>
        </m:r>
      </m:oMath>
      <w:r>
        <w:t xml:space="preserve">,</w:t>
      </w:r>
      <w:r>
        <w:t xml:space="preserve"> </w:t>
      </w:r>
      <m:oMath>
        <m:r>
          <m:t>j</m:t>
        </m:r>
        <m:r>
          <m:rPr>
            <m:sty m:val="p"/>
          </m:rPr>
          <m:t>=</m:t>
        </m:r>
        <m:r>
          <m:t>0</m:t>
        </m:r>
        <m:r>
          <m:rPr>
            <m:sty m:val="p"/>
          </m:rPr>
          <m:t>,</m:t>
        </m:r>
        <m:r>
          <m:rPr>
            <m:sty m:val="p"/>
          </m:rPr>
          <m:t>…</m:t>
        </m:r>
        <m:r>
          <m:rPr>
            <m:sty m:val="p"/>
          </m:rPr>
          <m:t>,</m:t>
        </m:r>
        <m:r>
          <m:t>4</m:t>
        </m:r>
      </m:oMath>
      <w:r>
        <w:t xml:space="preserve">. With continuous</w:t>
      </w:r>
      <w:r>
        <w:t xml:space="preserve"> </w:t>
      </w:r>
      <m:oMath>
        <m:r>
          <m:t>s</m:t>
        </m:r>
      </m:oMath>
      <w:r>
        <w:t xml:space="preserve"> </w:t>
      </w:r>
      <w:r>
        <w:t xml:space="preserve">and positive window mass, empirical quantiles converge. Empirical conditional moments within each window converge to their population counterparts: contributions from observations whose window membership changes are confined to shrinking neighbourhoods of the boundaries. A moment envelope and truncation give the same conclusion with integrable, unbounded observations. Consistent standardisation preserves this argument. Sample-minimum shifts add a common offset to the niche index and leave its ordering and the within-window standardised LASSO unchanged.</w:t>
      </w:r>
    </w:p>
    <w:p>
      <w:pPr>
        <w:pStyle w:val="BodyText"/>
      </w:pPr>
      <w:r>
        <w:t xml:space="preserve">For each node and window, positive definite predictor covariance makes the population penalised quadratic criterion strictly convex. Convergence of its empirical moments implies convergence of its minimiser. On the active set, the nonzero coefficient margin preserves signs. On the inactive set, strict KKT slack preserves zeros. There are finitely many nodes and windows, so all support decisions agree jointly with probability tending to one. Applying the implemented frequency threshold, a strict frequency greater than 0.6, and symmetrising therefore yields</w:t>
      </w:r>
      <w:r>
        <w:t xml:space="preserve"> </w:t>
      </w:r>
      <m:oMath>
        <m:r>
          <m:t>P</m:t>
        </m:r>
        <m:r>
          <m:rPr>
            <m:sty m:val="p"/>
          </m:rPr>
          <m:t>(</m:t>
        </m:r>
        <m:acc>
          <m:accPr>
            <m:chr m:val="̂"/>
          </m:accPr>
          <m:e>
            <m:r>
              <m:t>G</m:t>
            </m:r>
          </m:e>
        </m:acc>
        <m:r>
          <m:rPr>
            <m:sty m:val="p"/>
          </m:rPr>
          <m:t>=</m:t>
        </m:r>
        <m:sSub>
          <m:e>
            <m:r>
              <m:t>G</m:t>
            </m:r>
          </m:e>
          <m:sub>
            <m:r>
              <m:t>0</m:t>
            </m:r>
          </m:sub>
        </m:sSub>
        <m:r>
          <m:rPr>
            <m:sty m:val="p"/>
          </m:rPr>
          <m:t>)</m:t>
        </m:r>
        <m:r>
          <m:rPr>
            <m:sty m:val="p"/>
          </m:rPr>
          <m:t>→</m:t>
        </m:r>
        <m:r>
          <m:t>1</m:t>
        </m:r>
      </m:oMath>
      <w:r>
        <w:t xml:space="preserve">.</w:t>
      </w:r>
    </w:p>
    <w:p>
      <w:pPr>
        <w:pStyle w:val="BodyText"/>
      </w:pPr>
      <w:r>
        <w:t xml:space="preserve">For loading eligibility, it is sufficient that the centred curve-deviation covariance converges, its retained eigenspace is separated, the largest multiplicative-gap decision is unique, and row norms are separated from the eligibility threshold. These conditions make loading eligibility stable. Convergence of the curve fit follows, for example, from bounded panel support, identifiable power curves with a unique interior least-squares minimiser, and a compact parameter neighbourhood with an integrable objective envelope. Proxy indices follow the fixed protein order. Thus the entire graph-to-role map stabilises. N1 and N2 give structural validity of its limiting roles; Proposition 3 gives consistent bridge rank. For the finite width–penalty grid, its maximum joint rank converges by the conditions following Proposition 3. The eligible set of full conditional dimension stabilises by Proposition 3b, and the maximiser of the smallest conditional-root criterion stabilises when distinct limiting role designs have a positive selection margin; identical roles give the same estimator. This proves the construction part of Theorem 1. The window argument concerns quantile-indexed empirical moments and does not require independently generated windows.</w:t>
      </w:r>
    </w:p>
    <w:bookmarkEnd w:id="46"/>
    <w:bookmarkStart w:id="47" w:name="a.2-proof-of-theorem-1-and-corollary-1"/>
    <w:p>
      <w:pPr>
        <w:pStyle w:val="Heading2"/>
      </w:pPr>
      <w:r>
        <w:t xml:space="preserve">A.2 Proof of Theorem 1 and Corollary 1</w:t>
      </w:r>
    </w:p>
    <w:p>
      <w:pPr>
        <w:pStyle w:val="FirstParagraph"/>
      </w:pPr>
      <w:r>
        <w:t xml:space="preserve">Condition first on the limiting roles and rank. Write</w:t>
      </w:r>
      <w:r>
        <w:t xml:space="preserve"> </w:t>
      </w:r>
      <m:oMath>
        <m:r>
          <m:t>Q</m:t>
        </m:r>
        <m:r>
          <m:rPr>
            <m:sty m:val="p"/>
          </m:rPr>
          <m:t>=</m:t>
        </m:r>
        <m:r>
          <m:t>E</m:t>
        </m:r>
        <m:r>
          <m:rPr>
            <m:sty m:val="p"/>
          </m:rPr>
          <m:t>[</m:t>
        </m:r>
        <m:r>
          <m:t>m</m:t>
        </m:r>
        <m:sSup>
          <m:e>
            <m:r>
              <m:t>m</m:t>
            </m:r>
          </m:e>
          <m:sup>
            <m:r>
              <m:rPr>
                <m:sty m:val="p"/>
              </m:rPr>
              <m:t>⊤</m:t>
            </m:r>
          </m:sup>
        </m:sSup>
        <m:r>
          <m:rPr>
            <m:sty m:val="p"/>
          </m:rPr>
          <m:t>]</m:t>
        </m:r>
      </m:oMath>
      <w:r>
        <w:t xml:space="preserve">,</w:t>
      </w:r>
      <w:r>
        <w:t xml:space="preserve"> </w:t>
      </w:r>
      <m:oMath>
        <m:r>
          <m:t>R</m:t>
        </m:r>
        <m:r>
          <m:rPr>
            <m:sty m:val="p"/>
          </m:rPr>
          <m:t>=</m:t>
        </m:r>
        <m:r>
          <m:t>E</m:t>
        </m:r>
        <m:r>
          <m:rPr>
            <m:sty m:val="p"/>
          </m:rPr>
          <m:t>[</m:t>
        </m:r>
        <m:r>
          <m:t>m</m:t>
        </m:r>
        <m:sSup>
          <m:e>
            <m:r>
              <m:t>W</m:t>
            </m:r>
          </m:e>
          <m:sup>
            <m:r>
              <m:rPr>
                <m:sty m:val="p"/>
              </m:rPr>
              <m:t>⊤</m:t>
            </m:r>
          </m:sup>
        </m:sSup>
        <m:r>
          <m:rPr>
            <m:sty m:val="p"/>
          </m:rPr>
          <m:t>]</m:t>
        </m:r>
      </m:oMath>
      <w:r>
        <w:t xml:space="preserve"> </w:t>
      </w:r>
      <w:r>
        <w:t xml:space="preserve">and</w:t>
      </w:r>
      <w:r>
        <w:t xml:space="preserve"> </w:t>
      </w:r>
      <m:oMath>
        <m:r>
          <m:t>s</m:t>
        </m:r>
        <m:r>
          <m:rPr>
            <m:sty m:val="p"/>
          </m:rPr>
          <m:t>=</m:t>
        </m:r>
        <m:r>
          <m:t>E</m:t>
        </m:r>
        <m:r>
          <m:rPr>
            <m:sty m:val="p"/>
          </m:rPr>
          <m:t>[</m:t>
        </m:r>
        <m:r>
          <m:t>m</m:t>
        </m:r>
        <m:r>
          <m:t>Y</m:t>
        </m:r>
        <m:r>
          <m:rPr>
            <m:sty m:val="p"/>
          </m:rPr>
          <m:t>]</m:t>
        </m:r>
      </m:oMath>
      <w:r>
        <w:t xml:space="preserve">. The first-stage matrix is</w:t>
      </w:r>
      <w:r>
        <w:t xml:space="preserve"> </w:t>
      </w:r>
      <m:oMath>
        <m:r>
          <m:rPr>
            <m:sty m:val="p"/>
          </m:rPr>
          <m:t>Π</m:t>
        </m:r>
        <m:r>
          <m:rPr>
            <m:sty m:val="p"/>
          </m:rPr>
          <m:t>=</m:t>
        </m:r>
        <m:sSup>
          <m:e>
            <m:r>
              <m:t>Q</m:t>
            </m:r>
          </m:e>
          <m:sup>
            <m:r>
              <m:rPr>
                <m:sty m:val="p"/>
              </m:rPr>
              <m:t>−</m:t>
            </m:r>
            <m:r>
              <m:t>1</m:t>
            </m:r>
          </m:sup>
        </m:sSup>
        <m:r>
          <m:t>R</m:t>
        </m:r>
      </m:oMath>
      <w:r>
        <w:t xml:space="preserve">. The covariance of</w:t>
      </w:r>
      <w:r>
        <w:t xml:space="preserve"> </w:t>
      </w:r>
      <m:oMath>
        <m:sSup>
          <m:e>
            <m:r>
              <m:rPr>
                <m:sty m:val="p"/>
              </m:rPr>
              <m:t>Π</m:t>
            </m:r>
          </m:e>
          <m:sup>
            <m:r>
              <m:rPr>
                <m:sty m:val="p"/>
              </m:rPr>
              <m:t>⊤</m:t>
            </m:r>
          </m:sup>
        </m:sSup>
        <m:r>
          <m:t>m</m:t>
        </m:r>
      </m:oMath>
      <w:r>
        <w:t xml:space="preserve"> </w:t>
      </w:r>
      <w:r>
        <w:t xml:space="preserve">after residualising</w:t>
      </w:r>
      <w:r>
        <w:t xml:space="preserve"> </w:t>
      </w:r>
      <m:oMath>
        <m:r>
          <m:rPr>
            <m:sty m:val="p"/>
          </m:rPr>
          <m:t>(</m:t>
        </m:r>
        <m:r>
          <m:t>1</m:t>
        </m:r>
        <m:r>
          <m:rPr>
            <m:sty m:val="p"/>
          </m:rPr>
          <m:t>,</m:t>
        </m:r>
        <m:r>
          <m:t>C</m:t>
        </m:r>
        <m:r>
          <m:rPr>
            <m:sty m:val="p"/>
          </m:rPr>
          <m:t>)</m:t>
        </m:r>
      </m:oMath>
      <w:r>
        <w:t xml:space="preserve"> </w:t>
      </w:r>
      <w:r>
        <w:t xml:space="preserve">has rank</w:t>
      </w:r>
      <w:r>
        <w:t xml:space="preserve"> </w:t>
      </w:r>
      <m:oMath>
        <m:r>
          <m:t>r</m:t>
        </m:r>
      </m:oMath>
      <w:r>
        <w:t xml:space="preserve">, and its range is the column space of</w:t>
      </w:r>
      <w:r>
        <w:t xml:space="preserve"> </w:t>
      </w:r>
      <m:oMath>
        <m:sSub>
          <m:e>
            <m:r>
              <m:t>L</m:t>
            </m:r>
          </m:e>
          <m:sub>
            <m:r>
              <m:t>W</m:t>
            </m:r>
          </m:sub>
        </m:sSub>
      </m:oMath>
      <w:r>
        <w:t xml:space="preserve">. An orthonormal basis</w:t>
      </w:r>
      <w:r>
        <w:t xml:space="preserve"> </w:t>
      </w:r>
      <m:oMath>
        <m:r>
          <m:t>P</m:t>
        </m:r>
      </m:oMath>
      <w:r>
        <w:t xml:space="preserve"> </w:t>
      </w:r>
      <w:r>
        <w:t xml:space="preserve">therefore gives</w:t>
      </w:r>
      <w:r>
        <w:t xml:space="preserve"> </w:t>
      </w:r>
      <m:oMath>
        <m:r>
          <m:rPr>
            <m:sty m:val="p"/>
          </m:rPr>
          <m:t>rank</m:t>
        </m:r>
        <m:r>
          <m:rPr>
            <m:sty m:val="p"/>
          </m:rPr>
          <m:t>(</m:t>
        </m:r>
        <m:sSup>
          <m:e>
            <m:r>
              <m:t>P</m:t>
            </m:r>
          </m:e>
          <m:sup>
            <m:r>
              <m:rPr>
                <m:sty m:val="p"/>
              </m:rPr>
              <m:t>⊤</m:t>
            </m:r>
          </m:sup>
        </m:sSup>
        <m:sSub>
          <m:e>
            <m:r>
              <m:t>L</m:t>
            </m:r>
          </m:e>
          <m:sub>
            <m:r>
              <m:t>W</m:t>
            </m:r>
          </m:sub>
        </m:sSub>
        <m:r>
          <m:rPr>
            <m:sty m:val="p"/>
          </m:rPr>
          <m:t>)</m:t>
        </m:r>
        <m:r>
          <m:rPr>
            <m:sty m:val="p"/>
          </m:rPr>
          <m:t>=</m:t>
        </m:r>
        <m:r>
          <m:t>r</m:t>
        </m:r>
      </m:oMath>
      <w:r>
        <w:t xml:space="preserve">. By Propositions 2 and 3a, the regression on</w:t>
      </w:r>
      <w:r>
        <w:t xml:space="preserve"> </w:t>
      </w:r>
      <m:oMath>
        <m:r>
          <m:rPr>
            <m:sty m:val="p"/>
          </m:rPr>
          <m:t>(</m:t>
        </m:r>
        <m:r>
          <m:t>1</m:t>
        </m:r>
        <m:r>
          <m:rPr>
            <m:sty m:val="p"/>
          </m:rPr>
          <m:t>,</m:t>
        </m:r>
        <m:r>
          <m:t>A</m:t>
        </m:r>
        <m:r>
          <m:rPr>
            <m:sty m:val="p"/>
          </m:rPr>
          <m:t>,</m:t>
        </m:r>
        <m:sSup>
          <m:e>
            <m:r>
              <m:t>m</m:t>
            </m:r>
          </m:e>
          <m:sup>
            <m:r>
              <m:rPr>
                <m:sty m:val="p"/>
              </m:rPr>
              <m:t>⊤</m:t>
            </m:r>
          </m:sup>
        </m:sSup>
        <m:r>
          <m:rPr>
            <m:sty m:val="p"/>
          </m:rPr>
          <m:t>Π</m:t>
        </m:r>
        <m:r>
          <m:t>P</m:t>
        </m:r>
        <m:r>
          <m:rPr>
            <m:sty m:val="p"/>
          </m:rPr>
          <m:t>,</m:t>
        </m:r>
        <m:r>
          <m:t>C</m:t>
        </m:r>
        <m:r>
          <m:rPr>
            <m:sty m:val="p"/>
          </m:rPr>
          <m:t>)</m:t>
        </m:r>
      </m:oMath>
      <w:r>
        <w:t xml:space="preserve"> </w:t>
      </w:r>
      <w:r>
        <w:t xml:space="preserve">has exposure coefficient</w:t>
      </w:r>
      <w:r>
        <w:t xml:space="preserve"> </w:t>
      </w:r>
      <m:oMath>
        <m:sSub>
          <m:e>
            <m:r>
              <m:t>τ</m:t>
            </m:r>
          </m:e>
          <m:sub>
            <m:r>
              <m:t>A</m:t>
            </m:r>
          </m:sub>
        </m:sSub>
      </m:oMath>
      <w:r>
        <w:t xml:space="preserve">.</w:t>
      </w:r>
    </w:p>
    <w:p>
      <w:pPr>
        <w:pStyle w:val="BodyText"/>
      </w:pPr>
      <w:r>
        <w:t xml:space="preserve">Inversion of</w:t>
      </w:r>
      <w:r>
        <w:t xml:space="preserve"> </w:t>
      </w:r>
      <m:oMath>
        <m:r>
          <m:t>Q</m:t>
        </m:r>
      </m:oMath>
      <w:r>
        <w:t xml:space="preserve">, the separated spectral projection and inversion of the second-stage moment matrix are differentiable. Repeated eigenvalues within the retained space are allowed because the exposure coefficient is invariant to an orthogonal change of basis in that space. The multivariate central limit theorem gives</w:t>
      </w:r>
      <w:r>
        <w:t xml:space="preserve"> </w:t>
      </w:r>
      <m:oMath>
        <m:rad>
          <m:radPr>
            <m:degHide m:val="on"/>
          </m:radPr>
          <m:deg/>
          <m:e>
            <m:r>
              <m:t>n</m:t>
            </m:r>
          </m:e>
        </m:rad>
        <m:r>
          <m:rPr>
            <m:sty m:val="p"/>
          </m:rPr>
          <m:t>(</m:t>
        </m:r>
        <m:sSub>
          <m:e>
            <m:r>
              <m:t>H</m:t>
            </m:r>
          </m:e>
          <m:sub>
            <m:r>
              <m:t>n</m:t>
            </m:r>
          </m:sub>
        </m:sSub>
        <m:r>
          <m:rPr>
            <m:sty m:val="p"/>
          </m:rPr>
          <m:t>−</m:t>
        </m:r>
        <m:r>
          <m:t>H</m:t>
        </m:r>
        <m:r>
          <m:rPr>
            <m:sty m:val="p"/>
          </m:rPr>
          <m:t>)</m:t>
        </m:r>
        <m:r>
          <m:rPr>
            <m:sty m:val="p"/>
          </m:rPr>
          <m:t>→</m:t>
        </m:r>
        <m:r>
          <m:t>N</m:t>
        </m:r>
        <m:r>
          <m:rPr>
            <m:sty m:val="p"/>
          </m:rPr>
          <m:t>(</m:t>
        </m:r>
        <m:r>
          <m:t>0</m:t>
        </m:r>
        <m:r>
          <m:rPr>
            <m:sty m:val="p"/>
          </m:rPr>
          <m:t>,</m:t>
        </m:r>
        <m:sSub>
          <m:e>
            <m:r>
              <m:rPr>
                <m:sty m:val="p"/>
              </m:rPr>
              <m:t>Σ</m:t>
            </m:r>
          </m:e>
          <m:sub>
            <m:r>
              <m:t>q</m:t>
            </m:r>
          </m:sub>
        </m:sSub>
        <m:r>
          <m:rPr>
            <m:sty m:val="p"/>
          </m:rPr>
          <m:t>)</m:t>
        </m:r>
      </m:oMath>
      <w:r>
        <w:t xml:space="preserve">, and the delta method gives Theorem 1. The construction and rank results transfer this conclusion to the selected estimator on an event with probability tending to one.</w:t>
      </w:r>
    </w:p>
    <w:p>
      <w:pPr>
        <w:pStyle w:val="BodyText"/>
      </w:pPr>
      <w:r>
        <w:t xml:space="preserve">The empirical moment vector has the usual patient-bootstrap expansion. The same differentiable map, with both stages and projection refitted, gives the bootstrap limit [33, 34], Chapter 23. Holding the realised roles and rank fixed estimates this limit under the construction conditions. This proves Corollary 1. For complete construction resampling, bootstrap consistency of the window moments and curves, positive KKT/loading margins, rank consistency and the finite-grid selection margin make the resampled discrete construction agree with the limiting design with conditional probability tending to one. On that event the same differentiable moment map gives the bootstrap expansion; the complement has vanishing probability. This proves Corollary 1b. The statement is pointwise at a stable identified model.</w:t>
      </w:r>
    </w:p>
    <w:bookmarkEnd w:id="47"/>
    <w:bookmarkStart w:id="48" w:name="a.3-proof-of-theorem-2"/>
    <w:p>
      <w:pPr>
        <w:pStyle w:val="Heading2"/>
      </w:pPr>
      <w:r>
        <w:t xml:space="preserve">A.3 Proof of Theorem 2</w:t>
      </w:r>
    </w:p>
    <w:p>
      <w:pPr>
        <w:pStyle w:val="FirstParagraph"/>
      </w:pPr>
      <w:r>
        <w:t xml:space="preserve">Positivity through a fixed horizon makes the inverse-censoring functional differentiable. For a perturbation</w:t>
      </w:r>
      <w:r>
        <w:t xml:space="preserve"> </w:t>
      </w:r>
      <m:oMath>
        <m:r>
          <m:t>g</m:t>
        </m:r>
      </m:oMath>
      <w:r>
        <w:t xml:space="preserve">,</w:t>
      </w:r>
    </w:p>
    <w:p>
      <w:pPr>
        <w:pStyle w:val="BodyText"/>
      </w:pPr>
      <m:oMathPara>
        <m:oMathParaPr>
          <m:jc m:val="center"/>
        </m:oMathParaPr>
        <m:oMath>
          <m:sSub>
            <m:e>
              <m:acc>
                <m:accPr>
                  <m:chr m:val="̇"/>
                </m:accPr>
                <m:e>
                  <m:r>
                    <m:t>V</m:t>
                  </m:r>
                </m:e>
              </m:acc>
            </m:e>
            <m:sub>
              <m:r>
                <m:t>ℓ</m:t>
              </m:r>
            </m:sub>
          </m:sSub>
          <m:r>
            <m:rPr>
              <m:sty m:val="p"/>
            </m:rPr>
            <m:t>[</m:t>
          </m:r>
          <m:r>
            <m:t>g</m:t>
          </m:r>
          <m:r>
            <m:rPr>
              <m:sty m:val="p"/>
            </m:rPr>
            <m:t>]</m:t>
          </m:r>
          <m:r>
            <m:rPr>
              <m:sty m:val="p"/>
            </m:rPr>
            <m:t>=</m:t>
          </m:r>
          <m:r>
            <m:rPr>
              <m:sty m:val="p"/>
            </m:rPr>
            <m:t>−</m:t>
          </m:r>
          <m:nary>
            <m:naryPr>
              <m:chr m:val="∫"/>
              <m:limLoc m:val="subSup"/>
              <m:subHide m:val="off"/>
              <m:supHide m:val="off"/>
            </m:naryPr>
            <m:sub>
              <m:r>
                <m:t>0</m:t>
              </m:r>
            </m:sub>
            <m:sup>
              <m:r>
                <m:t>ℓ</m:t>
              </m:r>
            </m:sup>
            <m:e>
              <m:r>
                <m:t>I</m:t>
              </m:r>
            </m:e>
          </m:nary>
          <m:r>
            <m:rPr>
              <m:sty m:val="p"/>
            </m:rPr>
            <m:t>(</m:t>
          </m:r>
          <m:r>
            <m:t>O</m:t>
          </m:r>
          <m:r>
            <m:rPr>
              <m:sty m:val="p"/>
            </m:rPr>
            <m:t>&gt;</m:t>
          </m:r>
          <m:r>
            <m:t>u</m:t>
          </m:r>
          <m:r>
            <m:rPr>
              <m:sty m:val="p"/>
            </m:rPr>
            <m:t>)</m:t>
          </m:r>
          <m:f>
            <m:fPr>
              <m:type m:val="bar"/>
            </m:fPr>
            <m:num>
              <m:r>
                <m:t>g</m:t>
              </m:r>
              <m:r>
                <m:rPr>
                  <m:sty m:val="p"/>
                </m:rPr>
                <m:t>(</m:t>
              </m:r>
              <m:r>
                <m:t>u</m:t>
              </m:r>
              <m:r>
                <m:rPr>
                  <m:sty m:val="p"/>
                </m:rPr>
                <m:t>∣</m:t>
              </m:r>
              <m:r>
                <m:t>A</m:t>
              </m:r>
              <m:r>
                <m:rPr>
                  <m:sty m:val="p"/>
                </m:rPr>
                <m:t>,</m:t>
              </m:r>
              <m:r>
                <m:t>C</m:t>
              </m:r>
              <m:r>
                <m:rPr>
                  <m:sty m:val="p"/>
                </m:rPr>
                <m:t>)</m:t>
              </m:r>
            </m:num>
            <m:den>
              <m:r>
                <m:t>G</m:t>
              </m:r>
              <m:r>
                <m:rPr>
                  <m:sty m:val="p"/>
                </m:rPr>
                <m:t>(</m:t>
              </m:r>
              <m:r>
                <m:t>u</m:t>
              </m:r>
              <m:r>
                <m:rPr>
                  <m:sty m:val="p"/>
                </m:rPr>
                <m:t>∣</m:t>
              </m:r>
              <m:r>
                <m:t>A</m:t>
              </m:r>
              <m:r>
                <m:rPr>
                  <m:sty m:val="p"/>
                </m:rPr>
                <m:t>,</m:t>
              </m:r>
              <m:r>
                <m:t>C</m:t>
              </m:r>
              <m:sSup>
                <m:e>
                  <m:r>
                    <m:rPr>
                      <m:sty m:val="p"/>
                    </m:rPr>
                    <m:t>)</m:t>
                  </m:r>
                </m:e>
                <m:sup>
                  <m:r>
                    <m:t>2</m:t>
                  </m:r>
                </m:sup>
              </m:sSup>
            </m:den>
          </m:f>
          <m:r>
            <m:t> </m:t>
          </m:r>
          <m:r>
            <m:t>d</m:t>
          </m:r>
          <m:r>
            <m:t>u</m:t>
          </m:r>
          <m:r>
            <m:rPr>
              <m:sty m:val="p"/>
            </m:rPr>
            <m:t>,</m:t>
          </m:r>
          <m:r>
            <m:t>  </m:t>
          </m:r>
          <m:sSub>
            <m:e>
              <m:acc>
                <m:accPr>
                  <m:chr m:val="̇"/>
                </m:accPr>
                <m:e>
                  <m:r>
                    <m:t>V</m:t>
                  </m:r>
                </m:e>
              </m:acc>
            </m:e>
            <m:sub>
              <m:r>
                <m:t>t</m:t>
              </m:r>
            </m:sub>
          </m:sSub>
          <m:r>
            <m:rPr>
              <m:sty m:val="p"/>
            </m:rPr>
            <m:t>[</m:t>
          </m:r>
          <m:r>
            <m:t>g</m:t>
          </m:r>
          <m:r>
            <m:rPr>
              <m:sty m:val="p"/>
            </m:rPr>
            <m:t>]</m:t>
          </m:r>
          <m:r>
            <m:rPr>
              <m:sty m:val="p"/>
            </m:rPr>
            <m:t>=</m:t>
          </m:r>
          <m:r>
            <m:rPr>
              <m:sty m:val="p"/>
            </m:rPr>
            <m:t>−</m:t>
          </m:r>
          <m:r>
            <m:t>I</m:t>
          </m:r>
          <m:r>
            <m:rPr>
              <m:sty m:val="p"/>
            </m:rPr>
            <m:t>(</m:t>
          </m:r>
          <m:r>
            <m:t>O</m:t>
          </m:r>
          <m:r>
            <m:rPr>
              <m:sty m:val="p"/>
            </m:rPr>
            <m:t>&gt;</m:t>
          </m:r>
          <m:r>
            <m:t>t</m:t>
          </m:r>
          <m:r>
            <m:rPr>
              <m:sty m:val="p"/>
            </m:rPr>
            <m:t>)</m:t>
          </m:r>
          <m:f>
            <m:fPr>
              <m:type m:val="bar"/>
            </m:fPr>
            <m:num>
              <m:r>
                <m:t>g</m:t>
              </m:r>
              <m:r>
                <m:rPr>
                  <m:sty m:val="p"/>
                </m:rPr>
                <m:t>(</m:t>
              </m:r>
              <m:r>
                <m:t>t</m:t>
              </m:r>
              <m:r>
                <m:rPr>
                  <m:sty m:val="p"/>
                </m:rPr>
                <m:t>∣</m:t>
              </m:r>
              <m:r>
                <m:t>A</m:t>
              </m:r>
              <m:r>
                <m:rPr>
                  <m:sty m:val="p"/>
                </m:rPr>
                <m:t>,</m:t>
              </m:r>
              <m:r>
                <m:t>C</m:t>
              </m:r>
              <m:r>
                <m:rPr>
                  <m:sty m:val="p"/>
                </m:rPr>
                <m:t>)</m:t>
              </m:r>
            </m:num>
            <m:den>
              <m:r>
                <m:t>G</m:t>
              </m:r>
              <m:r>
                <m:rPr>
                  <m:sty m:val="p"/>
                </m:rPr>
                <m:t>(</m:t>
              </m:r>
              <m:r>
                <m:t>t</m:t>
              </m:r>
              <m:r>
                <m:rPr>
                  <m:sty m:val="p"/>
                </m:rPr>
                <m:t>∣</m:t>
              </m:r>
              <m:r>
                <m:t>A</m:t>
              </m:r>
              <m:r>
                <m:rPr>
                  <m:sty m:val="p"/>
                </m:rPr>
                <m:t>,</m:t>
              </m:r>
              <m:r>
                <m:t>C</m:t>
              </m:r>
              <m:sSup>
                <m:e>
                  <m:r>
                    <m:rPr>
                      <m:sty m:val="p"/>
                    </m:rPr>
                    <m:t>)</m:t>
                  </m:r>
                </m:e>
                <m:sup>
                  <m:r>
                    <m:t>2</m:t>
                  </m:r>
                </m:sup>
              </m:sSup>
            </m:den>
          </m:f>
          <m:r>
            <m:rPr>
              <m:sty m:val="p"/>
            </m:rPr>
            <m:t>.</m:t>
          </m:r>
        </m:oMath>
      </m:oMathPara>
    </w:p>
    <w:p>
      <w:pPr>
        <w:pStyle w:val="FirstParagraph"/>
      </w:pPr>
      <w:r>
        <w:t xml:space="preserve">Only the outcome-moment block changes. If</w:t>
      </w:r>
      <w:r>
        <w:t xml:space="preserve"> </w:t>
      </w:r>
      <m:oMath>
        <m:sSub>
          <m:e>
            <m:r>
              <m:t>J</m:t>
            </m:r>
          </m:e>
          <m:sub>
            <m:r>
              <m:t>s</m:t>
            </m:r>
          </m:sub>
        </m:sSub>
      </m:oMath>
      <w:r>
        <w:t xml:space="preserve"> </w:t>
      </w:r>
      <w:r>
        <w:t xml:space="preserve">denotes the part of</w:t>
      </w:r>
      <w:r>
        <w:t xml:space="preserve"> </w:t>
      </w:r>
      <m:oMath>
        <m:r>
          <m:t>J</m:t>
        </m:r>
      </m:oMath>
      <w:r>
        <w:t xml:space="preserve"> </w:t>
      </w:r>
      <w:r>
        <w:t xml:space="preserve">acting on</w:t>
      </w:r>
      <w:r>
        <w:t xml:space="preserve"> </w:t>
      </w:r>
      <m:oMath>
        <m:r>
          <m:t>E</m:t>
        </m:r>
        <m:r>
          <m:rPr>
            <m:sty m:val="p"/>
          </m:rPr>
          <m:t>[</m:t>
        </m:r>
        <m:r>
          <m:t>m</m:t>
        </m:r>
        <m:sSub>
          <m:e>
            <m:r>
              <m:t>V</m:t>
            </m:r>
          </m:e>
          <m:sub>
            <m:r>
              <m:t>L</m:t>
            </m:r>
          </m:sub>
        </m:sSub>
        <m:r>
          <m:rPr>
            <m:sty m:val="p"/>
          </m:rPr>
          <m:t>]</m:t>
        </m:r>
      </m:oMath>
      <w:r>
        <w:t xml:space="preserve">, then</w:t>
      </w:r>
      <w:r>
        <w:t xml:space="preserve"> </w:t>
      </w:r>
      <m:oMath>
        <m:sSub>
          <m:e>
            <m:r>
              <m:rPr>
                <m:scr m:val="script"/>
                <m:sty m:val="p"/>
              </m:rPr>
              <m:t>D</m:t>
            </m:r>
          </m:e>
          <m:sub>
            <m:r>
              <m:t>G</m:t>
            </m:r>
          </m:sub>
        </m:sSub>
        <m:r>
          <m:t>g</m:t>
        </m:r>
        <m:r>
          <m:rPr>
            <m:sty m:val="p"/>
          </m:rPr>
          <m:t>=</m:t>
        </m:r>
        <m:sSub>
          <m:e>
            <m:r>
              <m:t>J</m:t>
            </m:r>
          </m:e>
          <m:sub>
            <m:r>
              <m:t>s</m:t>
            </m:r>
          </m:sub>
        </m:sSub>
        <m:r>
          <m:t>E</m:t>
        </m:r>
        <m:r>
          <m:rPr>
            <m:sty m:val="p"/>
          </m:rPr>
          <m:t>[</m:t>
        </m:r>
        <m:r>
          <m:t>m</m:t>
        </m:r>
        <m:sSub>
          <m:e>
            <m:acc>
              <m:accPr>
                <m:chr m:val="̇"/>
              </m:accPr>
              <m:e>
                <m:r>
                  <m:t>V</m:t>
                </m:r>
              </m:e>
            </m:acc>
          </m:e>
          <m:sub>
            <m:r>
              <m:t>L</m:t>
            </m:r>
          </m:sub>
        </m:sSub>
        <m:r>
          <m:rPr>
            <m:sty m:val="p"/>
          </m:rPr>
          <m:t>[</m:t>
        </m:r>
        <m:r>
          <m:t>g</m:t>
        </m:r>
        <m:r>
          <m:rPr>
            <m:sty m:val="p"/>
          </m:rPr>
          <m:t>]</m:t>
        </m:r>
        <m:r>
          <m:rPr>
            <m:sty m:val="p"/>
          </m:rPr>
          <m:t>]</m:t>
        </m:r>
      </m:oMath>
      <w:r>
        <w:t xml:space="preserve">. Expand the empirical moment map jointly with the regular censoring estimator. The empirical-process term is</w:t>
      </w:r>
      <w:r>
        <w:t xml:space="preserve"> </w:t>
      </w:r>
      <m:oMath>
        <m:r>
          <m:t>J</m:t>
        </m:r>
        <m:r>
          <m:rPr>
            <m:sty m:val="p"/>
          </m:rPr>
          <m:t>{</m:t>
        </m:r>
        <m:sSub>
          <m:e>
            <m:r>
              <m:t>q</m:t>
            </m:r>
          </m:e>
          <m:sub>
            <m:r>
              <m:t>i</m:t>
            </m:r>
          </m:sub>
        </m:sSub>
        <m:r>
          <m:rPr>
            <m:sty m:val="p"/>
          </m:rPr>
          <m:t>(</m:t>
        </m:r>
        <m:r>
          <m:t>G</m:t>
        </m:r>
        <m:r>
          <m:rPr>
            <m:sty m:val="p"/>
          </m:rPr>
          <m:t>)</m:t>
        </m:r>
        <m:r>
          <m:rPr>
            <m:sty m:val="p"/>
          </m:rPr>
          <m:t>−</m:t>
        </m:r>
        <m:r>
          <m:t>H</m:t>
        </m:r>
        <m:r>
          <m:rPr>
            <m:sty m:val="p"/>
          </m:rPr>
          <m:t>}</m:t>
        </m:r>
      </m:oMath>
      <w:r>
        <w:t xml:space="preserve">; the nuisance term is</w:t>
      </w:r>
      <w:r>
        <w:t xml:space="preserve"> </w:t>
      </w:r>
      <m:oMath>
        <m:sSub>
          <m:e>
            <m:r>
              <m:rPr>
                <m:scr m:val="script"/>
                <m:sty m:val="p"/>
              </m:rPr>
              <m:t>D</m:t>
            </m:r>
          </m:e>
          <m:sub>
            <m:r>
              <m:t>G</m:t>
            </m:r>
          </m:sub>
        </m:sSub>
        <m:sSub>
          <m:e>
            <m:r>
              <m:t>φ</m:t>
            </m:r>
          </m:e>
          <m:sub>
            <m:r>
              <m:t>G</m:t>
            </m:r>
            <m:r>
              <m:rPr>
                <m:sty m:val="p"/>
              </m:rPr>
              <m:t>,</m:t>
            </m:r>
            <m:r>
              <m:t>i</m:t>
            </m:r>
          </m:sub>
        </m:sSub>
      </m:oMath>
      <w:r>
        <w:t xml:space="preserve">. Their variance includes their cross-covariance because they are estimated from the same patients. The joint functional delta method gives Theorem 2, and its bootstrap version gives the stated resampling result. Refitting the censoring curve in each draw implements the nuisance contribution.</w:t>
      </w:r>
    </w:p>
    <w:bookmarkEnd w:id="48"/>
    <w:bookmarkStart w:id="49" w:name="Xf6a89e6e2b2c483c1735eb88487b01d9a6352bd"/>
    <w:p>
      <w:pPr>
        <w:pStyle w:val="Heading2"/>
      </w:pPr>
      <w:r>
        <w:t xml:space="preserve">A.4 Structural identification and concentrated moment proofs</w:t>
      </w:r>
    </w:p>
    <w:p>
      <w:pPr>
        <w:pStyle w:val="FirstParagraph"/>
      </w:pPr>
      <w:r>
        <w:rPr>
          <w:b/>
          <w:bCs/>
        </w:rPr>
        <w:t xml:space="preserve">Proof of Proposition 1.</w:t>
      </w:r>
    </w:p>
    <w:p>
      <w:pPr>
        <w:pStyle w:val="BodyText"/>
      </w:pPr>
      <w:r>
        <w:rPr>
          <w:i/>
          <w:iCs/>
        </w:rPr>
        <w:t xml:space="preserve">Proof.</w:t>
      </w:r>
      <w:r>
        <w:t xml:space="preserve"> </w:t>
      </w:r>
      <w:r>
        <w:t xml:space="preserve">N1 and separation of</w:t>
      </w:r>
      <w:r>
        <w:t xml:space="preserve"> </w:t>
      </w:r>
      <m:oMath>
        <m:sSub>
          <m:e>
            <m:r>
              <m:t>W</m:t>
            </m:r>
          </m:e>
          <m:sub>
            <m:r>
              <m:t>A</m:t>
            </m:r>
          </m:sub>
        </m:sSub>
      </m:oMath>
      <w:r>
        <w:t xml:space="preserve"> </w:t>
      </w:r>
      <w:r>
        <w:t xml:space="preserve">in</w:t>
      </w:r>
      <w:r>
        <w:t xml:space="preserve"> </w:t>
      </w:r>
      <m:oMath>
        <m:sSub>
          <m:e>
            <m:r>
              <m:t>G</m:t>
            </m:r>
          </m:e>
          <m:sub>
            <m:r>
              <m:t>0</m:t>
            </m:r>
          </m:sub>
        </m:sSub>
      </m:oMath>
      <w:r>
        <w:t xml:space="preserve"> </w:t>
      </w:r>
      <w:r>
        <w:t xml:space="preserve">imply separation from</w:t>
      </w:r>
      <w:r>
        <w:t xml:space="preserve"> </w:t>
      </w:r>
      <m:oMath>
        <m:r>
          <m:rPr>
            <m:sty m:val="p"/>
          </m:rPr>
          <m:t>(</m:t>
        </m:r>
        <m:r>
          <m:t>A</m:t>
        </m:r>
        <m:r>
          <m:rPr>
            <m:sty m:val="p"/>
          </m:rPr>
          <m:t>,</m:t>
        </m:r>
        <m:sSub>
          <m:e>
            <m:r>
              <m:t>Z</m:t>
            </m:r>
          </m:e>
          <m:sub>
            <m:r>
              <m:t>A</m:t>
            </m:r>
          </m:sub>
        </m:sSub>
        <m:r>
          <m:rPr>
            <m:sty m:val="p"/>
          </m:rPr>
          <m:t>)</m:t>
        </m:r>
      </m:oMath>
      <w:r>
        <w:t xml:space="preserve"> </w:t>
      </w:r>
      <w:r>
        <w:t xml:space="preserve">in</w:t>
      </w:r>
      <w:r>
        <w:t xml:space="preserve"> </w:t>
      </w:r>
      <m:oMath>
        <m:r>
          <m:t>H</m:t>
        </m:r>
      </m:oMath>
      <w:r>
        <w:t xml:space="preserve">. The moral-graph criterion therefore gives the second independence. N2 separates</w:t>
      </w:r>
      <w:r>
        <w:t xml:space="preserve"> </w:t>
      </w:r>
      <m:oMath>
        <m:sSub>
          <m:e>
            <m:r>
              <m:t>Z</m:t>
            </m:r>
          </m:e>
          <m:sub>
            <m:r>
              <m:t>A</m:t>
            </m:r>
          </m:sub>
        </m:sSub>
      </m:oMath>
      <w:r>
        <w:t xml:space="preserve"> </w:t>
      </w:r>
      <w:r>
        <w:t xml:space="preserve">from all observed outcome parents other than</w:t>
      </w:r>
      <w:r>
        <w:t xml:space="preserve"> </w:t>
      </w:r>
      <m:oMath>
        <m:r>
          <m:t>A</m:t>
        </m:r>
      </m:oMath>
      <w:r>
        <w:t xml:space="preserve"> </w:t>
      </w:r>
      <w:r>
        <w:t xml:space="preserve">after conditioning on</w:t>
      </w:r>
      <w:r>
        <w:t xml:space="preserve"> </w:t>
      </w:r>
      <m:oMath>
        <m:r>
          <m:t>A</m:t>
        </m:r>
      </m:oMath>
      <w:r>
        <w:t xml:space="preserve">. Adding the independent outcome error gives the first independence. A separation in the full moral graph also separates the relevant ancestral moral graph, so these statements cover all causal paths.</w:t>
      </w:r>
      <w:r>
        <w:t xml:space="preserve"> </w:t>
      </w:r>
      <m:oMath>
        <m:r>
          <m:rPr>
            <m:sty m:val="p"/>
          </m:rPr>
          <m:t>▫</m:t>
        </m:r>
      </m:oMath>
    </w:p>
    <w:p>
      <w:pPr>
        <w:pStyle w:val="BodyText"/>
      </w:pPr>
      <w:r>
        <w:rPr>
          <w:b/>
          <w:bCs/>
        </w:rPr>
        <w:t xml:space="preserve">Proof of Proposition 2.</w:t>
      </w:r>
    </w:p>
    <w:p>
      <w:pPr>
        <w:pStyle w:val="BodyText"/>
      </w:pPr>
      <w:r>
        <w:rPr>
          <w:i/>
          <w:iCs/>
        </w:rPr>
        <w:t xml:space="preserve">Proof.</w:t>
      </w:r>
      <w:r>
        <w:t xml:space="preserve"> </w:t>
      </w:r>
      <w:r>
        <w:t xml:space="preserve">Full column rank of</w:t>
      </w:r>
      <w:r>
        <w:t xml:space="preserve"> </w:t>
      </w:r>
      <m:oMath>
        <m:sSub>
          <m:e>
            <m:r>
              <m:t>L</m:t>
            </m:r>
          </m:e>
          <m:sub>
            <m:r>
              <m:t>W</m:t>
            </m:r>
          </m:sub>
        </m:sSub>
      </m:oMath>
      <w:r>
        <w:t xml:space="preserve"> </w:t>
      </w:r>
      <w:r>
        <w:t xml:space="preserve">supplies a solution. Conditioning on</w:t>
      </w:r>
      <w:r>
        <w:t xml:space="preserve"> </w:t>
      </w:r>
      <m:oMath>
        <m:r>
          <m:rPr>
            <m:sty m:val="p"/>
          </m:rPr>
          <m:t>(</m:t>
        </m:r>
        <m:r>
          <m:t>A</m:t>
        </m:r>
        <m:r>
          <m:rPr>
            <m:sty m:val="p"/>
          </m:rPr>
          <m:t>,</m:t>
        </m:r>
        <m:r>
          <m:t>F</m:t>
        </m:r>
        <m:r>
          <m:rPr>
            <m:sty m:val="p"/>
          </m:rPr>
          <m:t>,</m:t>
        </m:r>
        <m:r>
          <m:t>Z</m:t>
        </m:r>
        <m:r>
          <m:rPr>
            <m:sty m:val="p"/>
          </m:rPr>
          <m:t>,</m:t>
        </m:r>
        <m:r>
          <m:t>C</m:t>
        </m:r>
        <m:r>
          <m:rPr>
            <m:sty m:val="p"/>
          </m:rPr>
          <m:t>)</m:t>
        </m:r>
      </m:oMath>
      <w:r>
        <w:t xml:space="preserve"> </w:t>
      </w:r>
      <w:r>
        <w:t xml:space="preserve">makes the two mean functions equal, and averaging gives the bridge equation.</w:t>
      </w:r>
      <w:r>
        <w:t xml:space="preserve"> </w:t>
      </w:r>
      <m:oMath>
        <m:r>
          <m:t>W</m:t>
        </m:r>
      </m:oMath>
      <w:r>
        <w:t xml:space="preserve"> </w:t>
      </w:r>
      <w:r>
        <w:t xml:space="preserve">represents the pre-intervention systemic state, so averaging</w:t>
      </w:r>
      <w:r>
        <w:t xml:space="preserve"> </w:t>
      </w:r>
      <m:oMath>
        <m:r>
          <m:t>h</m:t>
        </m:r>
        <m:r>
          <m:rPr>
            <m:sty m:val="p"/>
          </m:rPr>
          <m:t>(</m:t>
        </m:r>
        <m:r>
          <m:t>W</m:t>
        </m:r>
        <m:r>
          <m:rPr>
            <m:sty m:val="p"/>
          </m:rPr>
          <m:t>,</m:t>
        </m:r>
        <m:r>
          <m:t>a</m:t>
        </m:r>
        <m:r>
          <m:rPr>
            <m:sty m:val="p"/>
          </m:rPr>
          <m:t>,</m:t>
        </m:r>
        <m:r>
          <m:t>C</m:t>
        </m:r>
        <m:r>
          <m:rPr>
            <m:sty m:val="p"/>
          </m:rPr>
          <m:t>)</m:t>
        </m:r>
      </m:oMath>
      <w:r>
        <w:t xml:space="preserve"> </w:t>
      </w:r>
      <w:r>
        <w:t xml:space="preserve">gives the intervention mean. For uniqueness, subtract two linear bridge solutions and project their conditional mean difference on</w:t>
      </w:r>
      <w:r>
        <w:t xml:space="preserve"> </w:t>
      </w:r>
      <m:oMath>
        <m:r>
          <m:rPr>
            <m:sty m:val="p"/>
          </m:rPr>
          <m:t>(</m:t>
        </m:r>
        <m:r>
          <m:t>1</m:t>
        </m:r>
        <m:r>
          <m:rPr>
            <m:sty m:val="p"/>
          </m:rPr>
          <m:t>,</m:t>
        </m:r>
        <m:r>
          <m:t>A</m:t>
        </m:r>
        <m:r>
          <m:rPr>
            <m:sty m:val="p"/>
          </m:rPr>
          <m:t>,</m:t>
        </m:r>
        <m:r>
          <m:t>Z</m:t>
        </m:r>
        <m:r>
          <m:rPr>
            <m:sty m:val="p"/>
          </m:rPr>
          <m:t>,</m:t>
        </m:r>
        <m:r>
          <m:t>C</m:t>
        </m:r>
        <m:r>
          <m:rPr>
            <m:sty m:val="p"/>
          </m:rPr>
          <m:t>)</m:t>
        </m:r>
      </m:oMath>
      <w:r>
        <w:t xml:space="preserve">. The</w:t>
      </w:r>
      <w:r>
        <w:t xml:space="preserve"> </w:t>
      </w:r>
      <m:oMath>
        <m:r>
          <m:t>Z</m:t>
        </m:r>
      </m:oMath>
      <w:r>
        <w:t xml:space="preserve"> </w:t>
      </w:r>
      <w:r>
        <w:t xml:space="preserve">coefficients satisfy</w:t>
      </w:r>
      <w:r>
        <w:t xml:space="preserve"> </w:t>
      </w:r>
      <m:oMath>
        <m:r>
          <m:rPr>
            <m:sty m:val="p"/>
          </m:rPr>
          <m:t>(</m:t>
        </m:r>
        <m:sSub>
          <m:e>
            <m:r>
              <m:t>η</m:t>
            </m:r>
          </m:e>
          <m:sub>
            <m:r>
              <m:t>W</m:t>
            </m:r>
          </m:sub>
        </m:sSub>
        <m:r>
          <m:rPr>
            <m:sty m:val="p"/>
          </m:rPr>
          <m:t>−</m:t>
        </m:r>
        <m:sSubSup>
          <m:e>
            <m:r>
              <m:t>η</m:t>
            </m:r>
          </m:e>
          <m:sub>
            <m:r>
              <m:t>W</m:t>
            </m:r>
          </m:sub>
          <m:sup>
            <m:r>
              <m:rPr>
                <m:sty m:val="p"/>
              </m:rPr>
              <m:t>′</m:t>
            </m:r>
          </m:sup>
        </m:sSubSup>
        <m:sSup>
          <m:e>
            <m:r>
              <m:rPr>
                <m:sty m:val="p"/>
              </m:rPr>
              <m:t>)</m:t>
            </m:r>
          </m:e>
          <m:sup>
            <m:r>
              <m:rPr>
                <m:sty m:val="p"/>
              </m:rPr>
              <m:t>⊤</m:t>
            </m:r>
          </m:sup>
        </m:sSup>
        <m:sSub>
          <m:e>
            <m:r>
              <m:t>L</m:t>
            </m:r>
          </m:e>
          <m:sub>
            <m:r>
              <m:t>W</m:t>
            </m:r>
          </m:sub>
        </m:sSub>
        <m:sSub>
          <m:e>
            <m:r>
              <m:t>K</m:t>
            </m:r>
          </m:e>
          <m:sub>
            <m:r>
              <m:t>Z</m:t>
            </m:r>
          </m:sub>
        </m:sSub>
        <m:r>
          <m:rPr>
            <m:sty m:val="p"/>
          </m:rPr>
          <m:t>=</m:t>
        </m:r>
        <m:r>
          <m:t>0</m:t>
        </m:r>
      </m:oMath>
      <w:r>
        <w:t xml:space="preserve">. Full row rank of</w:t>
      </w:r>
      <w:r>
        <w:t xml:space="preserve"> </w:t>
      </w:r>
      <m:oMath>
        <m:sSub>
          <m:e>
            <m:r>
              <m:t>K</m:t>
            </m:r>
          </m:e>
          <m:sub>
            <m:r>
              <m:t>Z</m:t>
            </m:r>
          </m:sub>
        </m:sSub>
      </m:oMath>
      <w:r>
        <w:t xml:space="preserve"> </w:t>
      </w:r>
      <w:r>
        <w:t xml:space="preserve">gives</w:t>
      </w:r>
      <w:r>
        <w:t xml:space="preserve"> </w:t>
      </w:r>
      <m:oMath>
        <m:r>
          <m:rPr>
            <m:sty m:val="p"/>
          </m:rPr>
          <m:t>(</m:t>
        </m:r>
        <m:sSub>
          <m:e>
            <m:r>
              <m:t>η</m:t>
            </m:r>
          </m:e>
          <m:sub>
            <m:r>
              <m:t>W</m:t>
            </m:r>
          </m:sub>
        </m:sSub>
        <m:r>
          <m:rPr>
            <m:sty m:val="p"/>
          </m:rPr>
          <m:t>−</m:t>
        </m:r>
        <m:sSubSup>
          <m:e>
            <m:r>
              <m:t>η</m:t>
            </m:r>
          </m:e>
          <m:sub>
            <m:r>
              <m:t>W</m:t>
            </m:r>
          </m:sub>
          <m:sup>
            <m:r>
              <m:rPr>
                <m:sty m:val="p"/>
              </m:rPr>
              <m:t>′</m:t>
            </m:r>
          </m:sup>
        </m:sSubSup>
        <m:sSup>
          <m:e>
            <m:r>
              <m:rPr>
                <m:sty m:val="p"/>
              </m:rPr>
              <m:t>)</m:t>
            </m:r>
          </m:e>
          <m:sup>
            <m:r>
              <m:rPr>
                <m:sty m:val="p"/>
              </m:rPr>
              <m:t>⊤</m:t>
            </m:r>
          </m:sup>
        </m:sSup>
        <m:sSub>
          <m:e>
            <m:r>
              <m:t>L</m:t>
            </m:r>
          </m:e>
          <m:sub>
            <m:r>
              <m:t>W</m:t>
            </m:r>
          </m:sub>
        </m:sSub>
        <m:r>
          <m:rPr>
            <m:sty m:val="p"/>
          </m:rPr>
          <m:t>=</m:t>
        </m:r>
        <m:r>
          <m:t>0</m:t>
        </m:r>
      </m:oMath>
      <w:r>
        <w:t xml:space="preserve">. The coefficient of</w:t>
      </w:r>
      <w:r>
        <w:t xml:space="preserve"> </w:t>
      </w:r>
      <m:oMath>
        <m:r>
          <m:t>A</m:t>
        </m:r>
      </m:oMath>
      <w:r>
        <w:t xml:space="preserve"> </w:t>
      </w:r>
      <w:r>
        <w:t xml:space="preserve">then gives</w:t>
      </w:r>
      <w:r>
        <w:t xml:space="preserve"> </w:t>
      </w:r>
      <m:oMath>
        <m:sSub>
          <m:e>
            <m:r>
              <m:t>η</m:t>
            </m:r>
          </m:e>
          <m:sub>
            <m:r>
              <m:t>A</m:t>
            </m:r>
          </m:sub>
        </m:sSub>
        <m:r>
          <m:rPr>
            <m:sty m:val="p"/>
          </m:rPr>
          <m:t>−</m:t>
        </m:r>
        <m:sSubSup>
          <m:e>
            <m:r>
              <m:t>η</m:t>
            </m:r>
          </m:e>
          <m:sub>
            <m:r>
              <m:t>A</m:t>
            </m:r>
          </m:sub>
          <m:sup>
            <m:r>
              <m:rPr>
                <m:sty m:val="p"/>
              </m:rPr>
              <m:t>′</m:t>
            </m:r>
          </m:sup>
        </m:sSubSup>
        <m:r>
          <m:rPr>
            <m:sty m:val="p"/>
          </m:rPr>
          <m:t>=</m:t>
        </m:r>
        <m:r>
          <m:t>0</m:t>
        </m:r>
      </m:oMath>
      <w:r>
        <w:t xml:space="preserve">.</w:t>
      </w:r>
      <w:r>
        <w:t xml:space="preserve"> </w:t>
      </w:r>
      <m:oMath>
        <m:r>
          <m:rPr>
            <m:sty m:val="p"/>
          </m:rPr>
          <m:t>▫</m:t>
        </m:r>
      </m:oMath>
    </w:p>
    <w:p>
      <w:pPr>
        <w:pStyle w:val="BodyText"/>
      </w:pPr>
      <w:r>
        <w:rPr>
          <w:b/>
          <w:bCs/>
        </w:rPr>
        <w:t xml:space="preserve">Proof of Proposition 3.</w:t>
      </w:r>
    </w:p>
    <w:p>
      <w:pPr>
        <w:pStyle w:val="BodyText"/>
      </w:pPr>
      <w:r>
        <w:rPr>
          <w:i/>
          <w:iCs/>
        </w:rPr>
        <w:t xml:space="preserve">Proof.</w:t>
      </w:r>
      <w:r>
        <w:t xml:space="preserve"> </w:t>
      </w:r>
      <w:r>
        <w:t xml:space="preserve">The proxy mean-zero error is orthogonal to</w:t>
      </w:r>
      <w:r>
        <w:t xml:space="preserve"> </w:t>
      </w:r>
      <m:oMath>
        <m:r>
          <m:rPr>
            <m:sty m:val="p"/>
          </m:rPr>
          <m:t>(</m:t>
        </m:r>
        <m:r>
          <m:t>1</m:t>
        </m:r>
        <m:r>
          <m:rPr>
            <m:sty m:val="p"/>
          </m:rPr>
          <m:t>,</m:t>
        </m:r>
        <m:r>
          <m:t>A</m:t>
        </m:r>
        <m:r>
          <m:rPr>
            <m:sty m:val="p"/>
          </m:rPr>
          <m:t>,</m:t>
        </m:r>
        <m:r>
          <m:t>Z</m:t>
        </m:r>
        <m:r>
          <m:rPr>
            <m:sty m:val="p"/>
          </m:rPr>
          <m:t>,</m:t>
        </m:r>
        <m:r>
          <m:t>C</m:t>
        </m:r>
        <m:r>
          <m:rPr>
            <m:sty m:val="p"/>
          </m:rPr>
          <m:t>)</m:t>
        </m:r>
      </m:oMath>
      <w:r>
        <w:t xml:space="preserve">. Residualising the linear projections gives both covariance identities. Full column rank of</w:t>
      </w:r>
      <w:r>
        <w:t xml:space="preserve"> </w:t>
      </w:r>
      <m:oMath>
        <m:sSub>
          <m:e>
            <m:r>
              <m:t>L</m:t>
            </m:r>
          </m:e>
          <m:sub>
            <m:r>
              <m:t>W</m:t>
            </m:r>
          </m:sub>
        </m:sSub>
      </m:oMath>
      <w:r>
        <w:t xml:space="preserve"> </w:t>
      </w:r>
      <w:r>
        <w:t xml:space="preserve">and full row rank of</w:t>
      </w:r>
      <w:r>
        <w:t xml:space="preserve"> </w:t>
      </w:r>
      <m:oMath>
        <m:sSub>
          <m:e>
            <m:r>
              <m:t>K</m:t>
            </m:r>
          </m:e>
          <m:sub>
            <m:r>
              <m:t>Z</m:t>
            </m:r>
          </m:sub>
        </m:sSub>
      </m:oMath>
      <w:r>
        <w:t xml:space="preserve"> </w:t>
      </w:r>
      <w:r>
        <w:t xml:space="preserve">give rank</w:t>
      </w:r>
      <w:r>
        <w:t xml:space="preserve"> </w:t>
      </w:r>
      <m:oMath>
        <m:r>
          <m:t>r</m:t>
        </m:r>
      </m:oMath>
      <w:r>
        <w:t xml:space="preserve"> </w:t>
      </w:r>
      <w:r>
        <w:t xml:space="preserve">for the conditional matrix. This conditional rank implies full row rank of</w:t>
      </w:r>
      <w:r>
        <w:t xml:space="preserve"> </w:t>
      </w:r>
      <m:oMath>
        <m:r>
          <m:rPr>
            <m:sty m:val="p"/>
          </m:rPr>
          <m:t>Cov</m:t>
        </m:r>
        <m:r>
          <m:rPr>
            <m:sty m:val="p"/>
          </m:rPr>
          <m:t>(</m:t>
        </m:r>
        <m:acc>
          <m:accPr>
            <m:chr m:val="̌"/>
          </m:accPr>
          <m:e>
            <m:r>
              <m:t>F</m:t>
            </m:r>
          </m:e>
        </m:acc>
        <m:r>
          <m:rPr>
            <m:sty m:val="p"/>
          </m:rPr>
          <m:t>,</m:t>
        </m:r>
        <m:acc>
          <m:accPr>
            <m:chr m:val="̌"/>
          </m:accPr>
          <m:e>
            <m:r>
              <m:t>M</m:t>
            </m:r>
          </m:e>
        </m:acc>
        <m:r>
          <m:rPr>
            <m:sty m:val="p"/>
          </m:rPr>
          <m:t>)</m:t>
        </m:r>
      </m:oMath>
      <w:r>
        <w:t xml:space="preserve">, so the joint matrix also has rank</w:t>
      </w:r>
      <w:r>
        <w:t xml:space="preserve"> </w:t>
      </w:r>
      <m:oMath>
        <m:r>
          <m:t>r</m:t>
        </m:r>
      </m:oMath>
      <w:r>
        <w:t xml:space="preserve">. For each</w:t>
      </w:r>
      <w:r>
        <w:t xml:space="preserve"> </w:t>
      </w:r>
      <m:oMath>
        <m:r>
          <m:t>k</m:t>
        </m:r>
        <m:r>
          <m:rPr>
            <m:sty m:val="p"/>
          </m:rPr>
          <m:t>&lt;</m:t>
        </m:r>
        <m:r>
          <m:t>r</m:t>
        </m:r>
      </m:oMath>
      <w:r>
        <w:t xml:space="preserve">, either canonical-root statistic has an</w:t>
      </w:r>
      <w:r>
        <w:t xml:space="preserve"> </w:t>
      </w:r>
      <m:oMath>
        <m:r>
          <m:t>O</m:t>
        </m:r>
        <m:r>
          <m:rPr>
            <m:sty m:val="p"/>
          </m:rPr>
          <m:t>(</m:t>
        </m:r>
        <m:r>
          <m:t>n</m:t>
        </m:r>
        <m:r>
          <m:rPr>
            <m:sty m:val="p"/>
          </m:rPr>
          <m:t>)</m:t>
        </m:r>
      </m:oMath>
      <w:r>
        <w:t xml:space="preserve"> </w:t>
      </w:r>
      <w:r>
        <w:t xml:space="preserve">positive leading term. At</w:t>
      </w:r>
      <w:r>
        <w:t xml:space="preserve"> </w:t>
      </w:r>
      <m:oMath>
        <m:r>
          <m:t>k</m:t>
        </m:r>
        <m:r>
          <m:rPr>
            <m:sty m:val="p"/>
          </m:rPr>
          <m:t>=</m:t>
        </m:r>
        <m:r>
          <m:t>r</m:t>
        </m:r>
      </m:oMath>
      <w:r>
        <w:t xml:space="preserve">, residual roots are</w:t>
      </w:r>
      <w:r>
        <w:t xml:space="preserve"> </w:t>
      </w:r>
      <m:oMath>
        <m:sSub>
          <m:e>
            <m:r>
              <m:t>O</m:t>
            </m:r>
          </m:e>
          <m:sub>
            <m:r>
              <m:t>p</m:t>
            </m:r>
          </m:sub>
        </m:sSub>
        <m:r>
          <m:rPr>
            <m:sty m:val="p"/>
          </m:rPr>
          <m:t>(</m:t>
        </m:r>
        <m:sSup>
          <m:e>
            <m:r>
              <m:t>n</m:t>
            </m:r>
          </m:e>
          <m:sup>
            <m:r>
              <m:rPr>
                <m:sty m:val="p"/>
              </m:rPr>
              <m:t>−</m:t>
            </m:r>
            <m:r>
              <m:t>1</m:t>
            </m:r>
            <m:r>
              <m:rPr>
                <m:sty m:val="p"/>
              </m:rPr>
              <m:t>/</m:t>
            </m:r>
            <m:r>
              <m:t>2</m:t>
            </m:r>
          </m:sup>
        </m:sSup>
        <m:r>
          <m:rPr>
            <m:sty m:val="p"/>
          </m:rPr>
          <m:t>)</m:t>
        </m:r>
      </m:oMath>
      <w:r>
        <w:t xml:space="preserve">, so the statistic is</w:t>
      </w:r>
      <w:r>
        <w:t xml:space="preserve"> </w:t>
      </w:r>
      <m:oMath>
        <m:sSub>
          <m:e>
            <m:r>
              <m:t>O</m:t>
            </m:r>
          </m:e>
          <m:sub>
            <m:r>
              <m:t>p</m:t>
            </m:r>
          </m:sub>
        </m:sSub>
        <m:r>
          <m:rPr>
            <m:sty m:val="p"/>
          </m:rPr>
          <m:t>(</m:t>
        </m:r>
        <m:r>
          <m:t>1</m:t>
        </m:r>
        <m:r>
          <m:rPr>
            <m:sty m:val="p"/>
          </m:rPr>
          <m:t>)</m:t>
        </m:r>
      </m:oMath>
      <w:r>
        <w:t xml:space="preserve">. The chi-square threshold at</w:t>
      </w:r>
      <w:r>
        <w:t xml:space="preserve"> </w:t>
      </w:r>
      <m:oMath>
        <m:r>
          <m:t>1</m:t>
        </m:r>
        <m:r>
          <m:rPr>
            <m:sty m:val="p"/>
          </m:rPr>
          <m:t>−</m:t>
        </m:r>
        <m:sSub>
          <m:e>
            <m:r>
              <m:t>α</m:t>
            </m:r>
          </m:e>
          <m:sub>
            <m:r>
              <m:t>n</m:t>
            </m:r>
          </m:sub>
        </m:sSub>
      </m:oMath>
      <w:r>
        <w:t xml:space="preserve"> </w:t>
      </w:r>
      <w:r>
        <w:t xml:space="preserve">diverges at logarithmic order; it rejects every</w:t>
      </w:r>
      <w:r>
        <w:t xml:space="preserve"> </w:t>
      </w:r>
      <m:oMath>
        <m:r>
          <m:t>k</m:t>
        </m:r>
        <m:r>
          <m:rPr>
            <m:sty m:val="p"/>
          </m:rPr>
          <m:t>&lt;</m:t>
        </m:r>
        <m:r>
          <m:t>r</m:t>
        </m:r>
      </m:oMath>
      <w:r>
        <w:t xml:space="preserve"> </w:t>
      </w:r>
      <w:r>
        <w:t xml:space="preserve">and accepts</w:t>
      </w:r>
      <w:r>
        <w:t xml:space="preserve"> </w:t>
      </w:r>
      <m:oMath>
        <m:r>
          <m:t>k</m:t>
        </m:r>
        <m:r>
          <m:rPr>
            <m:sty m:val="p"/>
          </m:rPr>
          <m:t>=</m:t>
        </m:r>
        <m:r>
          <m:t>r</m:t>
        </m:r>
      </m:oMath>
      <w:r>
        <w:t xml:space="preserve"> </w:t>
      </w:r>
      <w:r>
        <w:t xml:space="preserve">with probability tending to one.</w:t>
      </w:r>
      <w:r>
        <w:t xml:space="preserve"> </w:t>
      </w:r>
      <m:oMath>
        <m:r>
          <m:rPr>
            <m:sty m:val="p"/>
          </m:rPr>
          <m:t>▫</m:t>
        </m:r>
      </m:oMath>
    </w:p>
    <w:p>
      <w:pPr>
        <w:pStyle w:val="BodyText"/>
      </w:pPr>
      <w:r>
        <w:rPr>
          <w:b/>
          <w:bCs/>
        </w:rPr>
        <w:t xml:space="preserve">Proof of Proposition 3a.</w:t>
      </w:r>
    </w:p>
    <w:p>
      <w:pPr>
        <w:pStyle w:val="BodyText"/>
      </w:pPr>
      <w:r>
        <w:rPr>
          <w:i/>
          <w:iCs/>
        </w:rPr>
        <w:t xml:space="preserve">Proof.</w:t>
      </w:r>
      <w:r>
        <w:t xml:space="preserve"> </w:t>
      </w:r>
      <w:r>
        <w:t xml:space="preserve">Projecting the proxy equation gives</w:t>
      </w:r>
      <w:r>
        <w:t xml:space="preserve"> </w:t>
      </w:r>
      <m:oMath>
        <m:bar>
          <m:barPr>
            <m:pos m:val="top"/>
          </m:barPr>
          <m:e>
            <m:r>
              <m:t>W</m:t>
            </m:r>
          </m:e>
        </m:bar>
        <m:r>
          <m:rPr>
            <m:sty m:val="p"/>
          </m:rPr>
          <m:t>=</m:t>
        </m:r>
        <m:sSub>
          <m:e>
            <m:r>
              <m:t>α</m:t>
            </m:r>
          </m:e>
          <m:sub>
            <m:r>
              <m:t>W</m:t>
            </m:r>
          </m:sub>
        </m:sSub>
        <m:r>
          <m:rPr>
            <m:sty m:val="p"/>
          </m:rPr>
          <m:t>+</m:t>
        </m:r>
        <m:sSub>
          <m:e>
            <m:r>
              <m:t>D</m:t>
            </m:r>
          </m:e>
          <m:sub>
            <m:r>
              <m:t>W</m:t>
            </m:r>
          </m:sub>
        </m:sSub>
        <m:r>
          <m:t>C</m:t>
        </m:r>
        <m:r>
          <m:rPr>
            <m:sty m:val="p"/>
          </m:rPr>
          <m:t>+</m:t>
        </m:r>
        <m:sSub>
          <m:e>
            <m:r>
              <m:t>L</m:t>
            </m:r>
          </m:e>
          <m:sub>
            <m:r>
              <m:t>W</m:t>
            </m:r>
          </m:sub>
        </m:sSub>
        <m:r>
          <m:rPr>
            <m:sty m:val="p"/>
          </m:rPr>
          <m:t>Proj</m:t>
        </m:r>
        <m:r>
          <m:rPr>
            <m:sty m:val="p"/>
          </m:rPr>
          <m:t>(</m:t>
        </m:r>
        <m:r>
          <m:t>F</m:t>
        </m:r>
        <m:r>
          <m:rPr>
            <m:sty m:val="p"/>
          </m:rPr>
          <m:t>∣</m:t>
        </m:r>
        <m:r>
          <m:t>1</m:t>
        </m:r>
        <m:r>
          <m:rPr>
            <m:sty m:val="p"/>
          </m:rPr>
          <m:t>,</m:t>
        </m:r>
        <m:r>
          <m:t>A</m:t>
        </m:r>
        <m:r>
          <m:rPr>
            <m:sty m:val="p"/>
          </m:rPr>
          <m:t>,</m:t>
        </m:r>
        <m:r>
          <m:t>Z</m:t>
        </m:r>
        <m:r>
          <m:rPr>
            <m:sty m:val="p"/>
          </m:rPr>
          <m:t>,</m:t>
        </m:r>
        <m:r>
          <m:t>C</m:t>
        </m:r>
        <m:r>
          <m:rPr>
            <m:sty m:val="p"/>
          </m:rPr>
          <m:t>)</m:t>
        </m:r>
      </m:oMath>
      <w:r>
        <w:t xml:space="preserve">. Its covariance after residualising</w:t>
      </w:r>
      <w:r>
        <w:t xml:space="preserve"> </w:t>
      </w:r>
      <m:oMath>
        <m:r>
          <m:rPr>
            <m:sty m:val="p"/>
          </m:rPr>
          <m:t>(</m:t>
        </m:r>
        <m:r>
          <m:t>1</m:t>
        </m:r>
        <m:r>
          <m:rPr>
            <m:sty m:val="p"/>
          </m:rPr>
          <m:t>,</m:t>
        </m:r>
        <m:r>
          <m:t>C</m:t>
        </m:r>
        <m:r>
          <m:rPr>
            <m:sty m:val="p"/>
          </m:rPr>
          <m:t>)</m:t>
        </m:r>
      </m:oMath>
      <w:r>
        <w:t xml:space="preserve"> </w:t>
      </w:r>
      <w:r>
        <w:t xml:space="preserve">is</w:t>
      </w:r>
      <w:r>
        <w:t xml:space="preserve"> </w:t>
      </w:r>
      <m:oMath>
        <m:sSub>
          <m:e>
            <m:r>
              <m:t>L</m:t>
            </m:r>
          </m:e>
          <m:sub>
            <m:r>
              <m:t>W</m:t>
            </m:r>
          </m:sub>
        </m:sSub>
        <m:r>
          <m:t>Q</m:t>
        </m:r>
        <m:sSubSup>
          <m:e>
            <m:r>
              <m:t>L</m:t>
            </m:r>
          </m:e>
          <m:sub>
            <m:r>
              <m:t>W</m:t>
            </m:r>
          </m:sub>
          <m:sup>
            <m:r>
              <m:rPr>
                <m:sty m:val="p"/>
              </m:rPr>
              <m:t>⊤</m:t>
            </m:r>
          </m:sup>
        </m:sSubSup>
      </m:oMath>
      <w:r>
        <w:t xml:space="preserve">, with</w:t>
      </w:r>
      <w:r>
        <w:t xml:space="preserve"> </w:t>
      </w:r>
      <m:oMath>
        <m:r>
          <m:t>Q</m:t>
        </m:r>
      </m:oMath>
      <w:r>
        <w:t xml:space="preserve"> </w:t>
      </w:r>
      <w:r>
        <w:t xml:space="preserve">positive definite by the joint-information rank condition implied by conditional completeness. The covariance range is therefore</w:t>
      </w:r>
      <w:r>
        <w:t xml:space="preserve"> </w:t>
      </w:r>
      <m:oMath>
        <m:r>
          <m:rPr>
            <m:sty m:val="p"/>
          </m:rPr>
          <m:t>col</m:t>
        </m:r>
        <m:r>
          <m:rPr>
            <m:sty m:val="p"/>
          </m:rPr>
          <m:t>(</m:t>
        </m:r>
        <m:sSub>
          <m:e>
            <m:r>
              <m:t>L</m:t>
            </m:r>
          </m:e>
          <m:sub>
            <m:r>
              <m:t>W</m:t>
            </m:r>
          </m:sub>
        </m:sSub>
        <m:r>
          <m:rPr>
            <m:sty m:val="p"/>
          </m:rPr>
          <m:t>)</m:t>
        </m:r>
      </m:oMath>
      <w:r>
        <w:t xml:space="preserve"> </w:t>
      </w:r>
      <w:r>
        <w:t xml:space="preserve">and</w:t>
      </w:r>
      <w:r>
        <w:t xml:space="preserve"> </w:t>
      </w:r>
      <m:oMath>
        <m:sSup>
          <m:e>
            <m:r>
              <m:t>P</m:t>
            </m:r>
          </m:e>
          <m:sup>
            <m:r>
              <m:rPr>
                <m:sty m:val="p"/>
              </m:rPr>
              <m:t>⊤</m:t>
            </m:r>
          </m:sup>
        </m:sSup>
        <m:sSub>
          <m:e>
            <m:r>
              <m:t>L</m:t>
            </m:r>
          </m:e>
          <m:sub>
            <m:r>
              <m:t>W</m:t>
            </m:r>
          </m:sub>
        </m:sSub>
      </m:oMath>
      <w:r>
        <w:t xml:space="preserve"> </w:t>
      </w:r>
      <w:r>
        <w:t xml:space="preserve">is invertible. The reduced loading matrix</w:t>
      </w:r>
      <w:r>
        <w:t xml:space="preserve"> </w:t>
      </w:r>
      <m:oMath>
        <m:sSub>
          <m:e>
            <m:r>
              <m:t>L</m:t>
            </m:r>
          </m:e>
          <m:sub>
            <m:r>
              <m:t>R</m:t>
            </m:r>
          </m:sub>
        </m:sSub>
        <m:r>
          <m:rPr>
            <m:sty m:val="p"/>
          </m:rPr>
          <m:t>=</m:t>
        </m:r>
        <m:sSup>
          <m:e>
            <m:r>
              <m:t>P</m:t>
            </m:r>
          </m:e>
          <m:sup>
            <m:r>
              <m:rPr>
                <m:sty m:val="p"/>
              </m:rPr>
              <m:t>⊤</m:t>
            </m:r>
          </m:sup>
        </m:sSup>
        <m:sSub>
          <m:e>
            <m:r>
              <m:t>L</m:t>
            </m:r>
          </m:e>
          <m:sub>
            <m:r>
              <m:t>W</m:t>
            </m:r>
          </m:sub>
        </m:sSub>
      </m:oMath>
      <w:r>
        <w:t xml:space="preserve"> </w:t>
      </w:r>
      <w:r>
        <w:t xml:space="preserve">supplies the solution</w:t>
      </w:r>
      <w:r>
        <w:t xml:space="preserve"> </w:t>
      </w:r>
      <m:oMath>
        <m:sSubSup>
          <m:e>
            <m:r>
              <m:t>L</m:t>
            </m:r>
          </m:e>
          <m:sub>
            <m:r>
              <m:t>R</m:t>
            </m:r>
          </m:sub>
          <m:sup>
            <m:r>
              <m:rPr>
                <m:sty m:val="p"/>
              </m:rPr>
              <m:t>⊤</m:t>
            </m:r>
          </m:sup>
        </m:sSubSup>
        <m:sSub>
          <m:e>
            <m:r>
              <m:t>η</m:t>
            </m:r>
          </m:e>
          <m:sub>
            <m:r>
              <m:t>R</m:t>
            </m:r>
          </m:sub>
        </m:sSub>
        <m:r>
          <m:rPr>
            <m:sty m:val="p"/>
          </m:rPr>
          <m:t>=</m:t>
        </m:r>
        <m:r>
          <m:t>b</m:t>
        </m:r>
      </m:oMath>
      <w:r>
        <w:t xml:space="preserve">. Proposition 2 gives the bridge equation and uniqueness of the exposure coefficient. Averaging the reduced bridge after intervening on</w:t>
      </w:r>
      <w:r>
        <w:t xml:space="preserve"> </w:t>
      </w:r>
      <m:oMath>
        <m:r>
          <m:t>A</m:t>
        </m:r>
      </m:oMath>
      <w:r>
        <w:t xml:space="preserve"> </w:t>
      </w:r>
      <w:r>
        <w:t xml:space="preserve">gives the same total-effect contrast.</w:t>
      </w:r>
      <w:r>
        <w:t xml:space="preserve"> </w:t>
      </w:r>
      <m:oMath>
        <m:r>
          <m:rPr>
            <m:sty m:val="p"/>
          </m:rPr>
          <m:t>▫</m:t>
        </m:r>
      </m:oMath>
    </w:p>
    <w:p>
      <w:pPr>
        <w:pStyle w:val="BodyText"/>
      </w:pPr>
      <w:r>
        <w:rPr>
          <w:b/>
          <w:bCs/>
        </w:rPr>
        <w:t xml:space="preserve">Proof of Proposition 3b.</w:t>
      </w:r>
    </w:p>
    <w:p>
      <w:pPr>
        <w:pStyle w:val="BodyText"/>
      </w:pPr>
      <w:r>
        <w:rPr>
          <w:i/>
          <w:iCs/>
        </w:rPr>
        <w:t xml:space="preserve">Proof.</w:t>
      </w:r>
      <w:r>
        <w:t xml:space="preserve"> </w:t>
      </w:r>
      <w:r>
        <w:t xml:space="preserve">Proposition 3’s covariance factorisations give</w:t>
      </w:r>
      <w:r>
        <w:t xml:space="preserve"> </w:t>
      </w:r>
      <m:oMath>
        <m:sSub>
          <m:e>
            <m:r>
              <m:t>q</m:t>
            </m:r>
          </m:e>
          <m:sub>
            <m:r>
              <m:t>d</m:t>
            </m:r>
          </m:sub>
        </m:sSub>
        <m:r>
          <m:rPr>
            <m:sty m:val="p"/>
          </m:rPr>
          <m:t>≤</m:t>
        </m:r>
        <m:sSub>
          <m:e>
            <m:r>
              <m:t>r</m:t>
            </m:r>
          </m:e>
          <m:sub>
            <m:r>
              <m:t>0</m:t>
            </m:r>
          </m:sub>
        </m:sSub>
      </m:oMath>
      <w:r>
        <w:t xml:space="preserve"> </w:t>
      </w:r>
      <w:r>
        <w:t xml:space="preserve">for</w:t>
      </w:r>
      <w:r>
        <w:t xml:space="preserve"> </w:t>
      </w:r>
      <w:r>
        <w:t xml:space="preserve">every candidate. A full candidate gives</w:t>
      </w:r>
      <w:r>
        <w:t xml:space="preserve"> </w:t>
      </w:r>
      <m:oMath>
        <m:sSub>
          <m:e>
            <m:r>
              <m:rPr>
                <m:sty m:val="p"/>
              </m:rPr>
              <m:t>max</m:t>
            </m:r>
          </m:e>
          <m:sub>
            <m:r>
              <m:t>d</m:t>
            </m:r>
          </m:sub>
        </m:sSub>
        <m:sSub>
          <m:e>
            <m:r>
              <m:t>q</m:t>
            </m:r>
          </m:e>
          <m:sub>
            <m:r>
              <m:t>d</m:t>
            </m:r>
          </m:sub>
        </m:sSub>
        <m:r>
          <m:rPr>
            <m:sty m:val="p"/>
          </m:rPr>
          <m:t>=</m:t>
        </m:r>
        <m:sSub>
          <m:e>
            <m:r>
              <m:t>r</m:t>
            </m:r>
          </m:e>
          <m:sub>
            <m:r>
              <m:t>0</m:t>
            </m:r>
          </m:sub>
        </m:sSub>
      </m:oMath>
      <w:r>
        <w:t xml:space="preserve">. Finiteness of the</w:t>
      </w:r>
      <w:r>
        <w:t xml:space="preserve"> </w:t>
      </w:r>
      <w:r>
        <w:t xml:space="preserve">grid makes rank consistency simultaneous. For</w:t>
      </w:r>
      <w:r>
        <w:t xml:space="preserve"> </w:t>
      </w:r>
      <m:oMath>
        <m:sSub>
          <m:e>
            <m:r>
              <m:t>q</m:t>
            </m:r>
          </m:e>
          <m:sub>
            <m:r>
              <m:t>d</m:t>
            </m:r>
          </m:sub>
        </m:sSub>
        <m:r>
          <m:rPr>
            <m:sty m:val="p"/>
          </m:rPr>
          <m:t>=</m:t>
        </m:r>
        <m:sSub>
          <m:e>
            <m:r>
              <m:t>r</m:t>
            </m:r>
          </m:e>
          <m:sub>
            <m:r>
              <m:t>0</m:t>
            </m:r>
          </m:sub>
        </m:sSub>
      </m:oMath>
      <w:r>
        <w:t xml:space="preserve">,</w:t>
      </w:r>
      <w:r>
        <w:t xml:space="preserve"> </w:t>
      </w:r>
      <m:oMath>
        <m:sSub>
          <m:e>
            <m:r>
              <m:t>L</m:t>
            </m:r>
          </m:e>
          <m:sub>
            <m:r>
              <m:t>W</m:t>
            </m:r>
            <m:r>
              <m:rPr>
                <m:sty m:val="p"/>
              </m:rPr>
              <m:t>,</m:t>
            </m:r>
            <m:r>
              <m:t>d</m:t>
            </m:r>
          </m:sub>
        </m:sSub>
      </m:oMath>
      <w:r>
        <w:t xml:space="preserve"> </w:t>
      </w:r>
      <w:r>
        <w:t xml:space="preserve">has full</w:t>
      </w:r>
      <w:r>
        <w:t xml:space="preserve"> </w:t>
      </w:r>
      <w:r>
        <w:t xml:space="preserve">column rank and</w:t>
      </w:r>
      <w:r>
        <w:t xml:space="preserve"> </w:t>
      </w:r>
      <m:oMath>
        <m:sSubSup>
          <m:e>
            <m:r>
              <m:t>P</m:t>
            </m:r>
          </m:e>
          <m:sub>
            <m:r>
              <m:t>d</m:t>
            </m:r>
          </m:sub>
          <m:sup>
            <m:r>
              <m:rPr>
                <m:sty m:val="p"/>
              </m:rPr>
              <m:t>⊤</m:t>
            </m:r>
          </m:sup>
        </m:sSubSup>
        <m:sSub>
          <m:e>
            <m:r>
              <m:t>L</m:t>
            </m:r>
          </m:e>
          <m:sub>
            <m:r>
              <m:t>W</m:t>
            </m:r>
            <m:r>
              <m:rPr>
                <m:sty m:val="p"/>
              </m:rPr>
              <m:t>,</m:t>
            </m:r>
            <m:r>
              <m:t>d</m:t>
            </m:r>
          </m:sub>
        </m:sSub>
      </m:oMath>
      <w:r>
        <w:t xml:space="preserve"> </w:t>
      </w:r>
      <w:r>
        <w:t xml:space="preserve">is invertible. Thus</w:t>
      </w:r>
    </w:p>
    <w:p>
      <w:pPr>
        <w:pStyle w:val="BodyText"/>
      </w:pPr>
      <m:oMathPara>
        <m:oMathParaPr>
          <m:jc m:val="center"/>
        </m:oMathParaPr>
        <m:oMath>
          <m:r>
            <m:rPr>
              <m:sty m:val="p"/>
            </m:rPr>
            <m:t>Cov</m:t>
          </m:r>
          <m:r>
            <m:rPr>
              <m:sty m:val="p"/>
            </m:rPr>
            <m:t>(</m:t>
          </m:r>
          <m:sSub>
            <m:e>
              <m:acc>
                <m:accPr>
                  <m:chr m:val="̃"/>
                </m:accPr>
                <m:e>
                  <m:r>
                    <m:t>R</m:t>
                  </m:r>
                </m:e>
              </m:acc>
            </m:e>
            <m:sub>
              <m:r>
                <m:t>d</m:t>
              </m:r>
            </m:sub>
          </m:sSub>
          <m:r>
            <m:rPr>
              <m:sty m:val="p"/>
            </m:rPr>
            <m:t>,</m:t>
          </m:r>
          <m:sSub>
            <m:e>
              <m:acc>
                <m:accPr>
                  <m:chr m:val="̃"/>
                </m:accPr>
                <m:e>
                  <m:r>
                    <m:t>Z</m:t>
                  </m:r>
                </m:e>
              </m:acc>
            </m:e>
            <m:sub>
              <m:r>
                <m:t>d</m:t>
              </m:r>
            </m:sub>
          </m:sSub>
          <m:r>
            <m:rPr>
              <m:sty m:val="p"/>
            </m:rPr>
            <m:t>)</m:t>
          </m:r>
          <m:r>
            <m:rPr>
              <m:sty m:val="p"/>
            </m:rPr>
            <m:t>=</m:t>
          </m:r>
          <m:r>
            <m:rPr>
              <m:sty m:val="p"/>
            </m:rPr>
            <m:t>(</m:t>
          </m:r>
          <m:sSubSup>
            <m:e>
              <m:r>
                <m:t>P</m:t>
              </m:r>
            </m:e>
            <m:sub>
              <m:r>
                <m:t>d</m:t>
              </m:r>
            </m:sub>
            <m:sup>
              <m:r>
                <m:rPr>
                  <m:sty m:val="p"/>
                </m:rPr>
                <m:t>⊤</m:t>
              </m:r>
            </m:sup>
          </m:sSubSup>
          <m:sSub>
            <m:e>
              <m:r>
                <m:t>L</m:t>
              </m:r>
            </m:e>
            <m:sub>
              <m:r>
                <m:t>W</m:t>
              </m:r>
              <m:r>
                <m:rPr>
                  <m:sty m:val="p"/>
                </m:rPr>
                <m:t>,</m:t>
              </m:r>
              <m:r>
                <m:t>d</m:t>
              </m:r>
            </m:sub>
          </m:sSub>
          <m:r>
            <m:rPr>
              <m:sty m:val="p"/>
            </m:rPr>
            <m:t>)</m:t>
          </m:r>
          <m:sSub>
            <m:e>
              <m:r>
                <m:t>K</m:t>
              </m:r>
            </m:e>
            <m:sub>
              <m:r>
                <m:t>Z</m:t>
              </m:r>
              <m:r>
                <m:rPr>
                  <m:sty m:val="p"/>
                </m:rPr>
                <m:t>,</m:t>
              </m:r>
              <m:r>
                <m:t>d</m:t>
              </m:r>
            </m:sub>
          </m:sSub>
          <m:r>
            <m:rPr>
              <m:sty m:val="p"/>
            </m:rPr>
            <m:t>Cov</m:t>
          </m:r>
          <m:r>
            <m:rPr>
              <m:sty m:val="p"/>
            </m:rPr>
            <m:t>(</m:t>
          </m:r>
          <m:sSub>
            <m:e>
              <m:acc>
                <m:accPr>
                  <m:chr m:val="̃"/>
                </m:accPr>
                <m:e>
                  <m:r>
                    <m:t>Z</m:t>
                  </m:r>
                </m:e>
              </m:acc>
            </m:e>
            <m:sub>
              <m:r>
                <m:t>d</m:t>
              </m:r>
            </m:sub>
          </m:sSub>
          <m:r>
            <m:rPr>
              <m:sty m:val="p"/>
            </m:rPr>
            <m:t>)</m:t>
          </m:r>
        </m:oMath>
      </m:oMathPara>
    </w:p>
    <w:p>
      <w:pPr>
        <w:pStyle w:val="FirstParagraph"/>
      </w:pPr>
      <w:r>
        <w:t xml:space="preserve">has rank</w:t>
      </w:r>
      <w:r>
        <w:t xml:space="preserve"> </w:t>
      </w:r>
      <m:oMath>
        <m:sSub>
          <m:e>
            <m:r>
              <m:t>r</m:t>
            </m:r>
          </m:e>
          <m:sub>
            <m:r>
              <m:t>0</m:t>
            </m:r>
          </m:sub>
        </m:sSub>
      </m:oMath>
      <w:r>
        <w:t xml:space="preserve"> </w:t>
      </w:r>
      <w:r>
        <w:t xml:space="preserve">exactly when</w:t>
      </w:r>
      <w:r>
        <w:t xml:space="preserve"> </w:t>
      </w:r>
      <m:oMath>
        <m:sSub>
          <m:e>
            <m:r>
              <m:t>K</m:t>
            </m:r>
          </m:e>
          <m:sub>
            <m:r>
              <m:t>Z</m:t>
            </m:r>
            <m:r>
              <m:rPr>
                <m:sty m:val="p"/>
              </m:rPr>
              <m:t>,</m:t>
            </m:r>
            <m:r>
              <m:t>d</m:t>
            </m:r>
          </m:sub>
        </m:sSub>
      </m:oMath>
      <w:r>
        <w:t xml:space="preserve"> </w:t>
      </w:r>
      <w:r>
        <w:t xml:space="preserve">has row rank</w:t>
      </w:r>
      <w:r>
        <w:t xml:space="preserve"> </w:t>
      </w:r>
      <m:oMath>
        <m:sSub>
          <m:e>
            <m:r>
              <m:t>r</m:t>
            </m:r>
          </m:e>
          <m:sub>
            <m:r>
              <m:t>0</m:t>
            </m:r>
          </m:sub>
        </m:sSub>
      </m:oMath>
      <w:r>
        <w:t xml:space="preserve">, assuming nonsingular</w:t>
      </w:r>
      <w:r>
        <w:t xml:space="preserve"> </w:t>
      </w:r>
      <w:r>
        <w:t xml:space="preserve">residual treatment-proxy covariance. Every member of</w:t>
      </w:r>
      <w:r>
        <w:t xml:space="preserve"> </w:t>
      </w:r>
      <m:oMath>
        <m:r>
          <m:rPr>
            <m:scr m:val="script"/>
            <m:sty m:val="p"/>
          </m:rPr>
          <m:t>E</m:t>
        </m:r>
      </m:oMath>
      <w:r>
        <w:t xml:space="preserve"> </w:t>
      </w:r>
      <w:r>
        <w:t xml:space="preserve">is therefore</w:t>
      </w:r>
      <w:r>
        <w:t xml:space="preserve"> </w:t>
      </w:r>
      <w:r>
        <w:t xml:space="preserve">conditionally complete. Canonical roots are continuous on separated</w:t>
      </w:r>
      <w:r>
        <w:t xml:space="preserve"> </w:t>
      </w:r>
      <w:r>
        <w:t xml:space="preserve">covariance spaces and converge uniformly over the finite grid. A positive</w:t>
      </w:r>
      <w:r>
        <w:t xml:space="preserve"> </w:t>
      </w:r>
      <w:r>
        <w:t xml:space="preserve">quality margin selects the limiting role design with probability tending to</w:t>
      </w:r>
      <w:r>
        <w:t xml:space="preserve"> </w:t>
      </w:r>
      <w:r>
        <w:t xml:space="preserve">one. Identical roles give the same projection and bridge. Propositions 2 and</w:t>
      </w:r>
      <w:r>
        <w:t xml:space="preserve"> </w:t>
      </w:r>
      <w:r>
        <w:t xml:space="preserve">3a then identify the unique total-effect coefficient.</w:t>
      </w:r>
      <w:r>
        <w:t xml:space="preserve"> </w:t>
      </w:r>
      <m:oMath>
        <m:r>
          <m:rPr>
            <m:sty m:val="p"/>
          </m:rPr>
          <m:t>▫</m:t>
        </m:r>
      </m:oMath>
    </w:p>
    <w:p>
      <w:pPr>
        <w:pStyle w:val="BodyText"/>
      </w:pPr>
      <w:r>
        <w:rPr>
          <w:b/>
          <w:bCs/>
        </w:rPr>
        <w:t xml:space="preserve">Proof of Proposition 4.</w:t>
      </w:r>
    </w:p>
    <w:p>
      <w:pPr>
        <w:pStyle w:val="BodyText"/>
      </w:pPr>
      <w:r>
        <w:rPr>
          <w:i/>
          <w:iCs/>
        </w:rPr>
        <w:t xml:space="preserve">Proof.</w:t>
      </w:r>
      <w:r>
        <w:t xml:space="preserve"> </w:t>
      </w:r>
      <w:r>
        <w:t xml:space="preserve">Invertibility of</w:t>
      </w:r>
      <w:r>
        <w:t xml:space="preserve"> </w:t>
      </w:r>
      <m:oMath>
        <m:r>
          <m:t>B</m:t>
        </m:r>
      </m:oMath>
      <w:r>
        <w:t xml:space="preserve"> </w:t>
      </w:r>
      <w:r>
        <w:t xml:space="preserve">preserves the row rank of</w:t>
      </w:r>
      <w:r>
        <w:t xml:space="preserve"> </w:t>
      </w:r>
      <m:oMath>
        <m:sSup>
          <m:e>
            <m:r>
              <m:rPr>
                <m:sty m:val="p"/>
              </m:rPr>
              <m:t>Λ</m:t>
            </m:r>
          </m:e>
          <m:sup>
            <m:r>
              <m:rPr>
                <m:sty m:val="p"/>
              </m:rPr>
              <m:t>⊤</m:t>
            </m:r>
          </m:sup>
        </m:sSup>
        <m:r>
          <m:t>B</m:t>
        </m:r>
      </m:oMath>
      <w:r>
        <w:t xml:space="preserve">, giving the column-space statement. The Woodbury identity applied to</w:t>
      </w:r>
      <w:r>
        <w:t xml:space="preserve"> </w:t>
      </w:r>
      <m:oMath>
        <m:r>
          <m:rPr>
            <m:sty m:val="p"/>
          </m:rPr>
          <m:t>(</m:t>
        </m:r>
        <m:r>
          <m:rPr>
            <m:sty m:val="p"/>
          </m:rPr>
          <m:t>Λ</m:t>
        </m:r>
        <m:sSup>
          <m:e>
            <m:r>
              <m:rPr>
                <m:sty m:val="p"/>
              </m:rPr>
              <m:t>Λ</m:t>
            </m:r>
          </m:e>
          <m:sup>
            <m:r>
              <m:rPr>
                <m:sty m:val="p"/>
              </m:rPr>
              <m:t>⊤</m:t>
            </m:r>
          </m:sup>
        </m:sSup>
        <m:r>
          <m:rPr>
            <m:sty m:val="p"/>
          </m:rPr>
          <m:t>+</m:t>
        </m:r>
        <m:r>
          <m:rPr>
            <m:sty m:val="p"/>
          </m:rPr>
          <m:t>Ψ</m:t>
        </m:r>
        <m:sSup>
          <m:e>
            <m:r>
              <m:rPr>
                <m:sty m:val="p"/>
              </m:rPr>
              <m:t>)</m:t>
            </m:r>
          </m:e>
          <m:sup>
            <m:r>
              <m:rPr>
                <m:sty m:val="p"/>
              </m:rPr>
              <m:t>−</m:t>
            </m:r>
            <m:r>
              <m:t>1</m:t>
            </m:r>
          </m:sup>
        </m:sSup>
      </m:oMath>
      <w:r>
        <w:t xml:space="preserve"> </w:t>
      </w:r>
      <w:r>
        <w:t xml:space="preserve">gives the precision formula. Expanding its first term produces only parent-child and shared-child entries.</w:t>
      </w:r>
      <w:r>
        <w:t xml:space="preserve"> </w:t>
      </w:r>
      <m:oMath>
        <m:r>
          <m:rPr>
            <m:sty m:val="p"/>
          </m:rPr>
          <m:t>▫</m:t>
        </m:r>
      </m:oMath>
    </w:p>
    <w:p>
      <w:pPr>
        <w:pStyle w:val="BodyText"/>
      </w:pPr>
      <w:r>
        <w:rPr>
          <w:b/>
          <w:bCs/>
        </w:rPr>
        <w:t xml:space="preserve">Proof of Proposition 5.</w:t>
      </w:r>
    </w:p>
    <w:p>
      <w:pPr>
        <w:pStyle w:val="BodyText"/>
      </w:pPr>
      <w:r>
        <w:rPr>
          <w:i/>
          <w:iCs/>
        </w:rPr>
        <w:t xml:space="preserve">Proof.</w:t>
      </w:r>
      <w:r>
        <w:t xml:space="preserve"> </w:t>
      </w:r>
      <w:r>
        <w:t xml:space="preserve">Conditional independent censoring gives</w:t>
      </w:r>
      <w:r>
        <w:t xml:space="preserve"> </w:t>
      </w:r>
      <m:oMath>
        <m:r>
          <m:t>E</m:t>
        </m:r>
        <m:r>
          <m:rPr>
            <m:sty m:val="p"/>
          </m:rPr>
          <m:t>[</m:t>
        </m:r>
        <m:r>
          <m:t>I</m:t>
        </m:r>
        <m:r>
          <m:rPr>
            <m:sty m:val="p"/>
          </m:rPr>
          <m:t>(</m:t>
        </m:r>
        <m:r>
          <m:t>O</m:t>
        </m:r>
        <m:r>
          <m:rPr>
            <m:sty m:val="p"/>
          </m:rPr>
          <m:t>&gt;</m:t>
        </m:r>
        <m:r>
          <m:t>u</m:t>
        </m:r>
        <m:r>
          <m:rPr>
            <m:sty m:val="p"/>
          </m:rPr>
          <m:t>)</m:t>
        </m:r>
        <m:r>
          <m:rPr>
            <m:sty m:val="p"/>
          </m:rPr>
          <m:t>/</m:t>
        </m:r>
        <m:r>
          <m:t>G</m:t>
        </m:r>
        <m:r>
          <m:rPr>
            <m:sty m:val="p"/>
          </m:rPr>
          <m:t>(</m:t>
        </m:r>
        <m:r>
          <m:t>u</m:t>
        </m:r>
        <m:r>
          <m:rPr>
            <m:sty m:val="p"/>
          </m:rPr>
          <m:t>∣</m:t>
        </m:r>
        <m:r>
          <m:t>A</m:t>
        </m:r>
        <m:r>
          <m:rPr>
            <m:sty m:val="p"/>
          </m:rPr>
          <m:t>,</m:t>
        </m:r>
        <m:r>
          <m:t>C</m:t>
        </m:r>
        <m:r>
          <m:rPr>
            <m:sty m:val="p"/>
          </m:rPr>
          <m:t>)</m:t>
        </m:r>
        <m:r>
          <m:rPr>
            <m:sty m:val="p"/>
          </m:rPr>
          <m:t>∣</m:t>
        </m:r>
        <m:r>
          <m:t>T</m:t>
        </m:r>
        <m:r>
          <m:rPr>
            <m:sty m:val="p"/>
          </m:rPr>
          <m:t>,</m:t>
        </m:r>
        <m:r>
          <m:t>A</m:t>
        </m:r>
        <m:r>
          <m:rPr>
            <m:sty m:val="p"/>
          </m:rPr>
          <m:t>,</m:t>
        </m:r>
        <m:r>
          <m:t>F</m:t>
        </m:r>
        <m:r>
          <m:rPr>
            <m:sty m:val="p"/>
          </m:rPr>
          <m:t>,</m:t>
        </m:r>
        <m:r>
          <m:t>Z</m:t>
        </m:r>
        <m:r>
          <m:rPr>
            <m:sty m:val="p"/>
          </m:rPr>
          <m:t>,</m:t>
        </m:r>
        <m:r>
          <m:t>C</m:t>
        </m:r>
        <m:r>
          <m:rPr>
            <m:sty m:val="p"/>
          </m:rPr>
          <m:t>]</m:t>
        </m:r>
        <m:r>
          <m:rPr>
            <m:sty m:val="p"/>
          </m:rPr>
          <m:t>=</m:t>
        </m:r>
        <m:r>
          <m:t>I</m:t>
        </m:r>
        <m:r>
          <m:rPr>
            <m:sty m:val="p"/>
          </m:rPr>
          <m:t>(</m:t>
        </m:r>
        <m:r>
          <m:t>T</m:t>
        </m:r>
        <m:r>
          <m:rPr>
            <m:sty m:val="p"/>
          </m:rPr>
          <m:t>&gt;</m:t>
        </m:r>
        <m:r>
          <m:t>u</m:t>
        </m:r>
        <m:r>
          <m:rPr>
            <m:sty m:val="p"/>
          </m:rPr>
          <m:t>)</m:t>
        </m:r>
      </m:oMath>
      <w:r>
        <w:t xml:space="preserve">.</w:t>
      </w:r>
      <w:r>
        <w:t xml:space="preserve"> </w:t>
      </w:r>
      <w:r>
        <w:t xml:space="preserve">Integration and conditional expectation give the restricted-mean identity; evaluation at</w:t>
      </w:r>
      <w:r>
        <w:t xml:space="preserve"> </w:t>
      </w:r>
      <m:oMath>
        <m:r>
          <m:t>t</m:t>
        </m:r>
      </m:oMath>
      <w:r>
        <w:t xml:space="preserve"> </w:t>
      </w:r>
      <w:r>
        <w:t xml:space="preserve">gives the survival identity. Proposition 2 applied to either pseudo-outcome gives its intervention mean and contrast.</w:t>
      </w:r>
      <w:r>
        <w:t xml:space="preserve"> </w:t>
      </w:r>
      <m:oMath>
        <m:r>
          <m:rPr>
            <m:sty m:val="p"/>
          </m:rPr>
          <m:t>▫</m:t>
        </m:r>
      </m:oMath>
    </w:p>
    <w:p>
      <w:pPr>
        <w:pStyle w:val="BodyText"/>
      </w:pPr>
      <w:r>
        <w:rPr>
          <w:b/>
          <w:bCs/>
        </w:rPr>
        <w:t xml:space="preserve">Proof of Theorem 3.</w:t>
      </w:r>
    </w:p>
    <w:p>
      <w:pPr>
        <w:pStyle w:val="BodyText"/>
      </w:pPr>
      <w:r>
        <w:rPr>
          <w:i/>
          <w:iCs/>
        </w:rPr>
        <w:t xml:space="preserve">Proof.</w:t>
      </w:r>
      <w:r>
        <w:t xml:space="preserve"> </w:t>
      </w:r>
      <w:r>
        <w:t xml:space="preserve">Nuisance inversion and joint projection are smooth under their</w:t>
      </w:r>
      <w:r>
        <w:t xml:space="preserve"> </w:t>
      </w:r>
      <w:r>
        <w:t xml:space="preserve">separation conditions. The functional delta method, with the censoring</w:t>
      </w:r>
      <w:r>
        <w:t xml:space="preserve"> </w:t>
      </w:r>
      <w:r>
        <w:t xml:space="preserve">contribution of Theorem 2 when needed, gives the concentrated moment law.</w:t>
      </w:r>
      <w:r>
        <w:t xml:space="preserve"> </w:t>
      </w:r>
      <w:r>
        <w:t xml:space="preserve">For each coordinate</w:t>
      </w:r>
      <w:r>
        <w:t xml:space="preserve"> </w:t>
      </w:r>
      <m:oMath>
        <m:sSub>
          <m:e>
            <m:r>
              <m:t>N</m:t>
            </m:r>
          </m:e>
          <m:sub>
            <m:r>
              <m:t>j</m:t>
            </m:r>
          </m:sub>
        </m:sSub>
        <m:r>
          <m:rPr>
            <m:sty m:val="p"/>
          </m:rPr>
          <m:t>−</m:t>
        </m:r>
        <m:sSub>
          <m:e>
            <m:r>
              <m:t>τ</m:t>
            </m:r>
          </m:e>
          <m:sub>
            <m:r>
              <m:t>A</m:t>
            </m:r>
          </m:sub>
        </m:sSub>
        <m:sSub>
          <m:e>
            <m:r>
              <m:t>D</m:t>
            </m:r>
          </m:e>
          <m:sub>
            <m:r>
              <m:t>j</m:t>
            </m:r>
          </m:sub>
        </m:sSub>
        <m:r>
          <m:rPr>
            <m:sty m:val="p"/>
          </m:rPr>
          <m:t>=</m:t>
        </m:r>
        <m:r>
          <m:t>0</m:t>
        </m:r>
      </m:oMath>
      <w:r>
        <w:t xml:space="preserve">, and consistent studentisation yields</w:t>
      </w:r>
      <w:r>
        <w:t xml:space="preserve"> </w:t>
      </w:r>
      <w:r>
        <w:t xml:space="preserve">an asymptotic standard normal null moment without division by</w:t>
      </w:r>
      <w:r>
        <w:t xml:space="preserve"> </w:t>
      </w:r>
      <m:oMath>
        <m:sSub>
          <m:e>
            <m:r>
              <m:t>D</m:t>
            </m:r>
          </m:e>
          <m:sub>
            <m:r>
              <m:t>j</m:t>
            </m:r>
          </m:sub>
        </m:sSub>
      </m:oMath>
      <w:r>
        <w:t xml:space="preserve">.</w:t>
      </w:r>
      <w:r>
        <w:t xml:space="preserve"> </w:t>
      </w:r>
      <w:r>
        <w:t xml:space="preserve">Each inverted test has asymptotic rejection probability at most</w:t>
      </w:r>
      <w:r>
        <w:t xml:space="preserve"> </w:t>
      </w:r>
      <m:oMath>
        <m:r>
          <m:t>α</m:t>
        </m:r>
        <m:r>
          <m:rPr>
            <m:sty m:val="p"/>
          </m:rPr>
          <m:t>/</m:t>
        </m:r>
        <m:r>
          <m:t>m</m:t>
        </m:r>
      </m:oMath>
      <w:r>
        <w:t xml:space="preserve">.</w:t>
      </w:r>
      <w:r>
        <w:t xml:space="preserve"> </w:t>
      </w:r>
      <w:r>
        <w:t xml:space="preserve">The union bound gives simultaneous retention probability at least</w:t>
      </w:r>
      <w:r>
        <w:t xml:space="preserve"> </w:t>
      </w:r>
      <m:oMath>
        <m:r>
          <m:t>1</m:t>
        </m:r>
        <m:r>
          <m:rPr>
            <m:sty m:val="p"/>
          </m:rPr>
          <m:t>−</m:t>
        </m:r>
        <m:r>
          <m:t>α</m:t>
        </m:r>
      </m:oMath>
      <w:r>
        <w:t xml:space="preserve">, without requiring independent contrasts. The same argument</w:t>
      </w:r>
      <w:r>
        <w:t xml:space="preserve"> </w:t>
      </w:r>
      <w:r>
        <w:t xml:space="preserve">using the assumed uniform laws proves the uniform statement.</w:t>
      </w:r>
      <w:r>
        <w:t xml:space="preserve"> </w:t>
      </w:r>
      <m:oMath>
        <m:r>
          <m:rPr>
            <m:sty m:val="p"/>
          </m:rPr>
          <m:t>▫</m:t>
        </m:r>
      </m:oMath>
    </w:p>
    <w:bookmarkEnd w:id="49"/>
    <w:bookmarkStart w:id="50" w:name="a.5-proof-of-theorem-4"/>
    <w:p>
      <w:pPr>
        <w:pStyle w:val="Heading2"/>
      </w:pPr>
      <w:r>
        <w:t xml:space="preserve">A.5 Proof of Theorem 4</w:t>
      </w:r>
    </w:p>
    <w:p>
      <w:pPr>
        <w:pStyle w:val="FirstParagraph"/>
      </w:pPr>
      <w:r>
        <w:t xml:space="preserve">Condition on discovery. Selected measurements, their affine preprocessing,</w:t>
      </w:r>
      <w:r>
        <w:t xml:space="preserve"> </w:t>
      </w:r>
      <m:oMath>
        <m:sSub>
          <m:e>
            <m:r>
              <m:t>P</m:t>
            </m:r>
          </m:e>
          <m:sub>
            <m:r>
              <m:rPr>
                <m:scr m:val="script"/>
                <m:sty m:val="p"/>
              </m:rPr>
              <m:t>D</m:t>
            </m:r>
          </m:sub>
        </m:sSub>
      </m:oMath>
      <w:r>
        <w:t xml:space="preserve"> </w:t>
      </w:r>
      <w:r>
        <w:t xml:space="preserve">and moment pivots are now constants. Under Proposition 2 and</w:t>
      </w:r>
      <w:r>
        <w:t xml:space="preserve"> </w:t>
      </w:r>
      <m:oMath>
        <m:r>
          <m:rPr>
            <m:sty m:val="p"/>
          </m:rPr>
          <m:t>rank</m:t>
        </m:r>
        <m:r>
          <m:rPr>
            <m:sty m:val="p"/>
          </m:rPr>
          <m:t>(</m:t>
        </m:r>
        <m:sSubSup>
          <m:e>
            <m:r>
              <m:t>P</m:t>
            </m:r>
          </m:e>
          <m:sub>
            <m:r>
              <m:rPr>
                <m:scr m:val="script"/>
                <m:sty m:val="p"/>
              </m:rPr>
              <m:t>D</m:t>
            </m:r>
          </m:sub>
          <m:sup>
            <m:r>
              <m:rPr>
                <m:sty m:val="p"/>
              </m:rPr>
              <m:t>⊤</m:t>
            </m:r>
          </m:sup>
        </m:sSubSup>
        <m:sSub>
          <m:e>
            <m:r>
              <m:t>L</m:t>
            </m:r>
          </m:e>
          <m:sub>
            <m:r>
              <m:t>W</m:t>
            </m:r>
          </m:sub>
        </m:sSub>
        <m:r>
          <m:rPr>
            <m:sty m:val="p"/>
          </m:rPr>
          <m:t>)</m:t>
        </m:r>
        <m:r>
          <m:rPr>
            <m:sty m:val="p"/>
          </m:rPr>
          <m:t>=</m:t>
        </m:r>
        <m:sSub>
          <m:e>
            <m:r>
              <m:t>r</m:t>
            </m:r>
          </m:e>
          <m:sub>
            <m:r>
              <m:t>0</m:t>
            </m:r>
          </m:sub>
        </m:sSub>
      </m:oMath>
      <w:r>
        <w:t xml:space="preserve">, solve</w:t>
      </w:r>
      <w:r>
        <w:t xml:space="preserve"> </w:t>
      </w:r>
      <m:oMath>
        <m:r>
          <m:rPr>
            <m:sty m:val="p"/>
          </m:rPr>
          <m:t>(</m:t>
        </m:r>
        <m:sSubSup>
          <m:e>
            <m:r>
              <m:t>P</m:t>
            </m:r>
          </m:e>
          <m:sub>
            <m:r>
              <m:rPr>
                <m:scr m:val="script"/>
                <m:sty m:val="p"/>
              </m:rPr>
              <m:t>D</m:t>
            </m:r>
          </m:sub>
          <m:sup>
            <m:r>
              <m:rPr>
                <m:sty m:val="p"/>
              </m:rPr>
              <m:t>⊤</m:t>
            </m:r>
          </m:sup>
        </m:sSubSup>
        <m:sSub>
          <m:e>
            <m:r>
              <m:t>L</m:t>
            </m:r>
          </m:e>
          <m:sub>
            <m:r>
              <m:t>W</m:t>
            </m:r>
          </m:sub>
        </m:sSub>
        <m:sSup>
          <m:e>
            <m:r>
              <m:rPr>
                <m:sty m:val="p"/>
              </m:rPr>
              <m:t>)</m:t>
            </m:r>
          </m:e>
          <m:sup>
            <m:r>
              <m:rPr>
                <m:sty m:val="p"/>
              </m:rPr>
              <m:t>⊤</m:t>
            </m:r>
          </m:sup>
        </m:sSup>
        <m:r>
          <m:t>η</m:t>
        </m:r>
        <m:r>
          <m:rPr>
            <m:sty m:val="p"/>
          </m:rPr>
          <m:t>=</m:t>
        </m:r>
        <m:r>
          <m:t>b</m:t>
        </m:r>
      </m:oMath>
      <w:r>
        <w:t xml:space="preserve">. The reduced outcome bridge has coefficient</w:t>
      </w:r>
      <w:r>
        <w:t xml:space="preserve"> </w:t>
      </w:r>
      <m:oMath>
        <m:sSub>
          <m:e>
            <m:r>
              <m:t>τ</m:t>
            </m:r>
          </m:e>
          <m:sub>
            <m:r>
              <m:t>A</m:t>
            </m:r>
          </m:sub>
        </m:sSub>
      </m:oMath>
      <w:r>
        <w:t xml:space="preserve"> </w:t>
      </w:r>
      <w:r>
        <w:t xml:space="preserve">on</w:t>
      </w:r>
      <w:r>
        <w:t xml:space="preserve"> </w:t>
      </w:r>
      <m:oMath>
        <m:r>
          <m:t>A</m:t>
        </m:r>
      </m:oMath>
      <w:r>
        <w:t xml:space="preserve">; the mean-zero proxy errors are preserved by this fixed projection. The bridge moment equations in the independent estimation distribution are thus</w:t>
      </w:r>
      <w:r>
        <w:t xml:space="preserve"> </w:t>
      </w:r>
      <m:oMath>
        <m:r>
          <m:t>E</m:t>
        </m:r>
        <m:r>
          <m:rPr>
            <m:sty m:val="p"/>
          </m:rPr>
          <m:t>[</m:t>
        </m:r>
        <m:r>
          <m:t>Q</m:t>
        </m:r>
        <m:r>
          <m:rPr>
            <m:sty m:val="p"/>
          </m:rPr>
          <m:t>(</m:t>
        </m:r>
        <m:r>
          <m:t>Y</m:t>
        </m:r>
        <m:r>
          <m:rPr>
            <m:sty m:val="p"/>
          </m:rPr>
          <m:t>−</m:t>
        </m:r>
        <m:sSub>
          <m:e>
            <m:r>
              <m:t>τ</m:t>
            </m:r>
          </m:e>
          <m:sub>
            <m:r>
              <m:t>A</m:t>
            </m:r>
          </m:sub>
        </m:sSub>
        <m:r>
          <m:t>A</m:t>
        </m:r>
        <m:r>
          <m:rPr>
            <m:sty m:val="p"/>
          </m:rPr>
          <m:t>−</m:t>
        </m:r>
        <m:sSup>
          <m:e>
            <m:r>
              <m:t>R</m:t>
            </m:r>
          </m:e>
          <m:sup>
            <m:r>
              <m:rPr>
                <m:sty m:val="p"/>
              </m:rPr>
              <m:t>⊤</m:t>
            </m:r>
          </m:sup>
        </m:sSup>
        <m:r>
          <m:t>η</m:t>
        </m:r>
        <m:r>
          <m:rPr>
            <m:sty m:val="p"/>
          </m:rPr>
          <m:t>)</m:t>
        </m:r>
        <m:r>
          <m:rPr>
            <m:sty m:val="p"/>
          </m:rPr>
          <m:t>]</m:t>
        </m:r>
        <m:r>
          <m:rPr>
            <m:sty m:val="p"/>
          </m:rPr>
          <m:t>=</m:t>
        </m:r>
        <m:r>
          <m:t>0</m:t>
        </m:r>
      </m:oMath>
      <w:r>
        <w:t xml:space="preserve">, after covariate projection.</w:t>
      </w:r>
    </w:p>
    <w:p>
      <w:pPr>
        <w:pStyle w:val="BodyText"/>
      </w:pPr>
      <w:r>
        <w:t xml:space="preserve">Partition</w:t>
      </w:r>
      <w:r>
        <w:t xml:space="preserve"> </w:t>
      </w:r>
      <m:oMath>
        <m:r>
          <m:t>Q</m:t>
        </m:r>
      </m:oMath>
      <w:r>
        <w:t xml:space="preserve"> </w:t>
      </w:r>
      <w:r>
        <w:t xml:space="preserve">into the discovery-fixed nuisance coordinates</w:t>
      </w:r>
      <w:r>
        <w:t xml:space="preserve"> </w:t>
      </w:r>
      <m:oMath>
        <m:r>
          <m:t>T</m:t>
        </m:r>
      </m:oMath>
      <w:r>
        <w:t xml:space="preserve"> </w:t>
      </w:r>
      <w:r>
        <w:t xml:space="preserve">and remaining coordinates</w:t>
      </w:r>
      <w:r>
        <w:t xml:space="preserve"> </w:t>
      </w:r>
      <m:oMath>
        <m:r>
          <m:t>U</m:t>
        </m:r>
      </m:oMath>
      <w:r>
        <w:t xml:space="preserve">. With</w:t>
      </w:r>
      <w:r>
        <w:t xml:space="preserve"> </w:t>
      </w:r>
      <m:oMath>
        <m:r>
          <m:t>B</m:t>
        </m:r>
        <m:r>
          <m:rPr>
            <m:sty m:val="p"/>
          </m:rPr>
          <m:t>=</m:t>
        </m:r>
        <m:r>
          <m:t>E</m:t>
        </m:r>
        <m:r>
          <m:rPr>
            <m:sty m:val="p"/>
          </m:rPr>
          <m:t>[</m:t>
        </m:r>
        <m:r>
          <m:t>T</m:t>
        </m:r>
        <m:sSup>
          <m:e>
            <m:r>
              <m:t>R</m:t>
            </m:r>
          </m:e>
          <m:sup>
            <m:r>
              <m:rPr>
                <m:sty m:val="p"/>
              </m:rPr>
              <m:t>⊤</m:t>
            </m:r>
          </m:sup>
        </m:sSup>
        <m:r>
          <m:rPr>
            <m:sty m:val="p"/>
          </m:rPr>
          <m:t>]</m:t>
        </m:r>
      </m:oMath>
      <w:r>
        <w:t xml:space="preserve">,</w:t>
      </w:r>
      <w:r>
        <w:t xml:space="preserve"> </w:t>
      </w:r>
      <m:oMath>
        <m:r>
          <m:t>L</m:t>
        </m:r>
        <m:r>
          <m:rPr>
            <m:sty m:val="p"/>
          </m:rPr>
          <m:t>=</m:t>
        </m:r>
        <m:r>
          <m:t>E</m:t>
        </m:r>
        <m:r>
          <m:rPr>
            <m:sty m:val="p"/>
          </m:rPr>
          <m:t>[</m:t>
        </m:r>
        <m:r>
          <m:t>U</m:t>
        </m:r>
        <m:sSup>
          <m:e>
            <m:r>
              <m:t>R</m:t>
            </m:r>
          </m:e>
          <m:sup>
            <m:r>
              <m:rPr>
                <m:sty m:val="p"/>
              </m:rPr>
              <m:t>⊤</m:t>
            </m:r>
          </m:sup>
        </m:sSup>
        <m:r>
          <m:rPr>
            <m:sty m:val="p"/>
          </m:rPr>
          <m:t>]</m:t>
        </m:r>
        <m:sSup>
          <m:e>
            <m:r>
              <m:t>B</m:t>
            </m:r>
          </m:e>
          <m:sup>
            <m:r>
              <m:rPr>
                <m:sty m:val="p"/>
              </m:rPr>
              <m:t>−</m:t>
            </m:r>
            <m:r>
              <m:t>1</m:t>
            </m:r>
          </m:sup>
        </m:sSup>
      </m:oMath>
      <w:r>
        <w:t xml:space="preserve">, cancellation of</w:t>
      </w:r>
      <w:r>
        <w:t xml:space="preserve"> </w:t>
      </w:r>
      <m:oMath>
        <m:r>
          <m:t>η</m:t>
        </m:r>
      </m:oMath>
      <w:r>
        <w:t xml:space="preserve"> </w:t>
      </w:r>
      <w:r>
        <w:t xml:space="preserve">gives</w:t>
      </w:r>
      <w:r>
        <w:t xml:space="preserve"> </w:t>
      </w:r>
      <m:oMath>
        <m:r>
          <m:t>N</m:t>
        </m:r>
        <m:r>
          <m:rPr>
            <m:sty m:val="p"/>
          </m:rPr>
          <m:t>=</m:t>
        </m:r>
        <m:sSub>
          <m:e>
            <m:r>
              <m:t>τ</m:t>
            </m:r>
          </m:e>
          <m:sub>
            <m:r>
              <m:t>A</m:t>
            </m:r>
          </m:sub>
        </m:sSub>
        <m:r>
          <m:t>D</m:t>
        </m:r>
      </m:oMath>
      <w:r>
        <w:t xml:space="preserve">. Nonsingular nuisance concentration and covariate projections are smooth functions of estimation moments; they do not divide by the effect-information vector</w:t>
      </w:r>
      <w:r>
        <w:t xml:space="preserve"> </w:t>
      </w:r>
      <m:oMath>
        <m:r>
          <m:t>D</m:t>
        </m:r>
      </m:oMath>
      <w:r>
        <w:t xml:space="preserve">. For a censored response, Proposition 5 gives the same equations and the regular censoring expansion adds its patient influence contribution to the joint moment covariance.</w:t>
      </w:r>
    </w:p>
    <w:p>
      <w:pPr>
        <w:pStyle w:val="BodyText"/>
      </w:pPr>
      <w:r>
        <w:t xml:space="preserve">At the true</w:t>
      </w:r>
      <w:r>
        <w:t xml:space="preserve"> </w:t>
      </w:r>
      <m:oMath>
        <m:sSub>
          <m:e>
            <m:r>
              <m:t>τ</m:t>
            </m:r>
          </m:e>
          <m:sub>
            <m:r>
              <m:t>A</m:t>
            </m:r>
          </m:sub>
        </m:sSub>
      </m:oMath>
      <w:r>
        <w:t xml:space="preserve">, the uniform joint moment law and consistent covariance imply that each component studentised statistic has limiting standard normal law. There are at most</w:t>
      </w:r>
      <w:r>
        <w:t xml:space="preserve"> </w:t>
      </w:r>
      <m:oMath>
        <m:sSub>
          <m:e>
            <m:r>
              <m:t>m</m:t>
            </m:r>
          </m:e>
          <m:sub>
            <m:r>
              <m:rPr>
                <m:sty m:val="p"/>
              </m:rPr>
              <m:t>max</m:t>
            </m:r>
          </m:sub>
        </m:sSub>
      </m:oMath>
      <w:r>
        <w:t xml:space="preserve"> </w:t>
      </w:r>
      <w:r>
        <w:t xml:space="preserve">components. Applying the union bound at component size</w:t>
      </w:r>
      <w:r>
        <w:t xml:space="preserve"> </w:t>
      </w:r>
      <m:oMath>
        <m:r>
          <m:t>α</m:t>
        </m:r>
        <m:r>
          <m:rPr>
            <m:sty m:val="p"/>
          </m:rPr>
          <m:t>/</m:t>
        </m:r>
        <m:r>
          <m:t>m</m:t>
        </m:r>
      </m:oMath>
      <w:r>
        <w:t xml:space="preserve"> </w:t>
      </w:r>
      <w:r>
        <w:t xml:space="preserve">gives conditional coverage at least</w:t>
      </w:r>
      <w:r>
        <w:t xml:space="preserve"> </w:t>
      </w:r>
      <m:oMath>
        <m:r>
          <m:t>1</m:t>
        </m:r>
        <m:r>
          <m:rPr>
            <m:sty m:val="p"/>
          </m:rPr>
          <m:t>−</m:t>
        </m:r>
        <m:r>
          <m:t>α</m:t>
        </m:r>
        <m:r>
          <m:rPr>
            <m:sty m:val="p"/>
          </m:rPr>
          <m:t>−</m:t>
        </m:r>
        <m:r>
          <m:t>o</m:t>
        </m:r>
        <m:r>
          <m:rPr>
            <m:sty m:val="p"/>
          </m:rPr>
          <m:t>(</m:t>
        </m:r>
        <m:r>
          <m:t>1</m:t>
        </m:r>
        <m:r>
          <m:rPr>
            <m:sty m:val="p"/>
          </m:rPr>
          <m:t>)</m:t>
        </m:r>
      </m:oMath>
      <w:r>
        <w:t xml:space="preserve"> </w:t>
      </w:r>
      <w:r>
        <w:t xml:space="preserve">for their intersection. This argument permits</w:t>
      </w:r>
      <w:r>
        <w:t xml:space="preserve"> </w:t>
      </w:r>
      <m:oMath>
        <m:r>
          <m:t>D</m:t>
        </m:r>
      </m:oMath>
      <w:r>
        <w:t xml:space="preserve"> </w:t>
      </w:r>
      <w:r>
        <w:t xml:space="preserve">to approach zero and permits arbitrary dependence among the component statistics. Replacing an unavailable confidence calculation by</w:t>
      </w:r>
      <w:r>
        <w:t xml:space="preserve"> </w:t>
      </w:r>
      <m:oMath>
        <m:r>
          <m:rPr>
            <m:scr m:val="double-struck"/>
            <m:sty m:val="p"/>
          </m:rPr>
          <m:t>R</m:t>
        </m:r>
      </m:oMath>
      <w:r>
        <w:t xml:space="preserve"> </w:t>
      </w:r>
      <w:r>
        <w:t xml:space="preserve">can only increase coverage. Finally average the conditional bound over discovery; the probability of an available design outside the stated identification event contributes at most</w:t>
      </w:r>
      <w:r>
        <w:t xml:space="preserve"> </w:t>
      </w:r>
      <m:oMath>
        <m:sSub>
          <m:e>
            <m:r>
              <m:t>ε</m:t>
            </m:r>
          </m:e>
          <m:sub>
            <m:r>
              <m:t>n</m:t>
            </m:r>
          </m:sub>
        </m:sSub>
      </m:oMath>
      <w:r>
        <w:t xml:space="preserve"> </w:t>
      </w:r>
      <w:r>
        <w:t xml:space="preserve">to noncoverage. No assumption about a unique design-quality maximum enters this proof.</w:t>
      </w:r>
      <w:r>
        <w:t xml:space="preserve"> </w:t>
      </w:r>
      <m:oMath>
        <m:r>
          <m:rPr>
            <m:sty m:val="p"/>
          </m:rPr>
          <m:t>▫</m:t>
        </m:r>
      </m:oMath>
    </w:p>
    <w:bookmarkEnd w:id="50"/>
    <w:bookmarkEnd w:id="51"/>
    <w:bookmarkStart w:id="58" w:name="supplementary-methods-and-provenance"/>
    <w:p>
      <w:pPr>
        <w:pStyle w:val="Heading1"/>
      </w:pPr>
      <w:r>
        <w:t xml:space="preserve">Supplementary methods and provenance</w:t>
      </w:r>
    </w:p>
    <w:p>
      <w:pPr>
        <w:pStyle w:val="FirstParagraph"/>
      </w:pPr>
      <w:r>
        <w:t xml:space="preserve">Component-study examples were chosen after analysis; Tables S2–S4 give every system, outcome and comparator. The supporting studies below use separate settings and seeds.</w:t>
      </w:r>
    </w:p>
    <w:bookmarkStart w:id="52" w:name="allocation-development"/>
    <w:p>
      <w:pPr>
        <w:pStyle w:val="Heading3"/>
      </w:pPr>
      <w:r>
        <w:t xml:space="preserve">Allocation development</w:t>
      </w:r>
    </w:p>
    <w:p>
      <w:pPr>
        <w:pStyle w:val="FirstParagraph"/>
      </w:pPr>
      <w:r>
        <w:t xml:space="preserve">The 50:50 allocation study uses seed offset 120000. Its weak two-factor system selected rank one in 16/200 attempts, with overall linear coverage 0.905. The 75:25 allocation dedicates more patients to molecular construction and was fixed before the offset-140000 validation batch.</w:t>
      </w:r>
    </w:p>
    <w:bookmarkEnd w:id="52"/>
    <w:bookmarkStart w:id="53" w:name="selection-and-resampling-studies"/>
    <w:p>
      <w:pPr>
        <w:pStyle w:val="Heading3"/>
      </w:pPr>
      <w:r>
        <w:t xml:space="preserve">Selection and resampling studies</w:t>
      </w:r>
    </w:p>
    <w:p>
      <w:pPr>
        <w:pStyle w:val="FirstParagraph"/>
      </w:pPr>
      <w:r>
        <w:t xml:space="preserve">A conditional-information study at offset 50000 uses seven systems with 200 datasets each (Table S6), with linear bias -0.005 to 0.027. Comparisons on common fitted datasets give conditional and joint-quality RMSEs of 0.152 versus 0.151 in system IV and 0.111 versus 0.111 in system VII.</w:t>
      </w:r>
    </w:p>
    <w:p>
      <w:pPr>
        <w:pStyle w:val="BodyText"/>
      </w:pPr>
      <w:r>
        <w:t xml:space="preserve">The complete-construction study at offset 70000 rebuilds every molecular stage in three systems, each with 100 datasets and 100 resamples; normal intervals complete in 1/100, 0/100 and 0/100 datasets (Table S7). The concentrated Fieller study at offset 100000 uses seven systems with 200 datasets each, with selected roles and rank fixed; coverage is 0.944–0.985 (Tables S5 and S8).</w:t>
      </w:r>
    </w:p>
    <w:bookmarkEnd w:id="53"/>
    <w:bookmarkStart w:id="54" w:name="full-cohort-inference-procedures"/>
    <w:p>
      <w:pPr>
        <w:pStyle w:val="Heading3"/>
      </w:pPr>
      <w:r>
        <w:t xml:space="preserve">Full-cohort inference procedures</w:t>
      </w:r>
    </w:p>
    <w:p>
      <w:pPr>
        <w:pStyle w:val="FirstParagraph"/>
      </w:pPr>
      <w:r>
        <w:t xml:space="preserve">Complete construction inference uses 300 patient resamples. Each rebuilds standardisation, niche ordering, curves, loadings, all eight support graphs, proxy sets, ranks and conditional design selection, then refits censoring, the joint projection and both bridge stages. The initial 60-protein panel and molecular and clinical imputations are held fixed. Before calculating dispersion, convert each coefficient from the resampled standard deviation to the original full-cohort standard deviation.</w:t>
      </w:r>
    </w:p>
    <w:p>
      <w:pPr>
        <w:pStyle w:val="BodyText"/>
      </w:pPr>
      <w:r>
        <w:t xml:space="preserve">A finite normal bootstrap interval requires at least 20 successful fits and 97.5% completed attempts; otherwise the interval is unavailable. Corollary 1b supplies the pointwise resampling justification at stable identified models, while the completion threshold measures computational availability. Conditional reference intervals hold roles and rank fixed across 300 draws, refitting projection, both stages and censoring.</w:t>
      </w:r>
    </w:p>
    <w:p>
      <w:pPr>
        <w:pStyle w:val="BodyText"/>
      </w:pPr>
      <w:r>
        <w:t xml:space="preserve">The unadjusted comparison fits the same pseudo-outcome on</w:t>
      </w:r>
      <w:r>
        <w:t xml:space="preserve"> </w:t>
      </w:r>
      <m:oMath>
        <m:r>
          <m:rPr>
            <m:sty m:val="p"/>
          </m:rPr>
          <m:t>(</m:t>
        </m:r>
        <m:r>
          <m:t>1</m:t>
        </m:r>
        <m:r>
          <m:rPr>
            <m:sty m:val="p"/>
          </m:rPr>
          <m:t>,</m:t>
        </m:r>
        <m:r>
          <m:t>A</m:t>
        </m:r>
        <m:r>
          <m:rPr>
            <m:sty m:val="p"/>
          </m:rPr>
          <m:t>,</m:t>
        </m:r>
        <m:r>
          <m:t>C</m:t>
        </m:r>
        <m:r>
          <m:rPr>
            <m:sty m:val="p"/>
          </m:rPr>
          <m:t>)</m:t>
        </m:r>
      </m:oMath>
      <w:r>
        <w:t xml:space="preserve"> </w:t>
      </w:r>
      <w:r>
        <w:t xml:space="preserve">and refits censoring in the same patient draws. For the concentrated bridge, component null-moment tests at</w:t>
      </w:r>
      <w:r>
        <w:t xml:space="preserve"> </w:t>
      </w:r>
      <m:oMath>
        <m:sSub>
          <m:e>
            <m:r>
              <m:t>τ</m:t>
            </m:r>
          </m:e>
          <m:sub>
            <m:r>
              <m:t>A</m:t>
            </m:r>
          </m:sub>
        </m:sSub>
        <m:r>
          <m:rPr>
            <m:sty m:val="p"/>
          </m:rPr>
          <m:t>=</m:t>
        </m:r>
        <m:r>
          <m:t>0</m:t>
        </m:r>
      </m:oMath>
      <w:r>
        <w:t xml:space="preserve"> </w:t>
      </w:r>
      <w:r>
        <w:t xml:space="preserve">give</w:t>
      </w:r>
      <w:r>
        <w:t xml:space="preserve"> </w:t>
      </w:r>
      <m:oMath>
        <m:r>
          <m:t>p</m:t>
        </m:r>
        <m:r>
          <m:rPr>
            <m:sty m:val="p"/>
          </m:rPr>
          <m:t>=</m:t>
        </m:r>
        <m:r>
          <m:rPr>
            <m:sty m:val="p"/>
          </m:rPr>
          <m:t>min</m:t>
        </m:r>
        <m:r>
          <m:rPr>
            <m:sty m:val="p"/>
          </m:rPr>
          <m:t>{</m:t>
        </m:r>
        <m:r>
          <m:t>1</m:t>
        </m:r>
        <m:r>
          <m:rPr>
            <m:sty m:val="p"/>
          </m:rPr>
          <m:t>,</m:t>
        </m:r>
        <m:r>
          <m:t>m</m:t>
        </m:r>
        <m:sSub>
          <m:e>
            <m:r>
              <m:rPr>
                <m:sty m:val="p"/>
              </m:rPr>
              <m:t>min</m:t>
            </m:r>
          </m:e>
          <m:sub>
            <m:r>
              <m:t>j</m:t>
            </m:r>
          </m:sub>
        </m:sSub>
        <m:sSub>
          <m:e>
            <m:r>
              <m:t>p</m:t>
            </m:r>
          </m:e>
          <m:sub>
            <m:r>
              <m:t>j</m:t>
            </m:r>
          </m:sub>
        </m:sSub>
        <m:r>
          <m:rPr>
            <m:sty m:val="p"/>
          </m:rPr>
          <m:t>}</m:t>
        </m:r>
      </m:oMath>
      <w:r>
        <w:t xml:space="preserve">, matching the Bonferroni intersection. Benjamini–Hochberg</w:t>
      </w:r>
      <w:r>
        <w:t xml:space="preserve"> </w:t>
      </w:r>
      <m:oMath>
        <m:r>
          <m:t>q</m:t>
        </m:r>
      </m:oMath>
      <w:r>
        <w:t xml:space="preserve">-values [35] are calculated separately for the RMST and survival families across returned design-conditioned sets in each cohort. Normal Wald calculations use the separately labelled least-squares reference intervals.</w:t>
      </w:r>
    </w:p>
    <w:bookmarkEnd w:id="54"/>
    <w:bookmarkStart w:id="55" w:name="full-cohort-clinical-reference"/>
    <w:p>
      <w:pPr>
        <w:pStyle w:val="Heading3"/>
      </w:pPr>
      <w:r>
        <w:t xml:space="preserve">Full-cohort clinical reference</w:t>
      </w:r>
    </w:p>
    <w:p>
      <w:pPr>
        <w:pStyle w:val="FirstParagraph"/>
      </w:pPr>
      <w:r>
        <w:t xml:space="preserve">Full-cohort molecular analyses supply eight OV and 17 LUAD conditionally complete designs. Table S9 gives their concentrated estimates and sets with roles, rank and pivots fixed. Reconstruction completes 10–25% of OV and 12–35% of LUAD attempts; all complete-construction normal intervals are unavailable under the 97.5% rule (Table S10; Figure S4). These references use full-cohort panels and exposure scales; the independent analyses use discovery-selected panels and scales.</w:t>
      </w:r>
    </w:p>
    <w:bookmarkEnd w:id="55"/>
    <w:bookmarkStart w:id="56" w:name="X28a850fb8f42e53f741b2f9411c134ac23f2a1f"/>
    <w:p>
      <w:pPr>
        <w:pStyle w:val="Heading3"/>
      </w:pPr>
      <w:r>
        <w:t xml:space="preserve">Complete clinical panels and additional tumour cohorts</w:t>
      </w:r>
    </w:p>
    <w:p>
      <w:pPr>
        <w:pStyle w:val="FirstParagraph"/>
      </w:pPr>
      <w:r>
        <w:t xml:space="preserve">The independent procedure also analyses LUAD, BLCA, BRCA, COADREAD, KIRC, LGG, SKCM, STAD and UCEC. Together with OV, these supply 600 cohort-specific protein contrasts and 1200 endpoint sets; 58/600 exposures complete point estimation. Discovery defines covariates by cohort: age and, where represented, sex and tumour subtype; LUAD uses age and sex. Across the ten cohorts, two RMST sets are bounded, three disconnected and 595 real-line, and every endpoint set includes zero. Table S1 gives sample sizes, design counts and set shapes; Figures S5–S6 show completed coefficients and full-cohort molecular information. Aggregate files contain every exposure’s estimate, confidence set and calculation status.</w:t>
      </w:r>
    </w:p>
    <w:p>
      <w:pPr>
        <w:pStyle w:val="BodyText"/>
      </w:pPr>
      <w:r>
        <w:t xml:space="preserve">The eight-cohort extension supplies 32 completed estimates and real-line sets for all 480 exposures on both endpoints. COADREAD and STAD designs fail 36-month censoring support; BRCA, LGG and UCEC chiefly encounter insufficient complete moment resamples. KIRC completes all 14 eligible designs with real-line effect sets. Ovarian HSPA1A gives -7.54 survival percentage points with set [-80.32, 36.00], accompanying its bounded RMST set in Section 6. Off-range coefficients include LUAD HSPA1A at 379 percentage points and SKCM BRAF at -53.66 months (Figure S5).</w:t>
      </w:r>
    </w:p>
    <w:bookmarkEnd w:id="56"/>
    <w:bookmarkStart w:id="57" w:name="pathway-specific-full-cohort-reference"/>
    <w:p>
      <w:pPr>
        <w:pStyle w:val="Heading3"/>
      </w:pPr>
      <w:r>
        <w:t xml:space="preserve">Pathway-specific full-cohort reference</w:t>
      </w:r>
    </w:p>
    <w:p>
      <w:pPr>
        <w:pStyle w:val="FirstParagraph"/>
      </w:pPr>
      <w:r>
        <w:t xml:space="preserve">The full-cohort boundary analyses use cohort-specific exposure scales. For GAB2, the pathway specification in Section 6.3 removes BRAF from the treatment-proxy pool, leaving no design with the required two-dimensional joint information.</w:t>
      </w:r>
    </w:p>
    <w:p>
      <w:pPr>
        <w:pStyle w:val="BodyText"/>
      </w:pPr>
      <w:r>
        <w:t xml:space="preserve">KDR encodes VEGFR2. NSCLC experiments connect amplified KDR to VEGF-induced mTOR signalling and motility [36]. The KDR boundary assigns these pathways to the total effect and removes ITGA2 from the treatment-proxy pool because of its separately documented metastatic branch in LUAD [37]. The selected design has Z=CTNNB1, W=MYC, dimension one, window width 0.4, penalty 0.15 and smallest conditional root 0.214. Its bridge treats MYC as a parallel readout of the systemic proliferative state, outside the KDR intervention path, and requires the outcome exclusion for CTNNB1.</w:t>
      </w:r>
    </w:p>
    <w:p>
      <w:pPr>
        <w:pStyle w:val="BodyText"/>
      </w:pPr>
      <w:r>
        <w:t xml:space="preserve">The estimated 36-month RMST contrast is -1.50 months per full-cohort standard deviation, with 95% Fieller set [-4.29, 0.44]; the survival contrast is -8.1 percentage points, with set [-26.33, 2.61]. Reconstruction completes 36/300 attempts (0.120), yielding an unavailable complete-construction interval. The target is a KDR abundance intervention.</w:t>
      </w:r>
    </w:p>
    <w:p>
      <w:r>
        <w:br w:type="page"/>
      </w:r>
    </w:p>
    <w:bookmarkEnd w:id="57"/>
    <w:bookmarkEnd w:id="58"/>
    <w:bookmarkStart w:id="59" w:name="references"/>
    <w:p>
      <w:pPr>
        <w:pStyle w:val="Heading1"/>
      </w:pPr>
      <w:r>
        <w:t xml:space="preserve">References</w:t>
      </w:r>
    </w:p>
    <w:p>
      <w:pPr>
        <w:pStyle w:val="Compact"/>
        <w:numPr>
          <w:ilvl w:val="0"/>
          <w:numId w:val="1002"/>
        </w:numPr>
      </w:pPr>
      <w:r>
        <w:t xml:space="preserve">Tothill RW, Tinker AV, George J, et al. Novel molecular subtypes of serous and endometrioid ovarian cancer linked to clinical outcome.</w:t>
      </w:r>
      <w:r>
        <w:t xml:space="preserve"> </w:t>
      </w:r>
      <w:r>
        <w:rPr>
          <w:i/>
          <w:iCs/>
        </w:rPr>
        <w:t xml:space="preserve">Clinical Cancer Research</w:t>
      </w:r>
      <w:r>
        <w:t xml:space="preserve"> </w:t>
      </w:r>
      <w:r>
        <w:t xml:space="preserve">2008;14:5198–5208.</w:t>
      </w:r>
    </w:p>
    <w:p>
      <w:pPr>
        <w:pStyle w:val="Compact"/>
        <w:numPr>
          <w:ilvl w:val="0"/>
          <w:numId w:val="1002"/>
        </w:numPr>
      </w:pPr>
      <w:r>
        <w:t xml:space="preserve">Cancer Genome Atlas Research Network. Integrated genomic analyses of ovarian carcinoma.</w:t>
      </w:r>
      <w:r>
        <w:t xml:space="preserve"> </w:t>
      </w:r>
      <w:r>
        <w:rPr>
          <w:i/>
          <w:iCs/>
        </w:rPr>
        <w:t xml:space="preserve">Nature</w:t>
      </w:r>
      <w:r>
        <w:t xml:space="preserve"> </w:t>
      </w:r>
      <w:r>
        <w:t xml:space="preserve">2011;474:609–615.</w:t>
      </w:r>
    </w:p>
    <w:p>
      <w:pPr>
        <w:pStyle w:val="Compact"/>
        <w:numPr>
          <w:ilvl w:val="0"/>
          <w:numId w:val="1002"/>
        </w:numPr>
      </w:pPr>
      <w:r>
        <w:t xml:space="preserve">Zhang L, Conejo-Garcia JR, Katsaros D, et al. Intratumoral T cells, recurrence, and survival in epithelial ovarian cancer.</w:t>
      </w:r>
      <w:r>
        <w:t xml:space="preserve"> </w:t>
      </w:r>
      <w:r>
        <w:rPr>
          <w:i/>
          <w:iCs/>
        </w:rPr>
        <w:t xml:space="preserve">New England Journal of Medicine</w:t>
      </w:r>
      <w:r>
        <w:t xml:space="preserve"> </w:t>
      </w:r>
      <w:r>
        <w:t xml:space="preserve">2003;348:203–213.</w:t>
      </w:r>
    </w:p>
    <w:p>
      <w:pPr>
        <w:pStyle w:val="Compact"/>
        <w:numPr>
          <w:ilvl w:val="0"/>
          <w:numId w:val="1002"/>
        </w:numPr>
      </w:pPr>
      <w:r>
        <w:t xml:space="preserve">Chen C, Jiang L, Fu G, Wang M, Wang Y, Shen B, Liu Z, Wang Z, Hou W, Berceli SA, Wu R. An omnidirectional visualization model of personalized gene regulatory networks.</w:t>
      </w:r>
      <w:r>
        <w:t xml:space="preserve"> </w:t>
      </w:r>
      <w:r>
        <w:rPr>
          <w:i/>
          <w:iCs/>
        </w:rPr>
        <w:t xml:space="preserve">npj Systems Biology and Applications</w:t>
      </w:r>
      <w:r>
        <w:t xml:space="preserve"> </w:t>
      </w:r>
      <w:r>
        <w:t xml:space="preserve">2019;5:38.</w:t>
      </w:r>
    </w:p>
    <w:p>
      <w:pPr>
        <w:pStyle w:val="Compact"/>
        <w:numPr>
          <w:ilvl w:val="0"/>
          <w:numId w:val="1002"/>
        </w:numPr>
      </w:pPr>
      <w:r>
        <w:t xml:space="preserve">Dong A, Wu S, Che J, Wang Y, Wu R. idopNetwork: a network tool to dissect spatial community ecology.</w:t>
      </w:r>
      <w:r>
        <w:t xml:space="preserve"> </w:t>
      </w:r>
      <w:r>
        <w:rPr>
          <w:i/>
          <w:iCs/>
        </w:rPr>
        <w:t xml:space="preserve">Methods in Ecology and Evolution</w:t>
      </w:r>
      <w:r>
        <w:t xml:space="preserve"> </w:t>
      </w:r>
      <w:r>
        <w:t xml:space="preserve">2023;14:2272–2283.</w:t>
      </w:r>
    </w:p>
    <w:p>
      <w:pPr>
        <w:pStyle w:val="Compact"/>
        <w:numPr>
          <w:ilvl w:val="0"/>
          <w:numId w:val="1002"/>
        </w:numPr>
      </w:pPr>
      <w:r>
        <w:t xml:space="preserve">Miao W, Geng Z, Tchetgen Tchetgen EJ. Identifying causal effects with proxy variables of an unmeasured confounder.</w:t>
      </w:r>
      <w:r>
        <w:t xml:space="preserve"> </w:t>
      </w:r>
      <w:r>
        <w:rPr>
          <w:i/>
          <w:iCs/>
        </w:rPr>
        <w:t xml:space="preserve">Biometrika</w:t>
      </w:r>
      <w:r>
        <w:t xml:space="preserve"> </w:t>
      </w:r>
      <w:r>
        <w:t xml:space="preserve">2018;105:987–993.</w:t>
      </w:r>
    </w:p>
    <w:p>
      <w:pPr>
        <w:pStyle w:val="Compact"/>
        <w:numPr>
          <w:ilvl w:val="0"/>
          <w:numId w:val="1002"/>
        </w:numPr>
      </w:pPr>
      <w:r>
        <w:t xml:space="preserve">Tchetgen Tchetgen EJ, Ying A, Cui Y, Shi X, Miao W. An introduction to proximal causal inference.</w:t>
      </w:r>
      <w:r>
        <w:t xml:space="preserve"> </w:t>
      </w:r>
      <w:r>
        <w:rPr>
          <w:i/>
          <w:iCs/>
        </w:rPr>
        <w:t xml:space="preserve">Statistical Science</w:t>
      </w:r>
      <w:r>
        <w:t xml:space="preserve"> </w:t>
      </w:r>
      <w:r>
        <w:t xml:space="preserve">2024;39:375–390.</w:t>
      </w:r>
    </w:p>
    <w:p>
      <w:pPr>
        <w:pStyle w:val="Compact"/>
        <w:numPr>
          <w:ilvl w:val="0"/>
          <w:numId w:val="1002"/>
        </w:numPr>
      </w:pPr>
      <w:r>
        <w:t xml:space="preserve">Cui Y, Pu H, Shi X, Miao W, Tchetgen Tchetgen EJ. Semiparametric proximal causal inference.</w:t>
      </w:r>
      <w:r>
        <w:t xml:space="preserve"> </w:t>
      </w:r>
      <w:r>
        <w:rPr>
          <w:i/>
          <w:iCs/>
        </w:rPr>
        <w:t xml:space="preserve">Journal of the American Statistical Association</w:t>
      </w:r>
      <w:r>
        <w:t xml:space="preserve"> </w:t>
      </w:r>
      <w:r>
        <w:t xml:space="preserve">2024;119:1348–1359.</w:t>
      </w:r>
    </w:p>
    <w:p>
      <w:pPr>
        <w:pStyle w:val="Compact"/>
        <w:numPr>
          <w:ilvl w:val="0"/>
          <w:numId w:val="1002"/>
        </w:numPr>
      </w:pPr>
      <w:r>
        <w:t xml:space="preserve">Ying A, Cui Y, Tchetgen Tchetgen EJ. Proximal causal inference for marginal counterfactual survival curves. arXiv:2204.13144, 2022.</w:t>
      </w:r>
    </w:p>
    <w:p>
      <w:pPr>
        <w:pStyle w:val="Compact"/>
        <w:numPr>
          <w:ilvl w:val="0"/>
          <w:numId w:val="1002"/>
        </w:numPr>
      </w:pPr>
      <w:r>
        <w:t xml:space="preserve">Li K, Linderman GC, Shi X, Tchetgen Tchetgen EJ. Regression-based proximal causal inference for right-censored time-to-event data. arXiv:2409.08924, revised 2025.</w:t>
      </w:r>
    </w:p>
    <w:p>
      <w:pPr>
        <w:pStyle w:val="Compact"/>
        <w:numPr>
          <w:ilvl w:val="0"/>
          <w:numId w:val="1002"/>
        </w:numPr>
      </w:pPr>
      <w:r>
        <w:t xml:space="preserve">Lipsitch M, Tchetgen Tchetgen E, Cohen T. Negative controls: a tool for detecting confounding and bias in observational studies.</w:t>
      </w:r>
      <w:r>
        <w:t xml:space="preserve"> </w:t>
      </w:r>
      <w:r>
        <w:rPr>
          <w:i/>
          <w:iCs/>
        </w:rPr>
        <w:t xml:space="preserve">Epidemiology</w:t>
      </w:r>
      <w:r>
        <w:t xml:space="preserve"> </w:t>
      </w:r>
      <w:r>
        <w:t xml:space="preserve">2010;21:383–388.</w:t>
      </w:r>
    </w:p>
    <w:p>
      <w:pPr>
        <w:pStyle w:val="Compact"/>
        <w:numPr>
          <w:ilvl w:val="0"/>
          <w:numId w:val="1002"/>
        </w:numPr>
      </w:pPr>
      <w:r>
        <w:t xml:space="preserve">Shi X, Miao W, Tchetgen Tchetgen EJ. A selective review of negative control methods in epidemiology.</w:t>
      </w:r>
      <w:r>
        <w:t xml:space="preserve"> </w:t>
      </w:r>
      <w:r>
        <w:rPr>
          <w:i/>
          <w:iCs/>
        </w:rPr>
        <w:t xml:space="preserve">Current Epidemiology Reports</w:t>
      </w:r>
      <w:r>
        <w:t xml:space="preserve"> </w:t>
      </w:r>
      <w:r>
        <w:t xml:space="preserve">2020;7:190–202.</w:t>
      </w:r>
    </w:p>
    <w:p>
      <w:pPr>
        <w:pStyle w:val="Compact"/>
        <w:numPr>
          <w:ilvl w:val="0"/>
          <w:numId w:val="1002"/>
        </w:numPr>
      </w:pPr>
      <w:r>
        <w:t xml:space="preserve">Yu M, Shi X, Tchetgen Tchetgen EJ. Fortified proximal causal inference with many invalid proxies. arXiv:2506.13152, 2025.</w:t>
      </w:r>
    </w:p>
    <w:p>
      <w:pPr>
        <w:pStyle w:val="Compact"/>
        <w:numPr>
          <w:ilvl w:val="0"/>
          <w:numId w:val="1002"/>
        </w:numPr>
      </w:pPr>
      <w:r>
        <w:t xml:space="preserve">Rakshit P, Shi X, Tchetgen Tchetgen EJ. Adaptive proximal causal inference with some invalid proxies. arXiv:2507.19623, 2025.</w:t>
      </w:r>
    </w:p>
    <w:p>
      <w:pPr>
        <w:pStyle w:val="Compact"/>
        <w:numPr>
          <w:ilvl w:val="0"/>
          <w:numId w:val="1002"/>
        </w:numPr>
      </w:pPr>
      <w:r>
        <w:t xml:space="preserve">Meinshausen N, Bühlmann P. High-dimensional graphs and variable selection with the Lasso.</w:t>
      </w:r>
      <w:r>
        <w:t xml:space="preserve"> </w:t>
      </w:r>
      <w:r>
        <w:rPr>
          <w:i/>
          <w:iCs/>
        </w:rPr>
        <w:t xml:space="preserve">Annals of Statistics</w:t>
      </w:r>
      <w:r>
        <w:t xml:space="preserve"> </w:t>
      </w:r>
      <w:r>
        <w:t xml:space="preserve">2006;34:1436–1462.</w:t>
      </w:r>
    </w:p>
    <w:p>
      <w:pPr>
        <w:pStyle w:val="Compact"/>
        <w:numPr>
          <w:ilvl w:val="0"/>
          <w:numId w:val="1002"/>
        </w:numPr>
      </w:pPr>
      <w:r>
        <w:t xml:space="preserve">Zhou S. Thresholded Lasso for high dimensional variable selection and statistical estimation. arXiv:1002.1583, 2010.</w:t>
      </w:r>
    </w:p>
    <w:p>
      <w:pPr>
        <w:pStyle w:val="Compact"/>
        <w:numPr>
          <w:ilvl w:val="0"/>
          <w:numId w:val="1002"/>
        </w:numPr>
      </w:pPr>
      <w:r>
        <w:t xml:space="preserve">Meinshausen N, Bühlmann P. Stability selection.</w:t>
      </w:r>
      <w:r>
        <w:t xml:space="preserve"> </w:t>
      </w:r>
      <w:r>
        <w:rPr>
          <w:i/>
          <w:iCs/>
        </w:rPr>
        <w:t xml:space="preserve">Journal of the Royal Statistical Society B</w:t>
      </w:r>
      <w:r>
        <w:t xml:space="preserve"> </w:t>
      </w:r>
      <w:r>
        <w:t xml:space="preserve">2010;72:417–473.</w:t>
      </w:r>
    </w:p>
    <w:p>
      <w:pPr>
        <w:pStyle w:val="Compact"/>
        <w:numPr>
          <w:ilvl w:val="0"/>
          <w:numId w:val="1002"/>
        </w:numPr>
      </w:pPr>
      <w:r>
        <w:t xml:space="preserve">Cragg JG, Donald SG. Testing identifiability and specification in instrumental variable models.</w:t>
      </w:r>
      <w:r>
        <w:t xml:space="preserve"> </w:t>
      </w:r>
      <w:r>
        <w:rPr>
          <w:i/>
          <w:iCs/>
        </w:rPr>
        <w:t xml:space="preserve">Econometric Theory</w:t>
      </w:r>
      <w:r>
        <w:t xml:space="preserve"> </w:t>
      </w:r>
      <w:r>
        <w:t xml:space="preserve">1993;9:222–240.</w:t>
      </w:r>
    </w:p>
    <w:p>
      <w:pPr>
        <w:pStyle w:val="Compact"/>
        <w:numPr>
          <w:ilvl w:val="0"/>
          <w:numId w:val="1002"/>
        </w:numPr>
      </w:pPr>
      <w:r>
        <w:t xml:space="preserve">Stock JH, Yogo M. Testing for weak instruments in linear IV regression. In: Andrews DWK, Stock JH, eds. </w:t>
      </w:r>
      <w:r>
        <w:rPr>
          <w:i/>
          <w:iCs/>
        </w:rPr>
        <w:t xml:space="preserve">Identification and Inference for Econometric Models</w:t>
      </w:r>
      <w:r>
        <w:t xml:space="preserve">. Cambridge University Press; 2005:80–108.</w:t>
      </w:r>
    </w:p>
    <w:p>
      <w:pPr>
        <w:pStyle w:val="Compact"/>
        <w:numPr>
          <w:ilvl w:val="0"/>
          <w:numId w:val="1002"/>
        </w:numPr>
      </w:pPr>
      <w:r>
        <w:t xml:space="preserve">Andersen PK, Gill RD. Cox’s regression model for counting processes: a large sample study.</w:t>
      </w:r>
      <w:r>
        <w:t xml:space="preserve"> </w:t>
      </w:r>
      <w:r>
        <w:rPr>
          <w:i/>
          <w:iCs/>
        </w:rPr>
        <w:t xml:space="preserve">Annals of Statistics</w:t>
      </w:r>
      <w:r>
        <w:t xml:space="preserve"> </w:t>
      </w:r>
      <w:r>
        <w:t xml:space="preserve">1982;10:1100–1120.</w:t>
      </w:r>
    </w:p>
    <w:p>
      <w:pPr>
        <w:pStyle w:val="Compact"/>
        <w:numPr>
          <w:ilvl w:val="0"/>
          <w:numId w:val="1002"/>
        </w:numPr>
      </w:pPr>
      <w:r>
        <w:t xml:space="preserve">Lauritzen SL.</w:t>
      </w:r>
      <w:r>
        <w:t xml:space="preserve"> </w:t>
      </w:r>
      <w:r>
        <w:rPr>
          <w:i/>
          <w:iCs/>
        </w:rPr>
        <w:t xml:space="preserve">Graphical Models</w:t>
      </w:r>
      <w:r>
        <w:t xml:space="preserve">. Oxford: Clarendon Press; 1996.</w:t>
      </w:r>
    </w:p>
    <w:p>
      <w:pPr>
        <w:pStyle w:val="Compact"/>
        <w:numPr>
          <w:ilvl w:val="0"/>
          <w:numId w:val="1002"/>
        </w:numPr>
      </w:pPr>
      <w:r>
        <w:t xml:space="preserve">Chandrasekaran V, Parrilo PA, Willsky AS. Latent variable graphical model selection via convex optimization.</w:t>
      </w:r>
      <w:r>
        <w:t xml:space="preserve"> </w:t>
      </w:r>
      <w:r>
        <w:rPr>
          <w:i/>
          <w:iCs/>
        </w:rPr>
        <w:t xml:space="preserve">Annals of Statistics</w:t>
      </w:r>
      <w:r>
        <w:t xml:space="preserve"> </w:t>
      </w:r>
      <w:r>
        <w:t xml:space="preserve">2012;40:1935–1967.</w:t>
      </w:r>
    </w:p>
    <w:p>
      <w:pPr>
        <w:pStyle w:val="Compact"/>
        <w:numPr>
          <w:ilvl w:val="0"/>
          <w:numId w:val="1002"/>
        </w:numPr>
      </w:pPr>
      <w:r>
        <w:t xml:space="preserve">Fieller EC. Some problems in interval estimation.</w:t>
      </w:r>
      <w:r>
        <w:t xml:space="preserve"> </w:t>
      </w:r>
      <w:r>
        <w:rPr>
          <w:i/>
          <w:iCs/>
        </w:rPr>
        <w:t xml:space="preserve">Journal of the Royal Statistical Society Series B</w:t>
      </w:r>
      <w:r>
        <w:t xml:space="preserve"> </w:t>
      </w:r>
      <w:r>
        <w:t xml:space="preserve">1954;16:175–185. doi:10.1111/j.2517-6161.1954.tb00159.x.</w:t>
      </w:r>
    </w:p>
    <w:p>
      <w:pPr>
        <w:pStyle w:val="Compact"/>
        <w:numPr>
          <w:ilvl w:val="0"/>
          <w:numId w:val="1002"/>
        </w:numPr>
      </w:pPr>
      <w:r>
        <w:t xml:space="preserve">Morris TP, White IR, Crowther MJ. Using simulation studies to evaluate statistical methods.</w:t>
      </w:r>
      <w:r>
        <w:t xml:space="preserve"> </w:t>
      </w:r>
      <w:r>
        <w:rPr>
          <w:i/>
          <w:iCs/>
        </w:rPr>
        <w:t xml:space="preserve">Statistics in Medicine</w:t>
      </w:r>
      <w:r>
        <w:t xml:space="preserve"> </w:t>
      </w:r>
      <w:r>
        <w:t xml:space="preserve">2019;38:2074–2102. doi:10.1002/sim.8086.</w:t>
      </w:r>
    </w:p>
    <w:p>
      <w:pPr>
        <w:pStyle w:val="Compact"/>
        <w:numPr>
          <w:ilvl w:val="0"/>
          <w:numId w:val="1002"/>
        </w:numPr>
      </w:pPr>
      <w:r>
        <w:t xml:space="preserve">Cerami E, Gao J, Dogrusoz U, et al. The cBio Cancer Genomics Portal: an open platform for exploring multidimensional cancer genomics data.</w:t>
      </w:r>
      <w:r>
        <w:t xml:space="preserve"> </w:t>
      </w:r>
      <w:r>
        <w:rPr>
          <w:i/>
          <w:iCs/>
        </w:rPr>
        <w:t xml:space="preserve">Cancer Discovery</w:t>
      </w:r>
      <w:r>
        <w:t xml:space="preserve"> </w:t>
      </w:r>
      <w:r>
        <w:t xml:space="preserve">2012;2:401–404.</w:t>
      </w:r>
    </w:p>
    <w:p>
      <w:pPr>
        <w:pStyle w:val="Compact"/>
        <w:numPr>
          <w:ilvl w:val="0"/>
          <w:numId w:val="1002"/>
        </w:numPr>
      </w:pPr>
      <w:r>
        <w:t xml:space="preserve">Li J, Lu Y, Akbani R, et al. TCPA: a resource for cancer functional proteomics data.</w:t>
      </w:r>
      <w:r>
        <w:t xml:space="preserve"> </w:t>
      </w:r>
      <w:r>
        <w:rPr>
          <w:i/>
          <w:iCs/>
        </w:rPr>
        <w:t xml:space="preserve">Nature Methods</w:t>
      </w:r>
      <w:r>
        <w:t xml:space="preserve"> </w:t>
      </w:r>
      <w:r>
        <w:t xml:space="preserve">2013;10:1046–1047.</w:t>
      </w:r>
    </w:p>
    <w:p>
      <w:pPr>
        <w:pStyle w:val="Compact"/>
        <w:numPr>
          <w:ilvl w:val="0"/>
          <w:numId w:val="1002"/>
        </w:numPr>
      </w:pPr>
      <w:r>
        <w:t xml:space="preserve">cBioPortal for Cancer Genomics. TCGA PanCancer Atlas Studies [dataset]. Memorial Sloan Kettering Cancer Center; 2018. Accessed 11–12 September 2026. https://www.cbioportal.org/datasets.</w:t>
      </w:r>
    </w:p>
    <w:p>
      <w:pPr>
        <w:pStyle w:val="Compact"/>
        <w:numPr>
          <w:ilvl w:val="0"/>
          <w:numId w:val="1002"/>
        </w:numPr>
      </w:pPr>
      <w:r>
        <w:t xml:space="preserve">Martins FC, Couturier DL, Paterson A, et al. Clinical and pathological associations of PTEN expression in ovarian cancer: a multicentre study from the Ovarian Tumour Tissue Analysis Consortium.</w:t>
      </w:r>
      <w:r>
        <w:t xml:space="preserve"> </w:t>
      </w:r>
      <w:r>
        <w:rPr>
          <w:i/>
          <w:iCs/>
        </w:rPr>
        <w:t xml:space="preserve">British Journal of Cancer</w:t>
      </w:r>
      <w:r>
        <w:t xml:space="preserve"> </w:t>
      </w:r>
      <w:r>
        <w:t xml:space="preserve">2020;123:793–802. doi:10.1038/s41416-020-0900-0.</w:t>
      </w:r>
    </w:p>
    <w:p>
      <w:pPr>
        <w:pStyle w:val="Compact"/>
        <w:numPr>
          <w:ilvl w:val="0"/>
          <w:numId w:val="1002"/>
        </w:numPr>
      </w:pPr>
      <w:r>
        <w:t xml:space="preserve">Mashiko S, Kitatani K, Toyoshima M, et al. Inhibition of plasminogen activator inhibitor-1 is a potential therapeutic strategy in ovarian cancer.</w:t>
      </w:r>
      <w:r>
        <w:t xml:space="preserve"> </w:t>
      </w:r>
      <w:r>
        <w:rPr>
          <w:i/>
          <w:iCs/>
        </w:rPr>
        <w:t xml:space="preserve">Cancer Biology &amp; Therapy</w:t>
      </w:r>
      <w:r>
        <w:t xml:space="preserve"> </w:t>
      </w:r>
      <w:r>
        <w:t xml:space="preserve">2015;16:253–260. doi:10.1080/15384047.2014.1001271.</w:t>
      </w:r>
    </w:p>
    <w:p>
      <w:pPr>
        <w:pStyle w:val="Compact"/>
        <w:numPr>
          <w:ilvl w:val="0"/>
          <w:numId w:val="1002"/>
        </w:numPr>
      </w:pPr>
      <w:r>
        <w:t xml:space="preserve">Kang EY, Weir A, Meagher NS, et al. CCNE1 and survival of patients with tubo-ovarian high-grade serous carcinoma: An Ovarian Tumor Tissue Analysis consortium study.</w:t>
      </w:r>
      <w:r>
        <w:t xml:space="preserve"> </w:t>
      </w:r>
      <w:r>
        <w:rPr>
          <w:i/>
          <w:iCs/>
        </w:rPr>
        <w:t xml:space="preserve">Cancer</w:t>
      </w:r>
      <w:r>
        <w:t xml:space="preserve"> </w:t>
      </w:r>
      <w:r>
        <w:t xml:space="preserve">2023;129:697–713. doi:10.1002/cncr.34582.</w:t>
      </w:r>
    </w:p>
    <w:p>
      <w:pPr>
        <w:pStyle w:val="Compact"/>
        <w:numPr>
          <w:ilvl w:val="0"/>
          <w:numId w:val="1002"/>
        </w:numPr>
      </w:pPr>
      <w:r>
        <w:t xml:space="preserve">Duckworth C, Zhang L, Carroll SL, Ethier SP, Cheung HW. Overexpression of GAB2 in ovarian cancer cells promotes tumor growth and angiogenesis by upregulating chemokine expression.</w:t>
      </w:r>
      <w:r>
        <w:t xml:space="preserve"> </w:t>
      </w:r>
      <w:r>
        <w:rPr>
          <w:i/>
          <w:iCs/>
        </w:rPr>
        <w:t xml:space="preserve">Oncogene</w:t>
      </w:r>
      <w:r>
        <w:t xml:space="preserve"> </w:t>
      </w:r>
      <w:r>
        <w:t xml:space="preserve">2016;35:4036–4047. doi:10.1038/onc.2015.472.</w:t>
      </w:r>
    </w:p>
    <w:p>
      <w:pPr>
        <w:pStyle w:val="Compact"/>
        <w:numPr>
          <w:ilvl w:val="0"/>
          <w:numId w:val="1002"/>
        </w:numPr>
      </w:pPr>
      <w:r>
        <w:t xml:space="preserve">Sun B, Jensen NR, Chung D, et al. Synergistic effects of SHP2 and PI3K pathway inhibitors in GAB2-overexpressing ovarian cancer.</w:t>
      </w:r>
      <w:r>
        <w:t xml:space="preserve"> </w:t>
      </w:r>
      <w:r>
        <w:rPr>
          <w:i/>
          <w:iCs/>
        </w:rPr>
        <w:t xml:space="preserve">American Journal of Cancer Research</w:t>
      </w:r>
      <w:r>
        <w:t xml:space="preserve"> </w:t>
      </w:r>
      <w:r>
        <w:t xml:space="preserve">2019;9:145–159.</w:t>
      </w:r>
    </w:p>
    <w:p>
      <w:pPr>
        <w:pStyle w:val="Compact"/>
        <w:numPr>
          <w:ilvl w:val="0"/>
          <w:numId w:val="1002"/>
        </w:numPr>
      </w:pPr>
      <w:r>
        <w:t xml:space="preserve">Bickel PJ, Freedman DA. Some asymptotic theory for the bootstrap.</w:t>
      </w:r>
      <w:r>
        <w:t xml:space="preserve"> </w:t>
      </w:r>
      <w:r>
        <w:rPr>
          <w:i/>
          <w:iCs/>
        </w:rPr>
        <w:t xml:space="preserve">Annals of Statistics</w:t>
      </w:r>
      <w:r>
        <w:t xml:space="preserve"> </w:t>
      </w:r>
      <w:r>
        <w:t xml:space="preserve">1981;9:1196–1217.</w:t>
      </w:r>
    </w:p>
    <w:p>
      <w:pPr>
        <w:pStyle w:val="Compact"/>
        <w:numPr>
          <w:ilvl w:val="0"/>
          <w:numId w:val="1002"/>
        </w:numPr>
      </w:pPr>
      <w:r>
        <w:t xml:space="preserve">van der Vaart AW.</w:t>
      </w:r>
      <w:r>
        <w:t xml:space="preserve"> </w:t>
      </w:r>
      <w:r>
        <w:rPr>
          <w:i/>
          <w:iCs/>
        </w:rPr>
        <w:t xml:space="preserve">Asymptotic Statistics</w:t>
      </w:r>
      <w:r>
        <w:t xml:space="preserve">. Cambridge University Press; 1998.</w:t>
      </w:r>
    </w:p>
    <w:p>
      <w:pPr>
        <w:pStyle w:val="Compact"/>
        <w:numPr>
          <w:ilvl w:val="0"/>
          <w:numId w:val="1002"/>
        </w:numPr>
      </w:pPr>
      <w:r>
        <w:t xml:space="preserve">Benjamini Y, Hochberg Y. Controlling the false discovery rate: a practical and powerful approach to multiple testing.</w:t>
      </w:r>
      <w:r>
        <w:t xml:space="preserve"> </w:t>
      </w:r>
      <w:r>
        <w:rPr>
          <w:i/>
          <w:iCs/>
        </w:rPr>
        <w:t xml:space="preserve">Journal of the Royal Statistical Society B</w:t>
      </w:r>
      <w:r>
        <w:t xml:space="preserve"> </w:t>
      </w:r>
      <w:r>
        <w:t xml:space="preserve">1995;57:289–300.</w:t>
      </w:r>
    </w:p>
    <w:p>
      <w:pPr>
        <w:pStyle w:val="Compact"/>
        <w:numPr>
          <w:ilvl w:val="0"/>
          <w:numId w:val="1002"/>
        </w:numPr>
      </w:pPr>
      <w:r>
        <w:t xml:space="preserve">Nilsson MB, Giri U, Gudikote J, et al. KDR amplification is associated with VEGF-induced activation of the mTOR and invasion pathways but does not predict clinical benefit to the VEGFR TKI vandetanib.</w:t>
      </w:r>
      <w:r>
        <w:t xml:space="preserve"> </w:t>
      </w:r>
      <w:r>
        <w:rPr>
          <w:i/>
          <w:iCs/>
        </w:rPr>
        <w:t xml:space="preserve">Clinical Cancer Research</w:t>
      </w:r>
      <w:r>
        <w:t xml:space="preserve"> </w:t>
      </w:r>
      <w:r>
        <w:t xml:space="preserve">2016;22:1940–1950. doi:10.1158/1078-0432.CCR-15-1994.</w:t>
      </w:r>
    </w:p>
    <w:p>
      <w:pPr>
        <w:pStyle w:val="Compact"/>
        <w:numPr>
          <w:ilvl w:val="0"/>
          <w:numId w:val="1002"/>
        </w:numPr>
      </w:pPr>
      <w:r>
        <w:t xml:space="preserve">Chen Y, Jin L, Ma Y, et al. BACH1 promotes lung adenocarcinoma cell metastasis through transcriptional activation of ITGA2.</w:t>
      </w:r>
      <w:r>
        <w:t xml:space="preserve"> </w:t>
      </w:r>
      <w:r>
        <w:rPr>
          <w:i/>
          <w:iCs/>
        </w:rPr>
        <w:t xml:space="preserve">Cancer Science</w:t>
      </w:r>
      <w:r>
        <w:t xml:space="preserve"> </w:t>
      </w:r>
      <w:r>
        <w:t xml:space="preserve">2023;114:3568–3582. doi:10.1111/cas.15884.</w:t>
      </w:r>
    </w:p>
    <w:p>
      <w:r>
        <w:br w:type="page"/>
      </w:r>
    </w:p>
    <w:bookmarkEnd w:id="59"/>
    <w:bookmarkStart w:id="60" w:name="figure-legends"/>
    <w:p>
      <w:pPr>
        <w:pStyle w:val="Heading1"/>
      </w:pPr>
      <w:r>
        <w:t xml:space="preserve">Figure legends</w:t>
      </w:r>
    </w:p>
    <w:p>
      <w:pPr>
        <w:pStyle w:val="FirstParagraph"/>
      </w:pPr>
      <w:r>
        <w:rPr>
          <w:b/>
          <w:bCs/>
        </w:rPr>
        <w:t xml:space="preserve">Figure 1.</w:t>
      </w:r>
      <w:r>
        <w:t xml:space="preserve"> </w:t>
      </w:r>
      <w:r>
        <w:t xml:space="preserve">Independent discovery and clinical estimation. Discovery determines molecular preprocessing, network candidates, roles, readout dimension and coordinates. Estimation patients supply censored-outcome bridge moments and effect confidence sets.</w:t>
      </w:r>
    </w:p>
    <w:p>
      <w:pPr>
        <w:pStyle w:val="BodyText"/>
      </w:pPr>
      <w:r>
        <w:rPr>
          <w:b/>
          <w:bCs/>
        </w:rPr>
        <w:t xml:space="preserve">Figure 2.</w:t>
      </w:r>
      <w:r>
        <w:t xml:space="preserve"> </w:t>
      </w:r>
      <w:r>
        <w:t xml:space="preserve">TCGA-OV niche-index power curves for LCK, CDH2, four local treatment proxies and two separated readouts. Points are patient measurements; curve exponents and network roles are annotated.</w:t>
      </w:r>
    </w:p>
    <w:p>
      <w:pPr>
        <w:pStyle w:val="BodyText"/>
      </w:pPr>
      <w:r>
        <w:rPr>
          <w:b/>
          <w:bCs/>
        </w:rPr>
        <w:t xml:space="preserve">Figure 3.</w:t>
      </w:r>
      <w:r>
        <w:t xml:space="preserve"> </w:t>
      </w:r>
      <w:r>
        <w:t xml:space="preserve">Ovarian discovery networks and niche-curve decompositions for PTEN, SERPINE1 and CCNE1. Panels a,c,e show exposure, proxy and remaining-protein planes for the 60-protein panel learned from 308 discovery patients. Each uses its frozen selected design at window width 0.4 and penalty 0.20, with joint/conditional ranks 1/1, 2/2 and 2/2. Arrow colours give the signs of mean cumulative ODE contributions. Panels b,d,f show observed levels, reconstructed curves, intrinsic contributions including baseline, and cross-protein contributions labelled by source. Curves use smoothing splines, five time-integrated Legendre terms per source and standardised ridge penalty one; the components sum to the reconstructed curve.</w:t>
      </w:r>
    </w:p>
    <w:p>
      <w:pPr>
        <w:pStyle w:val="BodyText"/>
      </w:pPr>
      <w:r>
        <w:rPr>
          <w:b/>
          <w:bCs/>
        </w:rPr>
        <w:t xml:space="preserve">Figure 4.</w:t>
      </w:r>
      <w:r>
        <w:t xml:space="preserve"> </w:t>
      </w:r>
      <w:r>
        <w:t xml:space="preserve">Independent-sample validation across seven systems, each with 200 fresh datasets. Point error uses available estimates; coverage uses all 200 sets. Bars give 1.96 Monte Carlo standard errors.</w:t>
      </w:r>
    </w:p>
    <w:p>
      <w:pPr>
        <w:pStyle w:val="BodyText"/>
      </w:pPr>
      <w:r>
        <w:rPr>
          <w:b/>
          <w:bCs/>
        </w:rPr>
        <w:t xml:space="preserve">Figure 5.</w:t>
      </w:r>
      <w:r>
        <w:t xml:space="preserve"> </w:t>
      </w:r>
      <w:r>
        <w:t xml:space="preserve">Selected proxy designs for ovarian PTEN, SERPINE1 and CCNE1. Treatment-proxy neighbourhoods are exposure-specific; the separated eight-protein outcome-proxy pool is shared. Rank and the smallest conditional root describe discovery information. Connectors indicate selected measurement roles.</w:t>
      </w:r>
    </w:p>
    <w:p>
      <w:pPr>
        <w:pStyle w:val="BodyText"/>
      </w:pPr>
      <w:r>
        <w:rPr>
          <w:b/>
          <w:bCs/>
        </w:rPr>
        <w:t xml:space="preserve">Figure 6.</w:t>
      </w:r>
      <w:r>
        <w:t xml:space="preserve"> </w:t>
      </w:r>
      <w:r>
        <w:t xml:space="preserve">The 24 completed ovarian-cancer point estimates per discovery-cohort standard deviation. Horizontal position gives RMST months or survival percentage points; orange marks the three analyses in Table 5. Open triangles mark off-range coefficients at the display boundary. Figure 7 gives confidence sets for the focused analyses.</w:t>
      </w:r>
    </w:p>
    <w:p>
      <w:pPr>
        <w:pStyle w:val="BodyText"/>
      </w:pPr>
      <w:r>
        <w:rPr>
          <w:b/>
          <w:bCs/>
        </w:rPr>
        <w:t xml:space="preserve">Figure 7.</w:t>
      </w:r>
      <w:r>
        <w:t xml:space="preserve"> </w:t>
      </w:r>
      <w:r>
        <w:t xml:space="preserve">Ovarian PTEN, SERPINE1 and CCNE1 contrasts on both clinical scales. Points are independent-estimation coefficients and lines are their 95% confidence sets. PTEN has bounded sets on both scales; arrows indicate the real-line sets for SERPINE1 and CCNE1.</w:t>
      </w:r>
    </w:p>
    <w:p>
      <w:pPr>
        <w:pStyle w:val="BodyText"/>
      </w:pPr>
      <w:r>
        <w:rPr>
          <w:b/>
          <w:bCs/>
        </w:rPr>
        <w:t xml:space="preserve">Figure S1.</w:t>
      </w:r>
      <w:r>
        <w:t xml:space="preserve"> </w:t>
      </w:r>
      <w:r>
        <w:t xml:space="preserve">Full TCGA-OV network on 140 filtered proteins, with 261 signed ODE edges and 18 components. The ten largest hubs are emphasised.</w:t>
      </w:r>
    </w:p>
    <w:p>
      <w:pPr>
        <w:pStyle w:val="BodyText"/>
      </w:pPr>
      <w:r>
        <w:rPr>
          <w:b/>
          <w:bCs/>
        </w:rPr>
        <w:t xml:space="preserve">Figure S2.</w:t>
      </w:r>
      <w:r>
        <w:t xml:space="preserve"> </w:t>
      </w:r>
      <w:r>
        <w:t xml:space="preserve">TCGA-OV graph by component, with LCK exposure neighbourhood on the left and the complete separated outcome-proxy pool on the right.</w:t>
      </w:r>
    </w:p>
    <w:p>
      <w:pPr>
        <w:pStyle w:val="BodyText"/>
      </w:pPr>
      <w:r>
        <w:rPr>
          <w:b/>
          <w:bCs/>
        </w:rPr>
        <w:t xml:space="preserve">Figure S3.</w:t>
      </w:r>
      <w:r>
        <w:t xml:space="preserve"> </w:t>
      </w:r>
      <w:r>
        <w:t xml:space="preserve">Fresh conditional-design and joint-quality fit availability across the seven systems, each with 200 attempted datasets. This figure concerns fixed-design reference inference; complete construction appears in Table S7.</w:t>
      </w:r>
    </w:p>
    <w:p>
      <w:pPr>
        <w:pStyle w:val="BodyText"/>
      </w:pPr>
      <w:r>
        <w:rPr>
          <w:b/>
          <w:bCs/>
        </w:rPr>
        <w:t xml:space="preserve">Figure S4.</w:t>
      </w:r>
      <w:r>
        <w:t xml:space="preserve"> </w:t>
      </w:r>
      <w:r>
        <w:t xml:space="preserve">Full construction completion for eight OV and 17 LUAD selected designs, with 300 attempted reconstructions per exposure. Wilson intervals quantify Monte Carlo uncertainty of the completion proportion.</w:t>
      </w:r>
    </w:p>
    <w:p>
      <w:pPr>
        <w:pStyle w:val="BodyText"/>
      </w:pPr>
      <w:r>
        <w:rPr>
          <w:b/>
          <w:bCs/>
        </w:rPr>
        <w:t xml:space="preserve">Figure S5.</w:t>
      </w:r>
      <w:r>
        <w:t xml:space="preserve"> </w:t>
      </w:r>
      <w:r>
        <w:t xml:space="preserve">The 58 completed point estimates across ten TCGA cohorts, including 24 ovarian estimates. Cohort labels give completed counts out of 60; open triangles mark off-range coefficients.</w:t>
      </w:r>
    </w:p>
    <w:p>
      <w:pPr>
        <w:pStyle w:val="BodyText"/>
      </w:pPr>
      <w:r>
        <w:rPr>
          <w:b/>
          <w:bCs/>
        </w:rPr>
        <w:t xml:space="preserve">Figure S6.</w:t>
      </w:r>
      <w:r>
        <w:t xml:space="preserve"> </w:t>
      </w:r>
      <w:r>
        <w:t xml:space="preserve">Full-cohort proxy-information screen across ten cohorts. Labels and marker areas give eligible exposure counts, and strength describes reduced readouts across the eight candidate designs. Orange identifies the original OV and LUAD cohorts. Independent estimates are reported separately in Table S1.</w:t>
      </w:r>
    </w:p>
    <w:p>
      <w:pPr>
        <w:pStyle w:val="BodyText"/>
      </w:pPr>
      <w:r>
        <w:t xml:space="preserve">Figures 1–7 and S1–S6 are supplied as separate vector PDF files. Main text labels use 8 pt or larger type at the 175 mm canvas; dense supplementary network labels use smaller type.</w:t>
      </w:r>
    </w:p>
    <w:p>
      <w:r>
        <w:br w:type="page"/>
      </w:r>
    </w:p>
    <w:bookmarkEnd w:id="60"/>
    <w:bookmarkStart w:id="61" w:name="tables"/>
    <w:p>
      <w:pPr>
        <w:pStyle w:val="Heading1"/>
      </w:pPr>
      <w:r>
        <w:t xml:space="preserve">Tables</w:t>
      </w:r>
    </w:p>
    <w:p>
      <w:pPr>
        <w:pStyle w:val="FirstParagraph"/>
        <w:keepNext/>
      </w:pPr>
      <w:r>
        <w:rPr>
          <w:b/>
          <w:bCs/>
        </w:rPr>
        <w:t xml:space="preserve">Table 1.</w:t>
      </w:r>
      <w:r>
        <w:t xml:space="preserve"> </w:t>
      </w:r>
      <w:r>
        <w:t xml:space="preserve">Components of network-guided proximal identification.</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2256"/>
        <w:gridCol w:w="3610"/>
        <w:gridCol w:w="3160"/>
      </w:tblGrid>
      <w:tr>
        <w:trPr>
          <w:tblHeader w:val="on"/>
          <w:tblHeader/>
          <w:cantSplit/>
        </w:trPr>
        <w:tc>
          <w:tcPr>
            <w:tcW w:type="dxa" w:w="2256"/>
            <w:vAlign w:val="center"/>
            <w:shd w:fill="F2F2F2"/>
          </w:tcPr>
          <w:p>
            <w:pPr>
              <w:pStyle w:val="Compact"/>
              <w:keepNext/>
              <w:spacing w:before="0" w:after="0" w:line="240" w:lineRule="auto"/>
              <w:jc w:val="left"/>
            </w:pPr>
            <w:r>
              <w:rPr>
                <w:rFonts w:ascii="Times New Roman" w:hAnsi="Times New Roman"/>
                <w:color w:val="000000"/>
                <w:sz w:val="22"/>
              </w:rPr>
              <w:t xml:space="preserve">Component</w:t>
            </w:r>
          </w:p>
        </w:tc>
        <w:tc>
          <w:tcPr>
            <w:tcW w:type="dxa" w:w="3610"/>
            <w:vAlign w:val="center"/>
            <w:shd w:fill="F2F2F2"/>
          </w:tcPr>
          <w:p>
            <w:pPr>
              <w:pStyle w:val="Compact"/>
              <w:keepNext/>
              <w:spacing w:before="0" w:after="0" w:line="240" w:lineRule="auto"/>
              <w:jc w:val="left"/>
            </w:pPr>
            <w:r>
              <w:rPr>
                <w:rFonts w:ascii="Times New Roman" w:hAnsi="Times New Roman"/>
                <w:color w:val="000000"/>
                <w:sz w:val="22"/>
              </w:rPr>
              <w:t xml:space="preserve">Role</w:t>
            </w:r>
          </w:p>
        </w:tc>
        <w:tc>
          <w:tcPr>
            <w:tcW w:type="dxa" w:w="3160"/>
            <w:vAlign w:val="center"/>
            <w:shd w:fill="F2F2F2"/>
          </w:tcPr>
          <w:p>
            <w:pPr>
              <w:pStyle w:val="Compact"/>
              <w:keepNext/>
              <w:spacing w:before="0" w:after="0" w:line="240" w:lineRule="auto"/>
              <w:jc w:val="left"/>
            </w:pPr>
            <w:r>
              <w:rPr>
                <w:rFonts w:ascii="Times New Roman" w:hAnsi="Times New Roman"/>
                <w:color w:val="000000"/>
                <w:sz w:val="22"/>
              </w:rPr>
              <w:t xml:space="preserve">Mathematical condition</w:t>
            </w:r>
          </w:p>
        </w:tc>
      </w:tr>
      <w:tr>
        <w:trPr>
          <w:cantSplit/>
        </w:trPr>
        <w:tc>
          <w:tcPr>
            <w:tcW w:type="dxa" w:w="2256"/>
            <w:vAlign w:val="center"/>
          </w:tcPr>
          <w:p>
            <w:pPr>
              <w:pStyle w:val="Compact"/>
              <w:keepNext w:val="0"/>
              <w:spacing w:before="0" w:after="0" w:line="240" w:lineRule="auto"/>
              <w:jc w:val="left"/>
            </w:pPr>
            <w:r>
              <w:rPr>
                <w:rFonts w:ascii="Times New Roman" w:hAnsi="Times New Roman"/>
                <w:color w:val="000000"/>
                <w:sz w:val="22"/>
              </w:rPr>
              <w:t xml:space="preserve">Exposure neighbourhood</w:t>
            </w:r>
            <w:r>
              <w:rPr>
                <w:rFonts w:ascii="Times New Roman" w:hAnsi="Times New Roman"/>
                <w:color w:val="000000"/>
                <w:sz w:val="22"/>
              </w:rPr>
              <w:t xml:space="preserve"> </w:t>
            </w:r>
            <m:oMath>
              <m:sSub>
                <m:e>
                  <m:r>
                    <m:t>Z</m:t>
                  </m:r>
                </m:e>
                <m:sub>
                  <m:r>
                    <m:t>A</m:t>
                  </m:r>
                </m:sub>
              </m:sSub>
            </m:oMath>
          </w:p>
        </w:tc>
        <w:tc>
          <w:tcPr>
            <w:tcW w:type="dxa" w:w="3610"/>
            <w:vAlign w:val="center"/>
          </w:tcPr>
          <w:p>
            <w:pPr>
              <w:pStyle w:val="Compact"/>
              <w:keepNext w:val="0"/>
              <w:spacing w:before="0" w:after="0" w:line="240" w:lineRule="auto"/>
              <w:jc w:val="left"/>
            </w:pPr>
            <w:r>
              <w:rPr>
                <w:rFonts w:ascii="Times New Roman" w:hAnsi="Times New Roman"/>
                <w:color w:val="000000"/>
                <w:sz w:val="22"/>
              </w:rPr>
              <w:t xml:space="preserve">Connects exposure variation to the systemic state</w:t>
            </w:r>
          </w:p>
        </w:tc>
        <w:tc>
          <w:tcPr>
            <w:tcW w:type="dxa" w:w="3160"/>
            <w:vAlign w:val="center"/>
          </w:tcPr>
          <w:p>
            <w:pPr>
              <w:pStyle w:val="Compact"/>
              <w:keepNext w:val="0"/>
              <w:spacing w:before="0" w:after="0" w:line="240" w:lineRule="auto"/>
              <w:jc w:val="left"/>
            </w:pPr>
            <w:r>
              <w:rPr>
                <w:rFonts w:ascii="Times New Roman" w:hAnsi="Times New Roman"/>
                <w:color w:val="000000"/>
                <w:sz w:val="22"/>
              </w:rPr>
              <w:t xml:space="preserve">N2;</w:t>
            </w:r>
            <w:r>
              <w:rPr>
                <w:rFonts w:ascii="Times New Roman" w:hAnsi="Times New Roman"/>
                <w:color w:val="000000"/>
                <w:sz w:val="22"/>
              </w:rPr>
              <w:t xml:space="preserve"> </w:t>
            </w:r>
            <m:oMath>
              <m:r>
                <m:rPr>
                  <m:sty m:val="p"/>
                </m:rPr>
                <m:t>rank</m:t>
              </m:r>
              <m:r>
                <m:rPr>
                  <m:sty m:val="p"/>
                </m:rPr>
                <m:t>(</m:t>
              </m:r>
              <m:sSub>
                <m:e>
                  <m:r>
                    <m:t>K</m:t>
                  </m:r>
                </m:e>
                <m:sub>
                  <m:r>
                    <m:t>Z</m:t>
                  </m:r>
                </m:sub>
              </m:sSub>
              <m:r>
                <m:rPr>
                  <m:sty m:val="p"/>
                </m:rPr>
                <m:t>)</m:t>
              </m:r>
              <m:r>
                <m:rPr>
                  <m:sty m:val="p"/>
                </m:rPr>
                <m:t>=</m:t>
              </m:r>
              <m:r>
                <m:t>r</m:t>
              </m:r>
            </m:oMath>
          </w:p>
        </w:tc>
      </w:tr>
      <w:tr>
        <w:trPr>
          <w:cantSplit/>
        </w:trPr>
        <w:tc>
          <w:tcPr>
            <w:tcW w:type="dxa" w:w="2256"/>
            <w:vAlign w:val="center"/>
          </w:tcPr>
          <w:p>
            <w:pPr>
              <w:pStyle w:val="Compact"/>
              <w:keepNext w:val="0"/>
              <w:spacing w:before="0" w:after="0" w:line="240" w:lineRule="auto"/>
              <w:jc w:val="left"/>
            </w:pPr>
            <w:r>
              <w:rPr>
                <w:rFonts w:ascii="Times New Roman" w:hAnsi="Times New Roman"/>
                <w:color w:val="000000"/>
                <w:sz w:val="22"/>
              </w:rPr>
              <w:t xml:space="preserve">Separated components</w:t>
            </w:r>
            <w:r>
              <w:rPr>
                <w:rFonts w:ascii="Times New Roman" w:hAnsi="Times New Roman"/>
                <w:color w:val="000000"/>
                <w:sz w:val="22"/>
              </w:rPr>
              <w:t xml:space="preserve"> </w:t>
            </w:r>
            <m:oMath>
              <m:sSub>
                <m:e>
                  <m:r>
                    <m:t>W</m:t>
                  </m:r>
                </m:e>
                <m:sub>
                  <m:r>
                    <m:t>A</m:t>
                  </m:r>
                </m:sub>
              </m:sSub>
            </m:oMath>
          </w:p>
        </w:tc>
        <w:tc>
          <w:tcPr>
            <w:tcW w:type="dxa" w:w="3610"/>
            <w:vAlign w:val="center"/>
          </w:tcPr>
          <w:p>
            <w:pPr>
              <w:pStyle w:val="Compact"/>
              <w:keepNext w:val="0"/>
              <w:spacing w:before="0" w:after="0" w:line="240" w:lineRule="auto"/>
              <w:jc w:val="left"/>
            </w:pPr>
            <w:r>
              <w:rPr>
                <w:rFonts w:ascii="Times New Roman" w:hAnsi="Times New Roman"/>
                <w:color w:val="000000"/>
                <w:sz w:val="22"/>
              </w:rPr>
              <w:t xml:space="preserve">Measure the pre-intervention systemic state</w:t>
            </w:r>
          </w:p>
        </w:tc>
        <w:tc>
          <w:tcPr>
            <w:tcW w:type="dxa" w:w="3160"/>
            <w:vAlign w:val="center"/>
          </w:tcPr>
          <w:p>
            <w:pPr>
              <w:pStyle w:val="Compact"/>
              <w:keepNext w:val="0"/>
              <w:spacing w:before="0" w:after="0" w:line="240" w:lineRule="auto"/>
              <w:jc w:val="left"/>
            </w:pPr>
            <w:r>
              <w:rPr>
                <w:rFonts w:ascii="Times New Roman" w:hAnsi="Times New Roman"/>
                <w:color w:val="000000"/>
                <w:sz w:val="22"/>
              </w:rPr>
              <w:t xml:space="preserve">N1;</w:t>
            </w:r>
            <w:r>
              <w:rPr>
                <w:rFonts w:ascii="Times New Roman" w:hAnsi="Times New Roman"/>
                <w:color w:val="000000"/>
                <w:sz w:val="22"/>
              </w:rPr>
              <w:t xml:space="preserve"> </w:t>
            </w:r>
            <m:oMath>
              <m:r>
                <m:rPr>
                  <m:sty m:val="p"/>
                </m:rPr>
                <m:t>rank</m:t>
              </m:r>
              <m:r>
                <m:rPr>
                  <m:sty m:val="p"/>
                </m:rPr>
                <m:t>(</m:t>
              </m:r>
              <m:sSub>
                <m:e>
                  <m:r>
                    <m:t>L</m:t>
                  </m:r>
                </m:e>
                <m:sub>
                  <m:r>
                    <m:t>W</m:t>
                  </m:r>
                </m:sub>
              </m:sSub>
              <m:r>
                <m:rPr>
                  <m:sty m:val="p"/>
                </m:rPr>
                <m:t>)</m:t>
              </m:r>
              <m:r>
                <m:rPr>
                  <m:sty m:val="p"/>
                </m:rPr>
                <m:t>=</m:t>
              </m:r>
              <m:r>
                <m:t>r</m:t>
              </m:r>
            </m:oMath>
          </w:p>
        </w:tc>
      </w:tr>
      <w:tr>
        <w:trPr>
          <w:cantSplit/>
        </w:trPr>
        <w:tc>
          <w:tcPr>
            <w:tcW w:type="dxa" w:w="2256"/>
            <w:vAlign w:val="center"/>
          </w:tcPr>
          <w:p>
            <w:pPr>
              <w:pStyle w:val="Compact"/>
              <w:keepNext w:val="0"/>
              <w:spacing w:before="0" w:after="0" w:line="240" w:lineRule="auto"/>
              <w:jc w:val="left"/>
            </w:pPr>
            <w:r>
              <w:rPr>
                <w:rFonts w:ascii="Times New Roman" w:hAnsi="Times New Roman"/>
                <w:color w:val="000000"/>
                <w:sz w:val="22"/>
              </w:rPr>
              <w:t xml:space="preserve">Proxy-information rank</w:t>
            </w:r>
          </w:p>
        </w:tc>
        <w:tc>
          <w:tcPr>
            <w:tcW w:type="dxa" w:w="3610"/>
            <w:vAlign w:val="center"/>
          </w:tcPr>
          <w:p>
            <w:pPr>
              <w:pStyle w:val="Compact"/>
              <w:keepNext w:val="0"/>
              <w:spacing w:before="0" w:after="0" w:line="240" w:lineRule="auto"/>
              <w:jc w:val="left"/>
            </w:pPr>
            <w:r>
              <w:rPr>
                <w:rFonts w:ascii="Times New Roman" w:hAnsi="Times New Roman"/>
                <w:color w:val="000000"/>
                <w:sz w:val="22"/>
              </w:rPr>
              <w:t xml:space="preserve">Determines the bridge dimension</w:t>
            </w:r>
          </w:p>
        </w:tc>
        <w:tc>
          <w:tcPr>
            <w:tcW w:type="dxa" w:w="3160"/>
            <w:vAlign w:val="center"/>
          </w:tcPr>
          <w:p>
            <w:pPr>
              <w:pStyle w:val="Compact"/>
              <w:keepNext w:val="0"/>
              <w:spacing w:before="0" w:after="0" w:line="240" w:lineRule="auto"/>
              <w:jc w:val="left"/>
            </w:pPr>
            <m:oMath>
              <m:r>
                <m:rPr>
                  <m:sty m:val="p"/>
                </m:rPr>
                <m:t>rank</m:t>
              </m:r>
              <m:r>
                <m:rPr>
                  <m:sty m:val="p"/>
                </m:rPr>
                <m:t>{</m:t>
              </m:r>
              <m:r>
                <m:rPr>
                  <m:sty m:val="p"/>
                </m:rPr>
                <m:t>Cov</m:t>
              </m:r>
              <m:r>
                <m:rPr>
                  <m:sty m:val="p"/>
                </m:rPr>
                <m:t>(</m:t>
              </m:r>
              <m:acc>
                <m:accPr>
                  <m:chr m:val="̃"/>
                </m:accPr>
                <m:e>
                  <m:r>
                    <m:t>W</m:t>
                  </m:r>
                </m:e>
              </m:acc>
              <m:r>
                <m:rPr>
                  <m:sty m:val="p"/>
                </m:rPr>
                <m:t>,</m:t>
              </m:r>
              <m:acc>
                <m:accPr>
                  <m:chr m:val="̃"/>
                </m:accPr>
                <m:e>
                  <m:r>
                    <m:t>Z</m:t>
                  </m:r>
                </m:e>
              </m:acc>
              <m:r>
                <m:rPr>
                  <m:sty m:val="p"/>
                </m:rPr>
                <m:t>)</m:t>
              </m:r>
              <m:r>
                <m:rPr>
                  <m:sty m:val="p"/>
                </m:rPr>
                <m:t>}</m:t>
              </m:r>
              <m:r>
                <m:rPr>
                  <m:sty m:val="p"/>
                </m:rPr>
                <m:t>=</m:t>
              </m:r>
              <m:r>
                <m:t>r</m:t>
              </m:r>
            </m:oMath>
          </w:p>
        </w:tc>
      </w:tr>
      <w:tr>
        <w:trPr>
          <w:cantSplit/>
        </w:trPr>
        <w:tc>
          <w:tcPr>
            <w:tcW w:type="dxa" w:w="2256"/>
            <w:vAlign w:val="center"/>
          </w:tcPr>
          <w:p>
            <w:pPr>
              <w:pStyle w:val="Compact"/>
              <w:keepNext w:val="0"/>
              <w:spacing w:before="0" w:after="0" w:line="240" w:lineRule="auto"/>
              <w:jc w:val="left"/>
            </w:pPr>
            <w:r>
              <w:rPr>
                <w:rFonts w:ascii="Times New Roman" w:hAnsi="Times New Roman"/>
                <w:color w:val="000000"/>
                <w:sz w:val="22"/>
              </w:rPr>
              <w:t xml:space="preserve">Outcome bridge</w:t>
            </w:r>
          </w:p>
        </w:tc>
        <w:tc>
          <w:tcPr>
            <w:tcW w:type="dxa" w:w="3610"/>
            <w:vAlign w:val="center"/>
          </w:tcPr>
          <w:p>
            <w:pPr>
              <w:pStyle w:val="Compact"/>
              <w:keepNext w:val="0"/>
              <w:spacing w:before="0" w:after="0" w:line="240" w:lineRule="auto"/>
              <w:jc w:val="left"/>
            </w:pPr>
            <w:r>
              <w:rPr>
                <w:rFonts w:ascii="Times New Roman" w:hAnsi="Times New Roman"/>
                <w:color w:val="000000"/>
                <w:sz w:val="22"/>
              </w:rPr>
              <w:t xml:space="preserve">Transfers proxy information to the clinical mean</w:t>
            </w:r>
          </w:p>
        </w:tc>
        <w:tc>
          <w:tcPr>
            <w:tcW w:type="dxa" w:w="3160"/>
            <w:vAlign w:val="center"/>
          </w:tcPr>
          <w:p>
            <w:pPr>
              <w:pStyle w:val="Compact"/>
              <w:keepNext w:val="0"/>
              <w:spacing w:before="0" w:after="0" w:line="240" w:lineRule="auto"/>
              <w:jc w:val="left"/>
            </w:pPr>
            <m:oMath>
              <m:sSubSup>
                <m:e>
                  <m:r>
                    <m:t>L</m:t>
                  </m:r>
                </m:e>
                <m:sub>
                  <m:r>
                    <m:t>W</m:t>
                  </m:r>
                </m:sub>
                <m:sup>
                  <m:r>
                    <m:rPr>
                      <m:sty m:val="p"/>
                    </m:rPr>
                    <m:t>⊤</m:t>
                  </m:r>
                </m:sup>
              </m:sSubSup>
              <m:sSub>
                <m:e>
                  <m:r>
                    <m:t>η</m:t>
                  </m:r>
                </m:e>
                <m:sub>
                  <m:r>
                    <m:t>W</m:t>
                  </m:r>
                </m:sub>
              </m:sSub>
              <m:r>
                <m:rPr>
                  <m:sty m:val="p"/>
                </m:rPr>
                <m:t>=</m:t>
              </m:r>
              <m:r>
                <m:t>b</m:t>
              </m:r>
            </m:oMath>
          </w:p>
        </w:tc>
      </w:tr>
      <w:tr>
        <w:trPr>
          <w:cantSplit/>
        </w:trPr>
        <w:tc>
          <w:tcPr>
            <w:tcW w:type="dxa" w:w="2256"/>
            <w:vAlign w:val="center"/>
          </w:tcPr>
          <w:p>
            <w:pPr>
              <w:pStyle w:val="Compact"/>
              <w:keepNext w:val="0"/>
              <w:spacing w:before="0" w:after="0" w:line="240" w:lineRule="auto"/>
              <w:jc w:val="left"/>
            </w:pPr>
            <w:r>
              <w:rPr>
                <w:rFonts w:ascii="Times New Roman" w:hAnsi="Times New Roman"/>
                <w:color w:val="000000"/>
                <w:sz w:val="22"/>
              </w:rPr>
              <w:t xml:space="preserve">Exposure coefficient</w:t>
            </w:r>
          </w:p>
        </w:tc>
        <w:tc>
          <w:tcPr>
            <w:tcW w:type="dxa" w:w="3610"/>
            <w:vAlign w:val="center"/>
          </w:tcPr>
          <w:p>
            <w:pPr>
              <w:pStyle w:val="Compact"/>
              <w:keepNext w:val="0"/>
              <w:spacing w:before="0" w:after="0" w:line="240" w:lineRule="auto"/>
              <w:jc w:val="left"/>
            </w:pPr>
            <w:r>
              <w:rPr>
                <w:rFonts w:ascii="Times New Roman" w:hAnsi="Times New Roman"/>
                <w:color w:val="000000"/>
                <w:sz w:val="22"/>
              </w:rPr>
              <w:t xml:space="preserve">Gives the total intervention contrast</w:t>
            </w:r>
          </w:p>
        </w:tc>
        <w:tc>
          <w:tcPr>
            <w:tcW w:type="dxa" w:w="3160"/>
            <w:vAlign w:val="center"/>
          </w:tcPr>
          <w:p>
            <w:pPr>
              <w:pStyle w:val="Compact"/>
              <w:keepNext w:val="0"/>
              <w:spacing w:before="0" w:after="0" w:line="240" w:lineRule="auto"/>
              <w:jc w:val="left"/>
            </w:pPr>
            <m:oMath>
              <m:sSub>
                <m:e>
                  <m:r>
                    <m:t>η</m:t>
                  </m:r>
                </m:e>
                <m:sub>
                  <m:r>
                    <m:t>A</m:t>
                  </m:r>
                </m:sub>
              </m:sSub>
              <m:r>
                <m:rPr>
                  <m:sty m:val="p"/>
                </m:rPr>
                <m:t>=</m:t>
              </m:r>
              <m:sSub>
                <m:e>
                  <m:r>
                    <m:t>τ</m:t>
                  </m:r>
                </m:e>
                <m:sub>
                  <m:r>
                    <m:t>A</m:t>
                  </m:r>
                </m:sub>
              </m:sSub>
            </m:oMath>
          </w:p>
        </w:tc>
      </w:tr>
    </w:tbl>
    <w:p>
      <w:r>
        <w:br w:type="page"/>
      </w:r>
    </w:p>
    <w:p>
      <w:pPr>
        <w:pStyle w:val="BodyText"/>
        <w:keepNext/>
      </w:pPr>
      <w:r>
        <w:rPr>
          <w:b/>
          <w:bCs/>
        </w:rPr>
        <w:t xml:space="preserve">Table 2.</w:t>
      </w:r>
      <w:r>
        <w:t xml:space="preserve"> </w:t>
      </w:r>
      <w:r>
        <w:t xml:space="preserve">Joint-quality representation estimator in seven systems. Accuracy entries are estimate (MCSE); rank accuracy uses reported designs.</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1247"/>
        <w:gridCol w:w="660"/>
        <w:gridCol w:w="953"/>
        <w:gridCol w:w="1541"/>
        <w:gridCol w:w="1541"/>
        <w:gridCol w:w="1541"/>
        <w:gridCol w:w="1543"/>
      </w:tblGrid>
      <w:tr>
        <w:trPr>
          <w:tblHeader w:val="on"/>
          <w:tblHeader/>
          <w:cantSplit/>
        </w:trPr>
        <w:tc>
          <w:tcPr>
            <w:tcW w:type="dxa" w:w="1247"/>
            <w:vAlign w:val="center"/>
            <w:shd w:fill="F2F2F2"/>
          </w:tcPr>
          <w:p>
            <w:pPr>
              <w:pStyle w:val="Compact"/>
              <w:keepNext/>
              <w:spacing w:before="0" w:after="0" w:line="240" w:lineRule="auto"/>
              <w:jc w:val="left"/>
            </w:pPr>
            <w:r>
              <w:rPr>
                <w:rFonts w:ascii="Times New Roman" w:hAnsi="Times New Roman"/>
                <w:color w:val="000000"/>
                <w:sz w:val="22"/>
              </w:rPr>
              <w:t xml:space="preserve">Outcome</w:t>
            </w:r>
          </w:p>
        </w:tc>
        <w:tc>
          <w:tcPr>
            <w:tcW w:type="dxa" w:w="660"/>
            <w:vAlign w:val="center"/>
            <w:shd w:fill="F2F2F2"/>
          </w:tcPr>
          <w:p>
            <w:pPr>
              <w:pStyle w:val="Compact"/>
              <w:keepNext/>
              <w:spacing w:before="0" w:after="0" w:line="240" w:lineRule="auto"/>
              <w:jc w:val="center"/>
            </w:pPr>
            <w:r>
              <w:rPr>
                <w:rFonts w:ascii="Times New Roman" w:hAnsi="Times New Roman"/>
                <w:color w:val="000000"/>
                <w:sz w:val="22"/>
              </w:rPr>
              <w:t xml:space="preserve">System</w:t>
            </w:r>
          </w:p>
        </w:tc>
        <w:tc>
          <w:tcPr>
            <w:tcW w:type="dxa" w:w="953"/>
            <w:vAlign w:val="center"/>
            <w:shd w:fill="F2F2F2"/>
          </w:tcPr>
          <w:p>
            <w:pPr>
              <w:pStyle w:val="Compact"/>
              <w:keepNext/>
              <w:spacing w:before="0" w:after="0" w:line="240" w:lineRule="auto"/>
              <w:jc w:val="center"/>
            </w:pPr>
            <w:r>
              <w:rPr>
                <w:rFonts w:ascii="Times New Roman" w:hAnsi="Times New Roman"/>
                <w:color w:val="000000"/>
                <w:sz w:val="22"/>
              </w:rPr>
              <w:t xml:space="preserve">Reported</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Bias</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RMSE</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Coverage</w:t>
            </w:r>
          </w:p>
        </w:tc>
        <w:tc>
          <w:tcPr>
            <w:tcW w:type="dxa" w:w="1543"/>
            <w:vAlign w:val="center"/>
            <w:shd w:fill="F2F2F2"/>
          </w:tcPr>
          <w:p>
            <w:pPr>
              <w:pStyle w:val="Compact"/>
              <w:keepNext/>
              <w:spacing w:before="0" w:after="0" w:line="240" w:lineRule="auto"/>
              <w:jc w:val="center"/>
            </w:pPr>
            <w:r>
              <w:rPr>
                <w:rFonts w:ascii="Times New Roman" w:hAnsi="Times New Roman"/>
                <w:color w:val="000000"/>
                <w:sz w:val="22"/>
              </w:rPr>
              <w:t xml:space="preserve">Correct rank (%)</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0.008 (0.006)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0.087 (0.006)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0.935 (0.017)</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95.0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-0.006 (0.006)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0.079 (0.004)</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0.950 (0.015)</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92.5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-0.001 (0.003)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0.049 (0.003)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0.965 (0.013)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97.5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0.013 (0.012)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0.164 (0.010)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0.965 (0.013)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95.5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0.012 (0.006)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0.081 (0.010)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94.0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0.004 (0.008)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0.112 (0.008)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96.0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0.012 (0.009)</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0.121 (0.009)</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83.5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-0.027 (0.056)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0.787 (0.041)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0.930 (0.018)</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95.0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-0.075 (0.034)</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0.481 (0.023)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92.5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0.002 (0.036)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0.512 (0.028)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0.925 (0.019)</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97.5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0.100 (0.096)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1.356 (0.079)</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0.965 (0.013)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95.5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0.009 (0.039)</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0.545 (0.028)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94.0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0.004 (0.047)</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0.665 (0.030)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96.0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-0.015 (0.060)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0.840 (0.043)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0.970 (0.012)</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83.5</w:t>
            </w:r>
          </w:p>
        </w:tc>
      </w:tr>
    </w:tbl>
    <w:p>
      <w:r>
        <w:br w:type="page"/>
      </w:r>
    </w:p>
    <w:p>
      <w:pPr>
        <w:pStyle w:val="BodyText"/>
        <w:keepNext/>
      </w:pPr>
      <w:r>
        <w:rPr>
          <w:b/>
          <w:bCs/>
        </w:rPr>
        <w:t xml:space="preserve">Table 3.</w:t>
      </w:r>
      <w:r>
        <w:t xml:space="preserve"> </w:t>
      </w:r>
      <w:r>
        <w:t xml:space="preserve">Paired linear-effect comparisons in the modular, weak-direction and 60-protein two-factor systems. Full comparisons with MCSEs appear in Tables S2–S3.</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617"/>
        <w:gridCol w:w="2545"/>
        <w:gridCol w:w="1002"/>
        <w:gridCol w:w="1620"/>
        <w:gridCol w:w="1620"/>
        <w:gridCol w:w="1622"/>
      </w:tblGrid>
      <w:tr>
        <w:trPr>
          <w:tblHeader w:val="on"/>
          <w:tblHeader/>
          <w:cantSplit/>
        </w:trPr>
        <w:tc>
          <w:tcPr>
            <w:tcW w:type="dxa" w:w="617"/>
            <w:vAlign w:val="center"/>
            <w:shd w:fill="F2F2F2"/>
          </w:tcPr>
          <w:p>
            <w:pPr>
              <w:pStyle w:val="Compact"/>
              <w:keepNext/>
              <w:spacing w:before="0" w:after="0" w:line="240" w:lineRule="auto"/>
              <w:jc w:val="left"/>
            </w:pPr>
            <w:r>
              <w:rPr>
                <w:rFonts w:ascii="Times New Roman" w:hAnsi="Times New Roman"/>
                <w:color w:val="000000"/>
                <w:sz w:val="22"/>
              </w:rPr>
              <w:t xml:space="preserve">System</w:t>
            </w:r>
          </w:p>
        </w:tc>
        <w:tc>
          <w:tcPr>
            <w:tcW w:type="dxa" w:w="2545"/>
            <w:vAlign w:val="center"/>
            <w:shd w:fill="F2F2F2"/>
          </w:tcPr>
          <w:p>
            <w:pPr>
              <w:pStyle w:val="Compact"/>
              <w:keepNext/>
              <w:spacing w:before="0" w:after="0" w:line="240" w:lineRule="auto"/>
              <w:jc w:val="center"/>
            </w:pPr>
            <w:r>
              <w:rPr>
                <w:rFonts w:ascii="Times New Roman" w:hAnsi="Times New Roman"/>
                <w:color w:val="000000"/>
                <w:sz w:val="22"/>
              </w:rPr>
              <w:t xml:space="preserve">Estimator</w:t>
            </w:r>
          </w:p>
        </w:tc>
        <w:tc>
          <w:tcPr>
            <w:tcW w:type="dxa" w:w="1002"/>
            <w:vAlign w:val="center"/>
            <w:shd w:fill="F2F2F2"/>
          </w:tcPr>
          <w:p>
            <w:pPr>
              <w:pStyle w:val="Compact"/>
              <w:keepNext/>
              <w:spacing w:before="0" w:after="0" w:line="240" w:lineRule="auto"/>
              <w:jc w:val="center"/>
            </w:pPr>
            <w:r>
              <w:rPr>
                <w:rFonts w:ascii="Times New Roman" w:hAnsi="Times New Roman"/>
                <w:color w:val="000000"/>
                <w:sz w:val="22"/>
              </w:rPr>
              <w:t xml:space="preserve">Reported</w:t>
            </w:r>
          </w:p>
        </w:tc>
        <w:tc>
          <w:tcPr>
            <w:tcW w:type="dxa" w:w="1620"/>
            <w:vAlign w:val="center"/>
            <w:shd w:fill="F2F2F2"/>
          </w:tcPr>
          <w:p>
            <w:pPr>
              <w:pStyle w:val="Compact"/>
              <w:keepNext/>
              <w:spacing w:before="0" w:after="0" w:line="240" w:lineRule="auto"/>
              <w:jc w:val="center"/>
            </w:pPr>
            <w:r>
              <w:rPr>
                <w:rFonts w:ascii="Times New Roman" w:hAnsi="Times New Roman"/>
                <w:color w:val="000000"/>
                <w:sz w:val="22"/>
              </w:rPr>
              <w:t xml:space="preserve">Bias</w:t>
            </w:r>
          </w:p>
        </w:tc>
        <w:tc>
          <w:tcPr>
            <w:tcW w:type="dxa" w:w="1620"/>
            <w:vAlign w:val="center"/>
            <w:shd w:fill="F2F2F2"/>
          </w:tcPr>
          <w:p>
            <w:pPr>
              <w:pStyle w:val="Compact"/>
              <w:keepNext/>
              <w:spacing w:before="0" w:after="0" w:line="240" w:lineRule="auto"/>
              <w:jc w:val="center"/>
            </w:pPr>
            <w:r>
              <w:rPr>
                <w:rFonts w:ascii="Times New Roman" w:hAnsi="Times New Roman"/>
                <w:color w:val="000000"/>
                <w:sz w:val="22"/>
              </w:rPr>
              <w:t xml:space="preserve">RMSE</w:t>
            </w:r>
          </w:p>
        </w:tc>
        <w:tc>
          <w:tcPr>
            <w:tcW w:type="dxa" w:w="1622"/>
            <w:vAlign w:val="center"/>
            <w:shd w:fill="F2F2F2"/>
          </w:tcPr>
          <w:p>
            <w:pPr>
              <w:pStyle w:val="Compact"/>
              <w:keepNext/>
              <w:spacing w:before="0" w:after="0" w:line="240" w:lineRule="auto"/>
              <w:jc w:val="center"/>
            </w:pPr>
            <w:r>
              <w:rPr>
                <w:rFonts w:ascii="Times New Roman" w:hAnsi="Times New Roman"/>
                <w:color w:val="000000"/>
                <w:sz w:val="22"/>
              </w:rPr>
              <w:t xml:space="preserve">Coverage</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-0.001</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0.049</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0.965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0.002</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0.049</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0.965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0.007</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0.064</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0.960</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191/200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0.107</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0.195</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0.869</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0.118</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0.184</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0.845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0.052</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0.955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0.001</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0.052</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0.955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0.547</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0.550</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0.000</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-0.669</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0.672</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0.000</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-0.003</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0.050</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0.945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0.013</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0.164</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0.965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0.203</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0.249</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0.625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0.013</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0.163</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0.965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0.512</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0.516</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0.000</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0.014</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0.182</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0.950</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0.078</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0.170</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0.915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0.511</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0.515</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0.000</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-1.264</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1.291</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0.045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-0.007</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0.057</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0.935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0.012</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0.121</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0.955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0.038</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0.116</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0.940</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0.043</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0.163</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0.914</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173/200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0.140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0.307</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0.792</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0.509</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0.519</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0.025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-0.009</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0.094</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0.955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-0.007</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0.093</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0.950</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0.513</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0.523</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0.005</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0.052</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0.752</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0.920</w:t>
            </w:r>
          </w:p>
        </w:tc>
      </w:tr>
      <w:tr>
        <w:trPr>
          <w:cantSplit/>
        </w:trPr>
        <w:tc>
          <w:tcPr>
            <w:tcW w:type="dxa" w:w="617"/>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545"/>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1002"/>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-0.008</w:t>
            </w:r>
          </w:p>
        </w:tc>
        <w:tc>
          <w:tcPr>
            <w:tcW w:type="dxa" w:w="1620"/>
            <w:vAlign w:val="center"/>
          </w:tcPr>
          <w:p>
            <w:pPr>
              <w:pStyle w:val="Compact"/>
              <w:keepNext w:val="0"/>
              <w:spacing w:before="0" w:after="0" w:line="240" w:lineRule="auto"/>
              <w:jc w:val="center"/>
            </w:pPr>
            <w:r>
              <w:rPr>
                <w:rFonts w:ascii="Times New Roman" w:hAnsi="Times New Roman"/>
                <w:color w:val="000000"/>
                <w:sz w:val="22"/>
              </w:rPr>
              <w:t xml:space="preserve">0.086</w:t>
            </w:r>
          </w:p>
        </w:tc>
        <w:tc>
          <w:tcPr>
            <w:tcW w:type="dxa" w:w="1622"/>
            <w:vAlign w:val="center"/>
          </w:tcPr>
          <w:p>
            <w:pPr>
              <w:pStyle w:val="Compact"/>
              <w:keepNext w:val="0"/>
              <w:spacing w:before="0" w:after="0" w:line="240" w:lineRule="auto"/>
              <w:jc w:val="center"/>
            </w:pPr>
            <w:r>
              <w:rPr>
                <w:rFonts w:ascii="Times New Roman" w:hAnsi="Times New Roman"/>
                <w:color w:val="000000"/>
                <w:sz w:val="22"/>
              </w:rPr>
              <w:t xml:space="preserve">0.940</w:t>
            </w:r>
          </w:p>
        </w:tc>
      </w:tr>
    </w:tbl>
    <w:p>
      <w:r>
        <w:br w:type="page"/>
      </w:r>
    </w:p>
    <w:p>
      <w:pPr>
        <w:pStyle w:val="BodyText"/>
        <w:keepNext/>
      </w:pPr>
      <w:r>
        <w:rPr>
          <w:b/>
          <w:bCs/>
        </w:rPr>
        <w:t xml:space="preserve">Table 4.</w:t>
      </w:r>
      <w:r>
        <w:t xml:space="preserve"> </w:t>
      </w:r>
      <w:r>
        <w:t xml:space="preserve">Independent discovery and estimation. Parentheses give Monte Carlo standard errors. Rank accuracy and effect errors use point fits; set coverage and bounded sets use all 200 attempts.</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1065"/>
        <w:gridCol w:w="564"/>
        <w:gridCol w:w="814"/>
        <w:gridCol w:w="1316"/>
        <w:gridCol w:w="1316"/>
        <w:gridCol w:w="1316"/>
        <w:gridCol w:w="1316"/>
        <w:gridCol w:w="1319"/>
      </w:tblGrid>
      <w:tr>
        <w:trPr>
          <w:tblHeader w:val="on"/>
          <w:tblHeader/>
          <w:cantSplit/>
        </w:trPr>
        <w:tc>
          <w:tcPr>
            <w:tcW w:type="dxa" w:w="1065"/>
            <w:vAlign w:val="center"/>
            <w:shd w:fill="F2F2F2"/>
          </w:tcPr>
          <w:p>
            <w:pPr>
              <w:pStyle w:val="Compact"/>
              <w:keepNext/>
              <w:spacing w:before="0" w:after="0" w:line="240" w:lineRule="auto"/>
              <w:jc w:val="left"/>
            </w:pPr>
            <w:r>
              <w:rPr>
                <w:rFonts w:ascii="Times New Roman" w:hAnsi="Times New Roman"/>
                <w:color w:val="000000"/>
                <w:sz w:val="22"/>
              </w:rPr>
              <w:t xml:space="preserve">Target</w:t>
            </w:r>
          </w:p>
        </w:tc>
        <w:tc>
          <w:tcPr>
            <w:tcW w:type="dxa" w:w="564"/>
            <w:vAlign w:val="center"/>
            <w:shd w:fill="F2F2F2"/>
          </w:tcPr>
          <w:p>
            <w:pPr>
              <w:pStyle w:val="Compact"/>
              <w:keepNext/>
              <w:spacing w:before="0" w:after="0" w:line="240" w:lineRule="auto"/>
              <w:jc w:val="center"/>
            </w:pPr>
            <w:r>
              <w:rPr>
                <w:rFonts w:ascii="Times New Roman" w:hAnsi="Times New Roman"/>
                <w:color w:val="000000"/>
                <w:sz w:val="22"/>
              </w:rPr>
              <w:t xml:space="preserve">System</w:t>
            </w:r>
          </w:p>
        </w:tc>
        <w:tc>
          <w:tcPr>
            <w:tcW w:type="dxa" w:w="814"/>
            <w:vAlign w:val="center"/>
            <w:shd w:fill="F2F2F2"/>
          </w:tcPr>
          <w:p>
            <w:pPr>
              <w:pStyle w:val="Compact"/>
              <w:keepNext/>
              <w:spacing w:before="0" w:after="0" w:line="240" w:lineRule="auto"/>
              <w:jc w:val="center"/>
            </w:pPr>
            <w:r>
              <w:rPr>
                <w:rFonts w:ascii="Times New Roman" w:hAnsi="Times New Roman"/>
                <w:color w:val="000000"/>
                <w:sz w:val="22"/>
              </w:rPr>
              <w:t xml:space="preserve">Point fits</w:t>
            </w:r>
          </w:p>
        </w:tc>
        <w:tc>
          <w:tcPr>
            <w:tcW w:type="dxa" w:w="1316"/>
            <w:vAlign w:val="center"/>
            <w:shd w:fill="F2F2F2"/>
          </w:tcPr>
          <w:p>
            <w:pPr>
              <w:pStyle w:val="Compact"/>
              <w:keepNext/>
              <w:spacing w:before="0" w:after="0" w:line="240" w:lineRule="auto"/>
              <w:jc w:val="center"/>
            </w:pPr>
            <w:r>
              <w:rPr>
                <w:rFonts w:ascii="Times New Roman" w:hAnsi="Times New Roman"/>
                <w:color w:val="000000"/>
                <w:sz w:val="22"/>
              </w:rPr>
              <w:t xml:space="preserve">Correct rank</w:t>
            </w:r>
          </w:p>
        </w:tc>
        <w:tc>
          <w:tcPr>
            <w:tcW w:type="dxa" w:w="1316"/>
            <w:vAlign w:val="center"/>
            <w:shd w:fill="F2F2F2"/>
          </w:tcPr>
          <w:p>
            <w:pPr>
              <w:pStyle w:val="Compact"/>
              <w:keepNext/>
              <w:spacing w:before="0" w:after="0" w:line="240" w:lineRule="auto"/>
              <w:jc w:val="center"/>
            </w:pPr>
            <w:r>
              <w:rPr>
                <w:rFonts w:ascii="Times New Roman" w:hAnsi="Times New Roman"/>
                <w:color w:val="000000"/>
                <w:sz w:val="22"/>
              </w:rPr>
              <w:t xml:space="preserve">Bias (MCSE)</w:t>
            </w:r>
          </w:p>
        </w:tc>
        <w:tc>
          <w:tcPr>
            <w:tcW w:type="dxa" w:w="1316"/>
            <w:vAlign w:val="center"/>
            <w:shd w:fill="F2F2F2"/>
          </w:tcPr>
          <w:p>
            <w:pPr>
              <w:pStyle w:val="Compact"/>
              <w:keepNext/>
              <w:spacing w:before="0" w:after="0" w:line="240" w:lineRule="auto"/>
              <w:jc w:val="center"/>
            </w:pPr>
            <w:r>
              <w:rPr>
                <w:rFonts w:ascii="Times New Roman" w:hAnsi="Times New Roman"/>
                <w:color w:val="000000"/>
                <w:sz w:val="22"/>
              </w:rPr>
              <w:t xml:space="preserve">RMSE (MCSE)</w:t>
            </w:r>
          </w:p>
        </w:tc>
        <w:tc>
          <w:tcPr>
            <w:tcW w:type="dxa" w:w="1316"/>
            <w:vAlign w:val="center"/>
            <w:shd w:fill="F2F2F2"/>
          </w:tcPr>
          <w:p>
            <w:pPr>
              <w:pStyle w:val="Compact"/>
              <w:keepNext/>
              <w:spacing w:before="0" w:after="0" w:line="240" w:lineRule="auto"/>
              <w:jc w:val="center"/>
            </w:pPr>
            <w:r>
              <w:rPr>
                <w:rFonts w:ascii="Times New Roman" w:hAnsi="Times New Roman"/>
                <w:color w:val="000000"/>
                <w:sz w:val="22"/>
              </w:rPr>
              <w:t xml:space="preserve">Set coverage</w:t>
            </w:r>
          </w:p>
        </w:tc>
        <w:tc>
          <w:tcPr>
            <w:tcW w:type="dxa" w:w="1319"/>
            <w:vAlign w:val="center"/>
            <w:shd w:fill="F2F2F2"/>
          </w:tcPr>
          <w:p>
            <w:pPr>
              <w:pStyle w:val="Compact"/>
              <w:keepNext/>
              <w:spacing w:before="0" w:after="0" w:line="240" w:lineRule="auto"/>
              <w:jc w:val="center"/>
            </w:pPr>
            <w:r>
              <w:rPr>
                <w:rFonts w:ascii="Times New Roman" w:hAnsi="Times New Roman"/>
                <w:color w:val="000000"/>
                <w:sz w:val="22"/>
              </w:rPr>
              <w:t xml:space="preserve">Bounded sets</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0.920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0.023 (0.012)</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0.169 (0.008)</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0.985 (0.009)</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135/200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0.960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-0.012 (0.011)</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0.153 (0.007)</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0.990 (0.007)</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190/200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0.959</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0.001 (0.008)</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0.112 (0.005)</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0.950 (0.015)</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187/200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136/200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0.949</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0.074 (0.030)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0.353 (0.036)</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0.965 (0.013)</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21/200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0.955</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0.001 (0.010)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0.142 (0.008)</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0.970 (0.012)</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186/200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0.905</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0.022 (0.017)</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0.239 (0.023)</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0.995 (0.005)</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141/200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194/200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0.840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-0.022 (0.018)</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0.256 (0.024)</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0.995 (0.005)</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142/200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0.920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-0.003 (0.112)</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1.580 (0.070)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0.990 (0.007)</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133/200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0.960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0.082 (0.068)</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0.956 (0.047)</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0.970 (0.012)</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190/200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0.959</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-0.034 (0.075)</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1.057 (0.049)</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188/200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136/200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0.949</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0.277 (0.225)</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2.634 (0.291)</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0.995 (0.005)</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21/200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0.955</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-0.044 (0.070)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0.994 (0.049)</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0.980 (0.010)</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189/200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0.905</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0.092 (0.121)</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1.704 (0.139)</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0.985 (0.009)</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140/200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194/200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0.840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0.117 (0.131)</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1.829 (0.096)</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0.990 (0.007)</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142/200</w:t>
            </w:r>
          </w:p>
        </w:tc>
      </w:tr>
    </w:tbl>
    <w:p>
      <w:r>
        <w:br w:type="page"/>
      </w:r>
    </w:p>
    <w:p>
      <w:pPr>
        <w:pStyle w:val="BodyText"/>
        <w:keepNext/>
      </w:pPr>
      <w:r>
        <w:rPr>
          <w:b/>
          <w:bCs/>
        </w:rPr>
        <w:t xml:space="preserve">Table 5.</w:t>
      </w:r>
      <w:r>
        <w:t xml:space="preserve"> </w:t>
      </w:r>
      <w:r>
        <w:t xml:space="preserve">Three ovarian protein analyses per discovery-cohort standard deviation. Entries give the point estimate followed by its 95% confidence set; survival contrasts are in percentage points. Rank is the discovery-selected readout dimension, and treatment proxies are the selected molecular neighbours.</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1180"/>
        <w:gridCol w:w="2024"/>
        <w:gridCol w:w="590"/>
        <w:gridCol w:w="2615"/>
        <w:gridCol w:w="2617"/>
      </w:tblGrid>
      <w:tr>
        <w:trPr>
          <w:tblHeader w:val="on"/>
          <w:tblHeader/>
          <w:cantSplit/>
        </w:trPr>
        <w:tc>
          <w:tcPr>
            <w:tcW w:type="dxa" w:w="1180"/>
            <w:vAlign w:val="center"/>
            <w:shd w:fill="F2F2F2"/>
          </w:tcPr>
          <w:p>
            <w:pPr>
              <w:pStyle w:val="Compact"/>
              <w:keepNext/>
              <w:spacing w:before="0" w:after="0" w:line="240" w:lineRule="auto"/>
              <w:jc w:val="left"/>
            </w:pPr>
            <w:r>
              <w:rPr>
                <w:rFonts w:ascii="Times New Roman" w:hAnsi="Times New Roman"/>
                <w:color w:val="000000"/>
                <w:sz w:val="22"/>
              </w:rPr>
              <w:t xml:space="preserve">Protein</w:t>
            </w:r>
          </w:p>
        </w:tc>
        <w:tc>
          <w:tcPr>
            <w:tcW w:type="dxa" w:w="2024"/>
            <w:vAlign w:val="center"/>
            <w:shd w:fill="F2F2F2"/>
          </w:tcPr>
          <w:p>
            <w:pPr>
              <w:pStyle w:val="Compact"/>
              <w:keepNext/>
              <w:spacing w:before="0" w:after="0" w:line="240" w:lineRule="auto"/>
              <w:jc w:val="center"/>
            </w:pPr>
            <w:r>
              <w:rPr>
                <w:rFonts w:ascii="Times New Roman" w:hAnsi="Times New Roman"/>
                <w:color w:val="000000"/>
                <w:sz w:val="22"/>
              </w:rPr>
              <w:t xml:space="preserve">Treatment proxies</w:t>
            </w:r>
          </w:p>
        </w:tc>
        <w:tc>
          <w:tcPr>
            <w:tcW w:type="dxa" w:w="590"/>
            <w:vAlign w:val="center"/>
            <w:shd w:fill="F2F2F2"/>
          </w:tcPr>
          <w:p>
            <w:pPr>
              <w:pStyle w:val="Compact"/>
              <w:keepNext/>
              <w:spacing w:before="0" w:after="0" w:line="240" w:lineRule="auto"/>
              <w:jc w:val="center"/>
            </w:pPr>
            <w:r>
              <w:rPr>
                <w:rFonts w:ascii="Times New Roman" w:hAnsi="Times New Roman"/>
                <w:color w:val="000000"/>
                <w:sz w:val="22"/>
              </w:rPr>
              <w:t xml:space="preserve">Rank</w:t>
            </w:r>
          </w:p>
        </w:tc>
        <w:tc>
          <w:tcPr>
            <w:tcW w:type="dxa" w:w="2615"/>
            <w:vAlign w:val="center"/>
            <w:shd w:fill="F2F2F2"/>
          </w:tcPr>
          <w:p>
            <w:pPr>
              <w:pStyle w:val="Compact"/>
              <w:keepNext/>
              <w:spacing w:before="0" w:after="0" w:line="240" w:lineRule="auto"/>
              <w:jc w:val="center"/>
            </w:pPr>
            <w:r>
              <w:rPr>
                <w:rFonts w:ascii="Times New Roman" w:hAnsi="Times New Roman"/>
                <w:color w:val="000000"/>
                <w:sz w:val="22"/>
              </w:rPr>
              <w:t xml:space="preserve">RMST months and set</w:t>
            </w:r>
          </w:p>
        </w:tc>
        <w:tc>
          <w:tcPr>
            <w:tcW w:type="dxa" w:w="2617"/>
            <w:vAlign w:val="center"/>
            <w:shd w:fill="F2F2F2"/>
          </w:tcPr>
          <w:p>
            <w:pPr>
              <w:pStyle w:val="Compact"/>
              <w:keepNext/>
              <w:spacing w:before="0" w:after="0" w:line="240" w:lineRule="auto"/>
              <w:jc w:val="center"/>
            </w:pPr>
            <w:r>
              <w:rPr>
                <w:rFonts w:ascii="Times New Roman" w:hAnsi="Times New Roman"/>
                <w:color w:val="000000"/>
                <w:sz w:val="22"/>
              </w:rPr>
              <w:t xml:space="preserve">Survival points and set</w:t>
            </w:r>
          </w:p>
        </w:tc>
      </w:tr>
      <w:tr>
        <w:trPr>
          <w:cantSplit/>
        </w:trPr>
        <w:tc>
          <w:tcPr>
            <w:tcW w:type="dxa" w:w="1180"/>
            <w:vAlign w:val="center"/>
          </w:tcPr>
          <w:p>
            <w:pPr>
              <w:pStyle w:val="Compact"/>
              <w:keepNext w:val="0"/>
              <w:spacing w:before="0" w:after="0" w:line="240" w:lineRule="auto"/>
              <w:jc w:val="left"/>
            </w:pPr>
            <w:r>
              <w:rPr>
                <w:rFonts w:ascii="Times New Roman" w:hAnsi="Times New Roman"/>
                <w:color w:val="000000"/>
                <w:sz w:val="22"/>
              </w:rPr>
              <w:t xml:space="preserve">PTEN</w:t>
            </w:r>
          </w:p>
        </w:tc>
        <w:tc>
          <w:tcPr>
            <w:tcW w:type="dxa" w:w="2024"/>
            <w:vAlign w:val="center"/>
          </w:tcPr>
          <w:p>
            <w:pPr>
              <w:pStyle w:val="Compact"/>
              <w:keepNext w:val="0"/>
              <w:spacing w:before="0" w:after="0" w:line="240" w:lineRule="auto"/>
              <w:jc w:val="center"/>
            </w:pPr>
            <w:r>
              <w:rPr>
                <w:rFonts w:ascii="Times New Roman" w:hAnsi="Times New Roman"/>
                <w:color w:val="000000"/>
                <w:sz w:val="22"/>
              </w:rPr>
              <w:t xml:space="preserve">CHEK2</w:t>
            </w:r>
          </w:p>
        </w:tc>
        <w:tc>
          <w:tcPr>
            <w:tcW w:type="dxa" w:w="590"/>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2615"/>
            <w:vAlign w:val="center"/>
          </w:tcPr>
          <w:p>
            <w:pPr>
              <w:pStyle w:val="Compact"/>
              <w:keepNext w:val="0"/>
              <w:spacing w:before="0" w:after="0" w:line="240" w:lineRule="auto"/>
              <w:jc w:val="center"/>
            </w:pPr>
            <w:r>
              <w:rPr>
                <w:rFonts w:ascii="Times New Roman" w:hAnsi="Times New Roman"/>
                <w:color w:val="000000"/>
                <w:sz w:val="22"/>
              </w:rPr>
              <w:t xml:space="preserve">1.02; [-2.07, 4.24]</w:t>
            </w:r>
          </w:p>
        </w:tc>
        <w:tc>
          <w:tcPr>
            <w:tcW w:type="dxa" w:w="2617"/>
            <w:vAlign w:val="center"/>
          </w:tcPr>
          <w:p>
            <w:pPr>
              <w:pStyle w:val="Compact"/>
              <w:keepNext w:val="0"/>
              <w:spacing w:before="0" w:after="0" w:line="240" w:lineRule="auto"/>
              <w:jc w:val="center"/>
            </w:pPr>
            <w:r>
              <w:rPr>
                <w:rFonts w:ascii="Times New Roman" w:hAnsi="Times New Roman"/>
                <w:color w:val="000000"/>
                <w:sz w:val="22"/>
              </w:rPr>
              <w:t xml:space="preserve">6.47; [-6.77, 19.31]</w:t>
            </w:r>
          </w:p>
        </w:tc>
      </w:tr>
      <w:tr>
        <w:trPr>
          <w:cantSplit/>
        </w:trPr>
        <w:tc>
          <w:tcPr>
            <w:tcW w:type="dxa" w:w="1180"/>
            <w:vAlign w:val="center"/>
          </w:tcPr>
          <w:p>
            <w:pPr>
              <w:pStyle w:val="Compact"/>
              <w:keepNext w:val="0"/>
              <w:spacing w:before="0" w:after="0" w:line="240" w:lineRule="auto"/>
              <w:jc w:val="left"/>
            </w:pPr>
            <w:r>
              <w:rPr>
                <w:rFonts w:ascii="Times New Roman" w:hAnsi="Times New Roman"/>
                <w:color w:val="000000"/>
                <w:sz w:val="22"/>
              </w:rPr>
              <w:t xml:space="preserve">SERPINE1</w:t>
            </w:r>
          </w:p>
        </w:tc>
        <w:tc>
          <w:tcPr>
            <w:tcW w:type="dxa" w:w="2024"/>
            <w:vAlign w:val="center"/>
          </w:tcPr>
          <w:p>
            <w:pPr>
              <w:pStyle w:val="Compact"/>
              <w:keepNext w:val="0"/>
              <w:spacing w:before="0" w:after="0" w:line="240" w:lineRule="auto"/>
              <w:jc w:val="center"/>
            </w:pPr>
            <w:r>
              <w:rPr>
                <w:rFonts w:ascii="Times New Roman" w:hAnsi="Times New Roman"/>
                <w:color w:val="000000"/>
                <w:sz w:val="22"/>
              </w:rPr>
              <w:t xml:space="preserve">FN1, RBM15</w:t>
            </w:r>
          </w:p>
        </w:tc>
        <w:tc>
          <w:tcPr>
            <w:tcW w:type="dxa" w:w="590"/>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615"/>
            <w:vAlign w:val="center"/>
          </w:tcPr>
          <w:p>
            <w:pPr>
              <w:pStyle w:val="Compact"/>
              <w:keepNext w:val="0"/>
              <w:spacing w:before="0" w:after="0" w:line="240" w:lineRule="auto"/>
              <w:jc w:val="center"/>
            </w:pPr>
            <w:r>
              <w:rPr>
                <w:rFonts w:ascii="Times New Roman" w:hAnsi="Times New Roman"/>
                <w:color w:val="000000"/>
                <w:sz w:val="22"/>
              </w:rPr>
              <w:t xml:space="preserve">-11.55; All real values</w:t>
            </w:r>
          </w:p>
        </w:tc>
        <w:tc>
          <w:tcPr>
            <w:tcW w:type="dxa" w:w="2617"/>
            <w:vAlign w:val="center"/>
          </w:tcPr>
          <w:p>
            <w:pPr>
              <w:pStyle w:val="Compact"/>
              <w:keepNext w:val="0"/>
              <w:spacing w:before="0" w:after="0" w:line="240" w:lineRule="auto"/>
              <w:jc w:val="center"/>
            </w:pPr>
            <w:r>
              <w:rPr>
                <w:rFonts w:ascii="Times New Roman" w:hAnsi="Times New Roman"/>
                <w:color w:val="000000"/>
                <w:sz w:val="22"/>
              </w:rPr>
              <w:t xml:space="preserve">-39.48; All real values</w:t>
            </w:r>
          </w:p>
        </w:tc>
      </w:tr>
      <w:tr>
        <w:trPr>
          <w:cantSplit/>
        </w:trPr>
        <w:tc>
          <w:tcPr>
            <w:tcW w:type="dxa" w:w="1180"/>
            <w:vAlign w:val="center"/>
          </w:tcPr>
          <w:p>
            <w:pPr>
              <w:pStyle w:val="Compact"/>
              <w:keepNext w:val="0"/>
              <w:spacing w:before="0" w:after="0" w:line="240" w:lineRule="auto"/>
              <w:jc w:val="left"/>
            </w:pPr>
            <w:r>
              <w:rPr>
                <w:rFonts w:ascii="Times New Roman" w:hAnsi="Times New Roman"/>
                <w:color w:val="000000"/>
                <w:sz w:val="22"/>
              </w:rPr>
              <w:t xml:space="preserve">CCNE1</w:t>
            </w:r>
          </w:p>
        </w:tc>
        <w:tc>
          <w:tcPr>
            <w:tcW w:type="dxa" w:w="2024"/>
            <w:vAlign w:val="center"/>
          </w:tcPr>
          <w:p>
            <w:pPr>
              <w:pStyle w:val="Compact"/>
              <w:keepNext w:val="0"/>
              <w:spacing w:before="0" w:after="0" w:line="240" w:lineRule="auto"/>
              <w:jc w:val="center"/>
            </w:pPr>
            <w:r>
              <w:rPr>
                <w:rFonts w:ascii="Times New Roman" w:hAnsi="Times New Roman"/>
                <w:color w:val="000000"/>
                <w:sz w:val="22"/>
              </w:rPr>
              <w:t xml:space="preserve">CCNB1, BCL2L11, CHEK2</w:t>
            </w:r>
          </w:p>
        </w:tc>
        <w:tc>
          <w:tcPr>
            <w:tcW w:type="dxa" w:w="590"/>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615"/>
            <w:vAlign w:val="center"/>
          </w:tcPr>
          <w:p>
            <w:pPr>
              <w:pStyle w:val="Compact"/>
              <w:keepNext w:val="0"/>
              <w:spacing w:before="0" w:after="0" w:line="240" w:lineRule="auto"/>
              <w:jc w:val="center"/>
            </w:pPr>
            <w:r>
              <w:rPr>
                <w:rFonts w:ascii="Times New Roman" w:hAnsi="Times New Roman"/>
                <w:color w:val="000000"/>
                <w:sz w:val="22"/>
              </w:rPr>
              <w:t xml:space="preserve">-10.22; All real values</w:t>
            </w:r>
          </w:p>
        </w:tc>
        <w:tc>
          <w:tcPr>
            <w:tcW w:type="dxa" w:w="2617"/>
            <w:vAlign w:val="center"/>
          </w:tcPr>
          <w:p>
            <w:pPr>
              <w:pStyle w:val="Compact"/>
              <w:keepNext w:val="0"/>
              <w:spacing w:before="0" w:after="0" w:line="240" w:lineRule="auto"/>
              <w:jc w:val="center"/>
            </w:pPr>
            <w:r>
              <w:rPr>
                <w:rFonts w:ascii="Times New Roman" w:hAnsi="Times New Roman"/>
                <w:color w:val="000000"/>
                <w:sz w:val="22"/>
              </w:rPr>
              <w:t xml:space="preserve">-31.62; All real values</w:t>
            </w:r>
          </w:p>
        </w:tc>
      </w:tr>
    </w:tbl>
    <w:p>
      <w:r>
        <w:br w:type="page"/>
      </w:r>
    </w:p>
    <w:p>
      <w:pPr>
        <w:pStyle w:val="BodyText"/>
        <w:keepNext/>
      </w:pPr>
      <w:r>
        <w:rPr>
          <w:b/>
          <w:bCs/>
        </w:rPr>
        <w:t xml:space="preserve">Table S1.</w:t>
      </w:r>
      <w:r>
        <w:t xml:space="preserve"> </w:t>
      </w:r>
      <w:r>
        <w:t xml:space="preserve">Complete independent analysis across ten cohorts, with 60 attempted proteins per cohort. B/D/R denotes bounded, disconnected and real-line confidence-set counts; real-line counts include unavailable calculations with recorded reasons. Point fits apply to both endpoints.</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1038"/>
        <w:gridCol w:w="1597"/>
        <w:gridCol w:w="1118"/>
        <w:gridCol w:w="1038"/>
        <w:gridCol w:w="1038"/>
        <w:gridCol w:w="1597"/>
        <w:gridCol w:w="1600"/>
      </w:tblGrid>
      <w:tr>
        <w:trPr>
          <w:tblHeader w:val="on"/>
          <w:tblHeader/>
          <w:cantSplit/>
        </w:trPr>
        <w:tc>
          <w:tcPr>
            <w:tcW w:type="dxa" w:w="1038"/>
            <w:vAlign w:val="center"/>
            <w:shd w:fill="F2F2F2"/>
          </w:tcPr>
          <w:p>
            <w:pPr>
              <w:pStyle w:val="Compact"/>
              <w:keepNext/>
              <w:spacing w:before="0" w:after="0" w:line="240" w:lineRule="auto"/>
              <w:jc w:val="left"/>
            </w:pPr>
            <w:r>
              <w:rPr>
                <w:rFonts w:ascii="Times New Roman" w:hAnsi="Times New Roman"/>
                <w:color w:val="000000"/>
                <w:sz w:val="22"/>
              </w:rPr>
              <w:t xml:space="preserve">Cohort</w:t>
            </w:r>
          </w:p>
        </w:tc>
        <w:tc>
          <w:tcPr>
            <w:tcW w:type="dxa" w:w="1597"/>
            <w:vAlign w:val="center"/>
            <w:shd w:fill="F2F2F2"/>
          </w:tcPr>
          <w:p>
            <w:pPr>
              <w:pStyle w:val="Compact"/>
              <w:keepNext/>
              <w:spacing w:before="0" w:after="0" w:line="240" w:lineRule="auto"/>
              <w:jc w:val="center"/>
            </w:pPr>
            <w:r>
              <w:rPr>
                <w:rFonts w:ascii="Times New Roman" w:hAnsi="Times New Roman"/>
                <w:color w:val="000000"/>
                <w:sz w:val="22"/>
              </w:rPr>
              <w:t xml:space="preserve">Discovery / estimation</w:t>
            </w:r>
          </w:p>
        </w:tc>
        <w:tc>
          <w:tcPr>
            <w:tcW w:type="dxa" w:w="1118"/>
            <w:vAlign w:val="center"/>
            <w:shd w:fill="F2F2F2"/>
          </w:tcPr>
          <w:p>
            <w:pPr>
              <w:pStyle w:val="Compact"/>
              <w:keepNext/>
              <w:spacing w:before="0" w:after="0" w:line="240" w:lineRule="auto"/>
              <w:jc w:val="center"/>
            </w:pPr>
            <w:r>
              <w:rPr>
                <w:rFonts w:ascii="Times New Roman" w:hAnsi="Times New Roman"/>
                <w:color w:val="000000"/>
                <w:sz w:val="22"/>
              </w:rPr>
              <w:t xml:space="preserve">Estimation deaths</w:t>
            </w:r>
          </w:p>
        </w:tc>
        <w:tc>
          <w:tcPr>
            <w:tcW w:type="dxa" w:w="1038"/>
            <w:vAlign w:val="center"/>
            <w:shd w:fill="F2F2F2"/>
          </w:tcPr>
          <w:p>
            <w:pPr>
              <w:pStyle w:val="Compact"/>
              <w:keepNext/>
              <w:spacing w:before="0" w:after="0" w:line="240" w:lineRule="auto"/>
              <w:jc w:val="center"/>
            </w:pPr>
            <w:r>
              <w:rPr>
                <w:rFonts w:ascii="Times New Roman" w:hAnsi="Times New Roman"/>
                <w:color w:val="000000"/>
                <w:sz w:val="22"/>
              </w:rPr>
              <w:t xml:space="preserve">Designs</w:t>
            </w:r>
          </w:p>
        </w:tc>
        <w:tc>
          <w:tcPr>
            <w:tcW w:type="dxa" w:w="1038"/>
            <w:vAlign w:val="center"/>
            <w:shd w:fill="F2F2F2"/>
          </w:tcPr>
          <w:p>
            <w:pPr>
              <w:pStyle w:val="Compact"/>
              <w:keepNext/>
              <w:spacing w:before="0" w:after="0" w:line="240" w:lineRule="auto"/>
              <w:jc w:val="center"/>
            </w:pPr>
            <w:r>
              <w:rPr>
                <w:rFonts w:ascii="Times New Roman" w:hAnsi="Times New Roman"/>
                <w:color w:val="000000"/>
                <w:sz w:val="22"/>
              </w:rPr>
              <w:t xml:space="preserve">Point fits</w:t>
            </w:r>
          </w:p>
        </w:tc>
        <w:tc>
          <w:tcPr>
            <w:tcW w:type="dxa" w:w="1597"/>
            <w:vAlign w:val="center"/>
            <w:shd w:fill="F2F2F2"/>
          </w:tcPr>
          <w:p>
            <w:pPr>
              <w:pStyle w:val="Compact"/>
              <w:keepNext/>
              <w:spacing w:before="0" w:after="0" w:line="240" w:lineRule="auto"/>
              <w:jc w:val="center"/>
            </w:pPr>
            <w:r>
              <w:rPr>
                <w:rFonts w:ascii="Times New Roman" w:hAnsi="Times New Roman"/>
                <w:color w:val="000000"/>
                <w:sz w:val="22"/>
              </w:rPr>
              <w:t xml:space="preserve">RMST B/D/R</w:t>
            </w:r>
          </w:p>
        </w:tc>
        <w:tc>
          <w:tcPr>
            <w:tcW w:type="dxa" w:w="1600"/>
            <w:vAlign w:val="center"/>
            <w:shd w:fill="F2F2F2"/>
          </w:tcPr>
          <w:p>
            <w:pPr>
              <w:pStyle w:val="Compact"/>
              <w:keepNext/>
              <w:spacing w:before="0" w:after="0" w:line="240" w:lineRule="auto"/>
              <w:jc w:val="center"/>
            </w:pPr>
            <w:r>
              <w:rPr>
                <w:rFonts w:ascii="Times New Roman" w:hAnsi="Times New Roman"/>
                <w:color w:val="000000"/>
                <w:sz w:val="22"/>
              </w:rPr>
              <w:t xml:space="preserve">Survival B/D/R</w:t>
            </w:r>
          </w:p>
        </w:tc>
      </w:tr>
      <w:tr>
        <w:trPr>
          <w:cantSplit/>
        </w:trPr>
        <w:tc>
          <w:tcPr>
            <w:tcW w:type="dxa" w:w="1038"/>
            <w:vAlign w:val="center"/>
          </w:tcPr>
          <w:p>
            <w:pPr>
              <w:pStyle w:val="Compact"/>
              <w:keepNext w:val="0"/>
              <w:spacing w:before="0" w:after="0" w:line="240" w:lineRule="auto"/>
              <w:jc w:val="left"/>
            </w:pPr>
            <w:r>
              <w:rPr>
                <w:rFonts w:ascii="Times New Roman" w:hAnsi="Times New Roman"/>
                <w:color w:val="000000"/>
                <w:sz w:val="22"/>
              </w:rPr>
              <w:t xml:space="preserve">BLCA</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256/86</w:t>
            </w:r>
          </w:p>
        </w:tc>
        <w:tc>
          <w:tcPr>
            <w:tcW w:type="dxa" w:w="1118"/>
            <w:vAlign w:val="center"/>
          </w:tcPr>
          <w:p>
            <w:pPr>
              <w:pStyle w:val="Compact"/>
              <w:keepNext w:val="0"/>
              <w:spacing w:before="0" w:after="0" w:line="240" w:lineRule="auto"/>
              <w:jc w:val="center"/>
            </w:pPr>
            <w:r>
              <w:rPr>
                <w:rFonts w:ascii="Times New Roman" w:hAnsi="Times New Roman"/>
                <w:color w:val="000000"/>
                <w:sz w:val="22"/>
              </w:rPr>
              <w:t xml:space="preserve">39</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19/60</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8/60</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0/0/60</w:t>
            </w:r>
          </w:p>
        </w:tc>
        <w:tc>
          <w:tcPr>
            <w:tcW w:type="dxa" w:w="1600"/>
            <w:vAlign w:val="center"/>
          </w:tcPr>
          <w:p>
            <w:pPr>
              <w:pStyle w:val="Compact"/>
              <w:keepNext w:val="0"/>
              <w:spacing w:before="0" w:after="0" w:line="240" w:lineRule="auto"/>
              <w:jc w:val="center"/>
            </w:pPr>
            <w:r>
              <w:rPr>
                <w:rFonts w:ascii="Times New Roman" w:hAnsi="Times New Roman"/>
                <w:color w:val="000000"/>
                <w:sz w:val="22"/>
              </w:rPr>
              <w:t xml:space="preserve">0/0/60</w:t>
            </w:r>
          </w:p>
        </w:tc>
      </w:tr>
      <w:tr>
        <w:trPr>
          <w:cantSplit/>
        </w:trPr>
        <w:tc>
          <w:tcPr>
            <w:tcW w:type="dxa" w:w="1038"/>
            <w:vAlign w:val="center"/>
          </w:tcPr>
          <w:p>
            <w:pPr>
              <w:pStyle w:val="Compact"/>
              <w:keepNext w:val="0"/>
              <w:spacing w:before="0" w:after="0" w:line="240" w:lineRule="auto"/>
              <w:jc w:val="left"/>
            </w:pPr>
            <w:r>
              <w:rPr>
                <w:rFonts w:ascii="Times New Roman" w:hAnsi="Times New Roman"/>
                <w:color w:val="000000"/>
                <w:sz w:val="22"/>
              </w:rPr>
              <w:t xml:space="preserve">BRCA</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657/219</w:t>
            </w:r>
          </w:p>
        </w:tc>
        <w:tc>
          <w:tcPr>
            <w:tcW w:type="dxa" w:w="1118"/>
            <w:vAlign w:val="center"/>
          </w:tcPr>
          <w:p>
            <w:pPr>
              <w:pStyle w:val="Compact"/>
              <w:keepNext w:val="0"/>
              <w:spacing w:before="0" w:after="0" w:line="240" w:lineRule="auto"/>
              <w:jc w:val="center"/>
            </w:pPr>
            <w:r>
              <w:rPr>
                <w:rFonts w:ascii="Times New Roman" w:hAnsi="Times New Roman"/>
                <w:color w:val="000000"/>
                <w:sz w:val="22"/>
              </w:rPr>
              <w:t xml:space="preserve">33</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18/60</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1/60</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0/0/60</w:t>
            </w:r>
          </w:p>
        </w:tc>
        <w:tc>
          <w:tcPr>
            <w:tcW w:type="dxa" w:w="1600"/>
            <w:vAlign w:val="center"/>
          </w:tcPr>
          <w:p>
            <w:pPr>
              <w:pStyle w:val="Compact"/>
              <w:keepNext w:val="0"/>
              <w:spacing w:before="0" w:after="0" w:line="240" w:lineRule="auto"/>
              <w:jc w:val="center"/>
            </w:pPr>
            <w:r>
              <w:rPr>
                <w:rFonts w:ascii="Times New Roman" w:hAnsi="Times New Roman"/>
                <w:color w:val="000000"/>
                <w:sz w:val="22"/>
              </w:rPr>
              <w:t xml:space="preserve">0/0/60</w:t>
            </w:r>
          </w:p>
        </w:tc>
      </w:tr>
      <w:tr>
        <w:trPr>
          <w:cantSplit/>
        </w:trPr>
        <w:tc>
          <w:tcPr>
            <w:tcW w:type="dxa" w:w="1038"/>
            <w:vAlign w:val="center"/>
          </w:tcPr>
          <w:p>
            <w:pPr>
              <w:pStyle w:val="Compact"/>
              <w:keepNext w:val="0"/>
              <w:spacing w:before="0" w:after="0" w:line="240" w:lineRule="auto"/>
              <w:jc w:val="left"/>
            </w:pPr>
            <w:r>
              <w:rPr>
                <w:rFonts w:ascii="Times New Roman" w:hAnsi="Times New Roman"/>
                <w:color w:val="000000"/>
                <w:sz w:val="22"/>
              </w:rPr>
              <w:t xml:space="preserve">COADREAD</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345/115</w:t>
            </w:r>
          </w:p>
        </w:tc>
        <w:tc>
          <w:tcPr>
            <w:tcW w:type="dxa" w:w="1118"/>
            <w:vAlign w:val="center"/>
          </w:tcPr>
          <w:p>
            <w:pPr>
              <w:pStyle w:val="Compact"/>
              <w:keepNext w:val="0"/>
              <w:spacing w:before="0" w:after="0" w:line="240" w:lineRule="auto"/>
              <w:jc w:val="center"/>
            </w:pPr>
            <w:r>
              <w:rPr>
                <w:rFonts w:ascii="Times New Roman" w:hAnsi="Times New Roman"/>
                <w:color w:val="000000"/>
                <w:sz w:val="22"/>
              </w:rPr>
              <w:t xml:space="preserve">17</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14/60</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0/60</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0/0/60</w:t>
            </w:r>
          </w:p>
        </w:tc>
        <w:tc>
          <w:tcPr>
            <w:tcW w:type="dxa" w:w="1600"/>
            <w:vAlign w:val="center"/>
          </w:tcPr>
          <w:p>
            <w:pPr>
              <w:pStyle w:val="Compact"/>
              <w:keepNext w:val="0"/>
              <w:spacing w:before="0" w:after="0" w:line="240" w:lineRule="auto"/>
              <w:jc w:val="center"/>
            </w:pPr>
            <w:r>
              <w:rPr>
                <w:rFonts w:ascii="Times New Roman" w:hAnsi="Times New Roman"/>
                <w:color w:val="000000"/>
                <w:sz w:val="22"/>
              </w:rPr>
              <w:t xml:space="preserve">0/0/60</w:t>
            </w:r>
          </w:p>
        </w:tc>
      </w:tr>
      <w:tr>
        <w:trPr>
          <w:cantSplit/>
        </w:trPr>
        <w:tc>
          <w:tcPr>
            <w:tcW w:type="dxa" w:w="1038"/>
            <w:vAlign w:val="center"/>
          </w:tcPr>
          <w:p>
            <w:pPr>
              <w:pStyle w:val="Compact"/>
              <w:keepNext w:val="0"/>
              <w:spacing w:before="0" w:after="0" w:line="240" w:lineRule="auto"/>
              <w:jc w:val="left"/>
            </w:pPr>
            <w:r>
              <w:rPr>
                <w:rFonts w:ascii="Times New Roman" w:hAnsi="Times New Roman"/>
                <w:color w:val="000000"/>
                <w:sz w:val="22"/>
              </w:rPr>
              <w:t xml:space="preserve">KIRC</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341/114</w:t>
            </w:r>
          </w:p>
        </w:tc>
        <w:tc>
          <w:tcPr>
            <w:tcW w:type="dxa" w:w="1118"/>
            <w:vAlign w:val="center"/>
          </w:tcPr>
          <w:p>
            <w:pPr>
              <w:pStyle w:val="Compact"/>
              <w:keepNext w:val="0"/>
              <w:spacing w:before="0" w:after="0" w:line="240" w:lineRule="auto"/>
              <w:jc w:val="center"/>
            </w:pPr>
            <w:r>
              <w:rPr>
                <w:rFonts w:ascii="Times New Roman" w:hAnsi="Times New Roman"/>
                <w:color w:val="000000"/>
                <w:sz w:val="22"/>
              </w:rPr>
              <w:t xml:space="preserve">42</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14/60</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14/60</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0/0/60</w:t>
            </w:r>
          </w:p>
        </w:tc>
        <w:tc>
          <w:tcPr>
            <w:tcW w:type="dxa" w:w="1600"/>
            <w:vAlign w:val="center"/>
          </w:tcPr>
          <w:p>
            <w:pPr>
              <w:pStyle w:val="Compact"/>
              <w:keepNext w:val="0"/>
              <w:spacing w:before="0" w:after="0" w:line="240" w:lineRule="auto"/>
              <w:jc w:val="center"/>
            </w:pPr>
            <w:r>
              <w:rPr>
                <w:rFonts w:ascii="Times New Roman" w:hAnsi="Times New Roman"/>
                <w:color w:val="000000"/>
                <w:sz w:val="22"/>
              </w:rPr>
              <w:t xml:space="preserve">0/0/60</w:t>
            </w:r>
          </w:p>
        </w:tc>
      </w:tr>
      <w:tr>
        <w:trPr>
          <w:cantSplit/>
        </w:trPr>
        <w:tc>
          <w:tcPr>
            <w:tcW w:type="dxa" w:w="1038"/>
            <w:vAlign w:val="center"/>
          </w:tcPr>
          <w:p>
            <w:pPr>
              <w:pStyle w:val="Compact"/>
              <w:keepNext w:val="0"/>
              <w:spacing w:before="0" w:after="0" w:line="240" w:lineRule="auto"/>
              <w:jc w:val="left"/>
            </w:pPr>
            <w:r>
              <w:rPr>
                <w:rFonts w:ascii="Times New Roman" w:hAnsi="Times New Roman"/>
                <w:color w:val="000000"/>
                <w:sz w:val="22"/>
              </w:rPr>
              <w:t xml:space="preserve">LGG</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320/107</w:t>
            </w:r>
          </w:p>
        </w:tc>
        <w:tc>
          <w:tcPr>
            <w:tcW w:type="dxa" w:w="1118"/>
            <w:vAlign w:val="center"/>
          </w:tcPr>
          <w:p>
            <w:pPr>
              <w:pStyle w:val="Compact"/>
              <w:keepNext w:val="0"/>
              <w:spacing w:before="0" w:after="0" w:line="240" w:lineRule="auto"/>
              <w:jc w:val="center"/>
            </w:pPr>
            <w:r>
              <w:rPr>
                <w:rFonts w:ascii="Times New Roman" w:hAnsi="Times New Roman"/>
                <w:color w:val="000000"/>
                <w:sz w:val="22"/>
              </w:rPr>
              <w:t xml:space="preserve">16</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18/60</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0/60</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0/0/60</w:t>
            </w:r>
          </w:p>
        </w:tc>
        <w:tc>
          <w:tcPr>
            <w:tcW w:type="dxa" w:w="1600"/>
            <w:vAlign w:val="center"/>
          </w:tcPr>
          <w:p>
            <w:pPr>
              <w:pStyle w:val="Compact"/>
              <w:keepNext w:val="0"/>
              <w:spacing w:before="0" w:after="0" w:line="240" w:lineRule="auto"/>
              <w:jc w:val="center"/>
            </w:pPr>
            <w:r>
              <w:rPr>
                <w:rFonts w:ascii="Times New Roman" w:hAnsi="Times New Roman"/>
                <w:color w:val="000000"/>
                <w:sz w:val="22"/>
              </w:rPr>
              <w:t xml:space="preserve">0/0/60</w:t>
            </w:r>
          </w:p>
        </w:tc>
      </w:tr>
      <w:tr>
        <w:trPr>
          <w:cantSplit/>
        </w:trPr>
        <w:tc>
          <w:tcPr>
            <w:tcW w:type="dxa" w:w="10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264/88</w:t>
            </w:r>
          </w:p>
        </w:tc>
        <w:tc>
          <w:tcPr>
            <w:tcW w:type="dxa" w:w="1118"/>
            <w:vAlign w:val="center"/>
          </w:tcPr>
          <w:p>
            <w:pPr>
              <w:pStyle w:val="Compact"/>
              <w:keepNext w:val="0"/>
              <w:spacing w:before="0" w:after="0" w:line="240" w:lineRule="auto"/>
              <w:jc w:val="center"/>
            </w:pPr>
            <w:r>
              <w:rPr>
                <w:rFonts w:ascii="Times New Roman" w:hAnsi="Times New Roman"/>
                <w:color w:val="000000"/>
                <w:sz w:val="22"/>
              </w:rPr>
              <w:t xml:space="preserve">33</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10/60</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2/60</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0/0/60</w:t>
            </w:r>
          </w:p>
        </w:tc>
        <w:tc>
          <w:tcPr>
            <w:tcW w:type="dxa" w:w="1600"/>
            <w:vAlign w:val="center"/>
          </w:tcPr>
          <w:p>
            <w:pPr>
              <w:pStyle w:val="Compact"/>
              <w:keepNext w:val="0"/>
              <w:spacing w:before="0" w:after="0" w:line="240" w:lineRule="auto"/>
              <w:jc w:val="center"/>
            </w:pPr>
            <w:r>
              <w:rPr>
                <w:rFonts w:ascii="Times New Roman" w:hAnsi="Times New Roman"/>
                <w:color w:val="000000"/>
                <w:sz w:val="22"/>
              </w:rPr>
              <w:t xml:space="preserve">0/0/60</w:t>
            </w:r>
          </w:p>
        </w:tc>
      </w:tr>
      <w:tr>
        <w:trPr>
          <w:cantSplit/>
        </w:trPr>
        <w:tc>
          <w:tcPr>
            <w:tcW w:type="dxa" w:w="1038"/>
            <w:vAlign w:val="center"/>
          </w:tcPr>
          <w:p>
            <w:pPr>
              <w:pStyle w:val="Compact"/>
              <w:keepNext w:val="0"/>
              <w:spacing w:before="0" w:after="0" w:line="240" w:lineRule="auto"/>
              <w:jc w:val="left"/>
            </w:pPr>
            <w:r>
              <w:rPr>
                <w:rFonts w:ascii="Times New Roman" w:hAnsi="Times New Roman"/>
                <w:color w:val="000000"/>
                <w:sz w:val="22"/>
              </w:rPr>
              <w:t xml:space="preserve">OV</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308/103</w:t>
            </w:r>
          </w:p>
        </w:tc>
        <w:tc>
          <w:tcPr>
            <w:tcW w:type="dxa" w:w="1118"/>
            <w:vAlign w:val="center"/>
          </w:tcPr>
          <w:p>
            <w:pPr>
              <w:pStyle w:val="Compact"/>
              <w:keepNext w:val="0"/>
              <w:spacing w:before="0" w:after="0" w:line="240" w:lineRule="auto"/>
              <w:jc w:val="center"/>
            </w:pPr>
            <w:r>
              <w:rPr>
                <w:rFonts w:ascii="Times New Roman" w:hAnsi="Times New Roman"/>
                <w:color w:val="000000"/>
                <w:sz w:val="22"/>
              </w:rPr>
              <w:t xml:space="preserve">67</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26/60</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24/60</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2/3/55</w:t>
            </w:r>
          </w:p>
        </w:tc>
        <w:tc>
          <w:tcPr>
            <w:tcW w:type="dxa" w:w="1600"/>
            <w:vAlign w:val="center"/>
          </w:tcPr>
          <w:p>
            <w:pPr>
              <w:pStyle w:val="Compact"/>
              <w:keepNext w:val="0"/>
              <w:spacing w:before="0" w:after="0" w:line="240" w:lineRule="auto"/>
              <w:jc w:val="center"/>
            </w:pPr>
            <w:r>
              <w:rPr>
                <w:rFonts w:ascii="Times New Roman" w:hAnsi="Times New Roman"/>
                <w:color w:val="000000"/>
                <w:sz w:val="22"/>
              </w:rPr>
              <w:t xml:space="preserve">2/1/57</w:t>
            </w:r>
          </w:p>
        </w:tc>
      </w:tr>
      <w:tr>
        <w:trPr>
          <w:cantSplit/>
        </w:trPr>
        <w:tc>
          <w:tcPr>
            <w:tcW w:type="dxa" w:w="1038"/>
            <w:vAlign w:val="center"/>
          </w:tcPr>
          <w:p>
            <w:pPr>
              <w:pStyle w:val="Compact"/>
              <w:keepNext w:val="0"/>
              <w:spacing w:before="0" w:after="0" w:line="240" w:lineRule="auto"/>
              <w:jc w:val="left"/>
            </w:pPr>
            <w:r>
              <w:rPr>
                <w:rFonts w:ascii="Times New Roman" w:hAnsi="Times New Roman"/>
                <w:color w:val="000000"/>
                <w:sz w:val="22"/>
              </w:rPr>
              <w:t xml:space="preserve">SKCM</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237/80</w:t>
            </w:r>
          </w:p>
        </w:tc>
        <w:tc>
          <w:tcPr>
            <w:tcW w:type="dxa" w:w="1118"/>
            <w:vAlign w:val="center"/>
          </w:tcPr>
          <w:p>
            <w:pPr>
              <w:pStyle w:val="Compact"/>
              <w:keepNext w:val="0"/>
              <w:spacing w:before="0" w:after="0" w:line="240" w:lineRule="auto"/>
              <w:jc w:val="center"/>
            </w:pPr>
            <w:r>
              <w:rPr>
                <w:rFonts w:ascii="Times New Roman" w:hAnsi="Times New Roman"/>
                <w:color w:val="000000"/>
                <w:sz w:val="22"/>
              </w:rPr>
              <w:t xml:space="preserve">37</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17/60</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9/60</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0/0/60</w:t>
            </w:r>
          </w:p>
        </w:tc>
        <w:tc>
          <w:tcPr>
            <w:tcW w:type="dxa" w:w="1600"/>
            <w:vAlign w:val="center"/>
          </w:tcPr>
          <w:p>
            <w:pPr>
              <w:pStyle w:val="Compact"/>
              <w:keepNext w:val="0"/>
              <w:spacing w:before="0" w:after="0" w:line="240" w:lineRule="auto"/>
              <w:jc w:val="center"/>
            </w:pPr>
            <w:r>
              <w:rPr>
                <w:rFonts w:ascii="Times New Roman" w:hAnsi="Times New Roman"/>
                <w:color w:val="000000"/>
                <w:sz w:val="22"/>
              </w:rPr>
              <w:t xml:space="preserve">0/0/60</w:t>
            </w:r>
          </w:p>
        </w:tc>
      </w:tr>
      <w:tr>
        <w:trPr>
          <w:cantSplit/>
        </w:trPr>
        <w:tc>
          <w:tcPr>
            <w:tcW w:type="dxa" w:w="1038"/>
            <w:vAlign w:val="center"/>
          </w:tcPr>
          <w:p>
            <w:pPr>
              <w:pStyle w:val="Compact"/>
              <w:keepNext w:val="0"/>
              <w:spacing w:before="0" w:after="0" w:line="240" w:lineRule="auto"/>
              <w:jc w:val="left"/>
            </w:pPr>
            <w:r>
              <w:rPr>
                <w:rFonts w:ascii="Times New Roman" w:hAnsi="Times New Roman"/>
                <w:color w:val="000000"/>
                <w:sz w:val="22"/>
              </w:rPr>
              <w:t xml:space="preserve">STAD</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261/88</w:t>
            </w:r>
          </w:p>
        </w:tc>
        <w:tc>
          <w:tcPr>
            <w:tcW w:type="dxa" w:w="1118"/>
            <w:vAlign w:val="center"/>
          </w:tcPr>
          <w:p>
            <w:pPr>
              <w:pStyle w:val="Compact"/>
              <w:keepNext w:val="0"/>
              <w:spacing w:before="0" w:after="0" w:line="240" w:lineRule="auto"/>
              <w:jc w:val="center"/>
            </w:pPr>
            <w:r>
              <w:rPr>
                <w:rFonts w:ascii="Times New Roman" w:hAnsi="Times New Roman"/>
                <w:color w:val="000000"/>
                <w:sz w:val="22"/>
              </w:rPr>
              <w:t xml:space="preserve">38</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23/60</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0/60</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0/0/60</w:t>
            </w:r>
          </w:p>
        </w:tc>
        <w:tc>
          <w:tcPr>
            <w:tcW w:type="dxa" w:w="1600"/>
            <w:vAlign w:val="center"/>
          </w:tcPr>
          <w:p>
            <w:pPr>
              <w:pStyle w:val="Compact"/>
              <w:keepNext w:val="0"/>
              <w:spacing w:before="0" w:after="0" w:line="240" w:lineRule="auto"/>
              <w:jc w:val="center"/>
            </w:pPr>
            <w:r>
              <w:rPr>
                <w:rFonts w:ascii="Times New Roman" w:hAnsi="Times New Roman"/>
                <w:color w:val="000000"/>
                <w:sz w:val="22"/>
              </w:rPr>
              <w:t xml:space="preserve">0/0/60</w:t>
            </w:r>
          </w:p>
        </w:tc>
      </w:tr>
      <w:tr>
        <w:trPr>
          <w:cantSplit/>
        </w:trPr>
        <w:tc>
          <w:tcPr>
            <w:tcW w:type="dxa" w:w="1038"/>
            <w:vAlign w:val="center"/>
          </w:tcPr>
          <w:p>
            <w:pPr>
              <w:pStyle w:val="Compact"/>
              <w:keepNext w:val="0"/>
              <w:spacing w:before="0" w:after="0" w:line="240" w:lineRule="auto"/>
              <w:jc w:val="left"/>
            </w:pPr>
            <w:r>
              <w:rPr>
                <w:rFonts w:ascii="Times New Roman" w:hAnsi="Times New Roman"/>
                <w:color w:val="000000"/>
                <w:sz w:val="22"/>
              </w:rPr>
              <w:t xml:space="preserve">UCEC</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316/106</w:t>
            </w:r>
          </w:p>
        </w:tc>
        <w:tc>
          <w:tcPr>
            <w:tcW w:type="dxa" w:w="1118"/>
            <w:vAlign w:val="center"/>
          </w:tcPr>
          <w:p>
            <w:pPr>
              <w:pStyle w:val="Compact"/>
              <w:keepNext w:val="0"/>
              <w:spacing w:before="0" w:after="0" w:line="240" w:lineRule="auto"/>
              <w:jc w:val="center"/>
            </w:pPr>
            <w:r>
              <w:rPr>
                <w:rFonts w:ascii="Times New Roman" w:hAnsi="Times New Roman"/>
                <w:color w:val="000000"/>
                <w:sz w:val="22"/>
              </w:rPr>
              <w:t xml:space="preserve">23</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11/60</w:t>
            </w:r>
          </w:p>
        </w:tc>
        <w:tc>
          <w:tcPr>
            <w:tcW w:type="dxa" w:w="1038"/>
            <w:vAlign w:val="center"/>
          </w:tcPr>
          <w:p>
            <w:pPr>
              <w:pStyle w:val="Compact"/>
              <w:keepNext w:val="0"/>
              <w:spacing w:before="0" w:after="0" w:line="240" w:lineRule="auto"/>
              <w:jc w:val="center"/>
            </w:pPr>
            <w:r>
              <w:rPr>
                <w:rFonts w:ascii="Times New Roman" w:hAnsi="Times New Roman"/>
                <w:color w:val="000000"/>
                <w:sz w:val="22"/>
              </w:rPr>
              <w:t xml:space="preserve">0/60</w:t>
            </w:r>
          </w:p>
        </w:tc>
        <w:tc>
          <w:tcPr>
            <w:tcW w:type="dxa" w:w="1597"/>
            <w:vAlign w:val="center"/>
          </w:tcPr>
          <w:p>
            <w:pPr>
              <w:pStyle w:val="Compact"/>
              <w:keepNext w:val="0"/>
              <w:spacing w:before="0" w:after="0" w:line="240" w:lineRule="auto"/>
              <w:jc w:val="center"/>
            </w:pPr>
            <w:r>
              <w:rPr>
                <w:rFonts w:ascii="Times New Roman" w:hAnsi="Times New Roman"/>
                <w:color w:val="000000"/>
                <w:sz w:val="22"/>
              </w:rPr>
              <w:t xml:space="preserve">0/0/60</w:t>
            </w:r>
          </w:p>
        </w:tc>
        <w:tc>
          <w:tcPr>
            <w:tcW w:type="dxa" w:w="1600"/>
            <w:vAlign w:val="center"/>
          </w:tcPr>
          <w:p>
            <w:pPr>
              <w:pStyle w:val="Compact"/>
              <w:keepNext w:val="0"/>
              <w:spacing w:before="0" w:after="0" w:line="240" w:lineRule="auto"/>
              <w:jc w:val="center"/>
            </w:pPr>
            <w:r>
              <w:rPr>
                <w:rFonts w:ascii="Times New Roman" w:hAnsi="Times New Roman"/>
                <w:color w:val="000000"/>
                <w:sz w:val="22"/>
              </w:rPr>
              <w:t xml:space="preserve">0/0/60</w:t>
            </w:r>
          </w:p>
        </w:tc>
      </w:tr>
    </w:tbl>
    <w:p>
      <w:r>
        <w:br w:type="page"/>
      </w:r>
    </w:p>
    <w:p>
      <w:pPr>
        <w:pStyle w:val="BodyText"/>
        <w:keepNext/>
      </w:pPr>
      <w:r>
        <w:rPr>
          <w:b/>
          <w:bCs/>
        </w:rPr>
        <w:t xml:space="preserve">Table S2.</w:t>
      </w:r>
      <w:r>
        <w:t xml:space="preserve"> </w:t>
      </w:r>
      <w:r>
        <w:t xml:space="preserve">Complete LINEAR comparison; entries are estimate (MCSE). All 200 attempts enter reporting denominators; generating-DAG role validity concerns the selected proxy pair.</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523"/>
        <w:gridCol w:w="2158"/>
        <w:gridCol w:w="850"/>
        <w:gridCol w:w="1373"/>
        <w:gridCol w:w="1373"/>
        <w:gridCol w:w="1373"/>
        <w:gridCol w:w="1376"/>
      </w:tblGrid>
      <w:tr>
        <w:trPr>
          <w:tblHeader w:val="on"/>
          <w:tblHeader/>
          <w:cantSplit/>
        </w:trPr>
        <w:tc>
          <w:tcPr>
            <w:tcW w:type="dxa" w:w="523"/>
            <w:vAlign w:val="center"/>
            <w:shd w:fill="F2F2F2"/>
          </w:tcPr>
          <w:p>
            <w:pPr>
              <w:pStyle w:val="Compact"/>
              <w:keepNext/>
              <w:spacing w:before="0" w:after="0" w:line="240" w:lineRule="auto"/>
              <w:jc w:val="left"/>
            </w:pPr>
            <w:r>
              <w:rPr>
                <w:rFonts w:ascii="Times New Roman" w:hAnsi="Times New Roman"/>
                <w:color w:val="000000"/>
                <w:sz w:val="22"/>
              </w:rPr>
              <w:t xml:space="preserve">System</w:t>
            </w:r>
          </w:p>
        </w:tc>
        <w:tc>
          <w:tcPr>
            <w:tcW w:type="dxa" w:w="2158"/>
            <w:vAlign w:val="center"/>
            <w:shd w:fill="F2F2F2"/>
          </w:tcPr>
          <w:p>
            <w:pPr>
              <w:pStyle w:val="Compact"/>
              <w:keepNext/>
              <w:spacing w:before="0" w:after="0" w:line="240" w:lineRule="auto"/>
              <w:jc w:val="center"/>
            </w:pPr>
            <w:r>
              <w:rPr>
                <w:rFonts w:ascii="Times New Roman" w:hAnsi="Times New Roman"/>
                <w:color w:val="000000"/>
                <w:sz w:val="22"/>
              </w:rPr>
              <w:t xml:space="preserve">Estimator</w:t>
            </w:r>
          </w:p>
        </w:tc>
        <w:tc>
          <w:tcPr>
            <w:tcW w:type="dxa" w:w="850"/>
            <w:vAlign w:val="center"/>
            <w:shd w:fill="F2F2F2"/>
          </w:tcPr>
          <w:p>
            <w:pPr>
              <w:pStyle w:val="Compact"/>
              <w:keepNext/>
              <w:spacing w:before="0" w:after="0" w:line="240" w:lineRule="auto"/>
              <w:jc w:val="center"/>
            </w:pPr>
            <w:r>
              <w:rPr>
                <w:rFonts w:ascii="Times New Roman" w:hAnsi="Times New Roman"/>
                <w:color w:val="000000"/>
                <w:sz w:val="22"/>
              </w:rPr>
              <w:t xml:space="preserve">Reported</w:t>
            </w:r>
          </w:p>
        </w:tc>
        <w:tc>
          <w:tcPr>
            <w:tcW w:type="dxa" w:w="1373"/>
            <w:vAlign w:val="center"/>
            <w:shd w:fill="F2F2F2"/>
          </w:tcPr>
          <w:p>
            <w:pPr>
              <w:pStyle w:val="Compact"/>
              <w:keepNext/>
              <w:spacing w:before="0" w:after="0" w:line="240" w:lineRule="auto"/>
              <w:jc w:val="center"/>
            </w:pPr>
            <w:r>
              <w:rPr>
                <w:rFonts w:ascii="Times New Roman" w:hAnsi="Times New Roman"/>
                <w:color w:val="000000"/>
                <w:sz w:val="22"/>
              </w:rPr>
              <w:t xml:space="preserve">Bias</w:t>
            </w:r>
          </w:p>
        </w:tc>
        <w:tc>
          <w:tcPr>
            <w:tcW w:type="dxa" w:w="1373"/>
            <w:vAlign w:val="center"/>
            <w:shd w:fill="F2F2F2"/>
          </w:tcPr>
          <w:p>
            <w:pPr>
              <w:pStyle w:val="Compact"/>
              <w:keepNext/>
              <w:spacing w:before="0" w:after="0" w:line="240" w:lineRule="auto"/>
              <w:jc w:val="center"/>
            </w:pPr>
            <w:r>
              <w:rPr>
                <w:rFonts w:ascii="Times New Roman" w:hAnsi="Times New Roman"/>
                <w:color w:val="000000"/>
                <w:sz w:val="22"/>
              </w:rPr>
              <w:t xml:space="preserve">RMSE</w:t>
            </w:r>
          </w:p>
        </w:tc>
        <w:tc>
          <w:tcPr>
            <w:tcW w:type="dxa" w:w="1373"/>
            <w:vAlign w:val="center"/>
            <w:shd w:fill="F2F2F2"/>
          </w:tcPr>
          <w:p>
            <w:pPr>
              <w:pStyle w:val="Compact"/>
              <w:keepNext/>
              <w:spacing w:before="0" w:after="0" w:line="240" w:lineRule="auto"/>
              <w:jc w:val="center"/>
            </w:pPr>
            <w:r>
              <w:rPr>
                <w:rFonts w:ascii="Times New Roman" w:hAnsi="Times New Roman"/>
                <w:color w:val="000000"/>
                <w:sz w:val="22"/>
              </w:rPr>
              <w:t xml:space="preserve">Coverage</w:t>
            </w:r>
          </w:p>
        </w:tc>
        <w:tc>
          <w:tcPr>
            <w:tcW w:type="dxa" w:w="1376"/>
            <w:vAlign w:val="center"/>
            <w:shd w:fill="F2F2F2"/>
          </w:tcPr>
          <w:p>
            <w:pPr>
              <w:pStyle w:val="Compact"/>
              <w:keepNext/>
              <w:spacing w:before="0" w:after="0" w:line="240" w:lineRule="auto"/>
              <w:jc w:val="center"/>
            </w:pPr>
            <w:r>
              <w:rPr>
                <w:rFonts w:ascii="Times New Roman" w:hAnsi="Times New Roman"/>
                <w:color w:val="000000"/>
                <w:sz w:val="22"/>
              </w:rPr>
              <w:t xml:space="preserve">Valid roles (%)</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0.008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0.087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0.935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0.024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0.084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0.026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0.095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0.935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0.014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0.089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183/200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0.298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0.310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0.257 (0.032)</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0.014 (0.008)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0.112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0.920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0.019 (0.008)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0.112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0.920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0.411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0.422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0.010 (0.007)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0.150 (0.073)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1.039 (0.085)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0.003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0.087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-0.006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0.079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0.950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-0.002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0.077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0.950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0.005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0.083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0.934 (0.018)</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-0.006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0.079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0.950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193/200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0.159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0.182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0.694 (0.033)</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-0.005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0.079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-0.005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0.079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0.199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0.214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0.260 (0.031)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-1.469 (0.086)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1.905 (0.059)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0.665 (0.033)</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-0.006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0.076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0.920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-0.001 (0.003)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0.049 (0.003)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0.965 (0.013)</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0.002 (0.003)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0.049 (0.003)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0.965 (0.013)</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0.007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0.064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191/200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0.107 (0.012)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0.195 (0.010)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0.869 (0.024)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0.118 (0.010)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0.184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0.845 (0.026)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0.000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0.052 (0.003)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0.001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0.052 (0.003)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0.547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0.550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0.000 (0.000)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-0.669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0.672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0.000 (0.000)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-0.003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0.050 (0.002)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0.013 (0.012)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0.164 (0.010)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0.965 (0.013)</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0.203 (0.010)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0.249 (0.010)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0.625 (0.034)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0.013 (0.012)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0.163 (0.010)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0.965 (0.013)</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0.512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0.516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0.000 (0.000)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0.014 (0.013)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0.182 (0.014)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0.950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0.078 (0.011)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0.170 (0.009)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0.915 (0.020)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0.511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0.515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0.000 (0.000)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-1.264 (0.019)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1.291 (0.016)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0.045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-0.007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0.057 (0.003)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0.935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0.012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0.081 (0.010)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0.021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0.082 (0.011)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199/200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0.026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0.098 (0.015)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161/200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0.059 (0.017)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0.225 (0.022)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0.851 (0.028)</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0.400 (0.019)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0.484 (0.016)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0.550 (0.035)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0.001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0.057 (0.003)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0.002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0.057 (0.003)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0.785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0.787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0.000 (0.000)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-0.818 (0.030)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0.922 (0.012)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0.475 (0.035)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0.001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0.049 (0.002)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0.004 (0.008)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0.112 (0.008)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0.016 (0.008)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0.113 (0.008)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0.930 (0.018)</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199/200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0.016 (0.008)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0.108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0.920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0.009 (0.008)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0.109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135/200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0.195 (0.009)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0.221 (0.010)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0.667 (0.041)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0.003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0.100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0.005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0.100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0.191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0.216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0.475 (0.035)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-0.194 (0.085)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1.209 (0.067)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0.865 (0.024)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0.001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0.096 (0.005)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0.920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0.012 (0.009)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0.121 (0.009)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0.038 (0.008)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0.116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0.043 (0.011)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0.163 (0.010)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0.914 (0.020)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173/200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0.140 (0.021)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0.307 (0.015)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0.792 (0.031)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0.509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0.519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0.025 (0.011)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-0.009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0.094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-0.007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0.093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0.950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0.513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0.523 (0.007)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0.005 (0.005)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0.052 (0.053)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0.752 (0.049)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0.920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-0.008 (0.006)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0.086 (0.004)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bl>
    <w:p>
      <w:r>
        <w:br w:type="page"/>
      </w:r>
    </w:p>
    <w:p>
      <w:pPr>
        <w:pStyle w:val="BodyText"/>
        <w:keepNext/>
      </w:pPr>
      <w:r>
        <w:rPr>
          <w:b/>
          <w:bCs/>
        </w:rPr>
        <w:t xml:space="preserve">Table S3.</w:t>
      </w:r>
      <w:r>
        <w:t xml:space="preserve"> </w:t>
      </w:r>
      <w:r>
        <w:t xml:space="preserve">Complete RMST comparison; entries are estimate (MCSE). All 200 attempts enter reporting denominators; generating-DAG role validity concerns the selected proxy pair.</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523"/>
        <w:gridCol w:w="2158"/>
        <w:gridCol w:w="850"/>
        <w:gridCol w:w="1373"/>
        <w:gridCol w:w="1373"/>
        <w:gridCol w:w="1373"/>
        <w:gridCol w:w="1376"/>
      </w:tblGrid>
      <w:tr>
        <w:trPr>
          <w:tblHeader w:val="on"/>
          <w:tblHeader/>
          <w:cantSplit/>
        </w:trPr>
        <w:tc>
          <w:tcPr>
            <w:tcW w:type="dxa" w:w="523"/>
            <w:vAlign w:val="center"/>
            <w:shd w:fill="F2F2F2"/>
          </w:tcPr>
          <w:p>
            <w:pPr>
              <w:pStyle w:val="Compact"/>
              <w:keepNext/>
              <w:spacing w:before="0" w:after="0" w:line="240" w:lineRule="auto"/>
              <w:jc w:val="left"/>
            </w:pPr>
            <w:r>
              <w:rPr>
                <w:rFonts w:ascii="Times New Roman" w:hAnsi="Times New Roman"/>
                <w:color w:val="000000"/>
                <w:sz w:val="22"/>
              </w:rPr>
              <w:t xml:space="preserve">System</w:t>
            </w:r>
          </w:p>
        </w:tc>
        <w:tc>
          <w:tcPr>
            <w:tcW w:type="dxa" w:w="2158"/>
            <w:vAlign w:val="center"/>
            <w:shd w:fill="F2F2F2"/>
          </w:tcPr>
          <w:p>
            <w:pPr>
              <w:pStyle w:val="Compact"/>
              <w:keepNext/>
              <w:spacing w:before="0" w:after="0" w:line="240" w:lineRule="auto"/>
              <w:jc w:val="center"/>
            </w:pPr>
            <w:r>
              <w:rPr>
                <w:rFonts w:ascii="Times New Roman" w:hAnsi="Times New Roman"/>
                <w:color w:val="000000"/>
                <w:sz w:val="22"/>
              </w:rPr>
              <w:t xml:space="preserve">Estimator</w:t>
            </w:r>
          </w:p>
        </w:tc>
        <w:tc>
          <w:tcPr>
            <w:tcW w:type="dxa" w:w="850"/>
            <w:vAlign w:val="center"/>
            <w:shd w:fill="F2F2F2"/>
          </w:tcPr>
          <w:p>
            <w:pPr>
              <w:pStyle w:val="Compact"/>
              <w:keepNext/>
              <w:spacing w:before="0" w:after="0" w:line="240" w:lineRule="auto"/>
              <w:jc w:val="center"/>
            </w:pPr>
            <w:r>
              <w:rPr>
                <w:rFonts w:ascii="Times New Roman" w:hAnsi="Times New Roman"/>
                <w:color w:val="000000"/>
                <w:sz w:val="22"/>
              </w:rPr>
              <w:t xml:space="preserve">Reported</w:t>
            </w:r>
          </w:p>
        </w:tc>
        <w:tc>
          <w:tcPr>
            <w:tcW w:type="dxa" w:w="1373"/>
            <w:vAlign w:val="center"/>
            <w:shd w:fill="F2F2F2"/>
          </w:tcPr>
          <w:p>
            <w:pPr>
              <w:pStyle w:val="Compact"/>
              <w:keepNext/>
              <w:spacing w:before="0" w:after="0" w:line="240" w:lineRule="auto"/>
              <w:jc w:val="center"/>
            </w:pPr>
            <w:r>
              <w:rPr>
                <w:rFonts w:ascii="Times New Roman" w:hAnsi="Times New Roman"/>
                <w:color w:val="000000"/>
                <w:sz w:val="22"/>
              </w:rPr>
              <w:t xml:space="preserve">Bias</w:t>
            </w:r>
          </w:p>
        </w:tc>
        <w:tc>
          <w:tcPr>
            <w:tcW w:type="dxa" w:w="1373"/>
            <w:vAlign w:val="center"/>
            <w:shd w:fill="F2F2F2"/>
          </w:tcPr>
          <w:p>
            <w:pPr>
              <w:pStyle w:val="Compact"/>
              <w:keepNext/>
              <w:spacing w:before="0" w:after="0" w:line="240" w:lineRule="auto"/>
              <w:jc w:val="center"/>
            </w:pPr>
            <w:r>
              <w:rPr>
                <w:rFonts w:ascii="Times New Roman" w:hAnsi="Times New Roman"/>
                <w:color w:val="000000"/>
                <w:sz w:val="22"/>
              </w:rPr>
              <w:t xml:space="preserve">RMSE</w:t>
            </w:r>
          </w:p>
        </w:tc>
        <w:tc>
          <w:tcPr>
            <w:tcW w:type="dxa" w:w="1373"/>
            <w:vAlign w:val="center"/>
            <w:shd w:fill="F2F2F2"/>
          </w:tcPr>
          <w:p>
            <w:pPr>
              <w:pStyle w:val="Compact"/>
              <w:keepNext/>
              <w:spacing w:before="0" w:after="0" w:line="240" w:lineRule="auto"/>
              <w:jc w:val="center"/>
            </w:pPr>
            <w:r>
              <w:rPr>
                <w:rFonts w:ascii="Times New Roman" w:hAnsi="Times New Roman"/>
                <w:color w:val="000000"/>
                <w:sz w:val="22"/>
              </w:rPr>
              <w:t xml:space="preserve">Coverage</w:t>
            </w:r>
          </w:p>
        </w:tc>
        <w:tc>
          <w:tcPr>
            <w:tcW w:type="dxa" w:w="1376"/>
            <w:vAlign w:val="center"/>
            <w:shd w:fill="F2F2F2"/>
          </w:tcPr>
          <w:p>
            <w:pPr>
              <w:pStyle w:val="Compact"/>
              <w:keepNext/>
              <w:spacing w:before="0" w:after="0" w:line="240" w:lineRule="auto"/>
              <w:jc w:val="center"/>
            </w:pPr>
            <w:r>
              <w:rPr>
                <w:rFonts w:ascii="Times New Roman" w:hAnsi="Times New Roman"/>
                <w:color w:val="000000"/>
                <w:sz w:val="22"/>
              </w:rPr>
              <w:t xml:space="preserve">Valid roles (%)</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-0.027 (0.056)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0.787 (0.041)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0.930 (0.018)</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-0.001 (0.055)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0.775 (0.040)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0.930 (0.018)</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0.006 (0.055)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0.771 (0.038)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0.930 (0.018)</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-0.019 (0.055)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0.778 (0.040)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0.930 (0.018)</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183/200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0.370 (0.052)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0.799 (0.039)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0.923 (0.020)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-0.019 (0.055)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0.775 (0.040)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-0.011 (0.055)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0.772 (0.040)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0.498 (0.049)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0.853 (0.040)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0.865 (0.024)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0.713 (0.266)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3.814 (0.200)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-0.041 (0.052)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0.739 (0.037)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-0.075 (0.034)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0.481 (0.023)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-0.067 (0.034)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0.479 (0.023)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-0.054 (0.034)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0.477 (0.024)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0.939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-0.072 (0.034)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0.480 (0.023)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193/200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0.216 (0.034)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0.518 (0.024)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0.927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-0.074 (0.034)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0.481 (0.023)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-0.072 (0.034)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0.481 (0.023)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0.292 (0.033)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0.549 (0.024)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0.910 (0.020)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-1.826 (0.184)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3.175 (0.139)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0.865 (0.024)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-0.066 (0.033)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0.469 (0.023)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0.002 (0.036)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0.512 (0.028)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0.925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0.003 (0.036)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0.510 (0.028)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0.920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0.013 (0.036)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0.515 (0.028)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0.930 (0.018)</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191/200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0.161 (0.038)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0.552 (0.028)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0.927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0.156 (0.038)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0.559 (0.029)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0.905 (0.021)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-0.001 (0.036)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0.510 (0.028)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0.925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0.000 (0.036)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0.510 (0.028)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0.925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0.800 (0.028)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0.894 (0.026)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0.450 (0.035)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-0.775 (0.050)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1.045 (0.045)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0.760 (0.030)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-0.004 (0.036)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0.507 (0.028)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0.915 (0.020)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0.100 (0.096)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1.356 (0.079)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0.965 (0.013)</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0.147 (0.062)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0.884 (0.057)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0.900 (0.021)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0.105 (0.096)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1.358 (0.079)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0.375 (0.031)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0.579 (0.026)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0.845 (0.026)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0.046 (0.098)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1.386 (0.088)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0.950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0.106 (0.084)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1.191 (0.070)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0.910 (0.020)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0.374 (0.031)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0.577 (0.026)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0.845 (0.026)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-0.918 (0.078)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1.437 (0.069)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0.890 (0.022)</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IV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-0.030 (0.033)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0.469 (0.021)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0.009 (0.039)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0.545 (0.028)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0.018 (0.038)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0.533 (0.025)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0.930 (0.018)</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199/200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0.013 (0.038)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0.530 (0.026)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0.930 (0.018)</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161/200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0.049 (0.043)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0.547 (0.028)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0.950 (0.017)</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0.292 (0.038)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0.615 (0.033)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0.850 (0.025)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0.006 (0.038)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0.537 (0.026)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0.925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0.007 (0.038)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0.537 (0.026)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0.925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0.559 (0.031)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0.709 (0.029)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0.715 (0.032)</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-0.579 (0.092)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1.424 (0.136)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0.016 (0.037)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0.522 (0.026)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0.925 (0.019)</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0.004 (0.047)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0.665 (0.030)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0.031 (0.047)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0.660 (0.029)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199/200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0.045 (0.047)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0.661 (0.029)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0.014 (0.048)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0.671 (0.030)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135/200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0.394 (0.054)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0.735 (0.038)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0.978 (0.013)</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0.011 (0.047)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0.666 (0.030)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0.980 (0.010)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0.015 (0.047)</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0.665 (0.030)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0.980 (0.010)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0.407 (0.044)</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0.747 (0.031)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0.945 (0.016)</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-0.834 (0.213)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3.114 (0.198)</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0.970 (0.012)</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-0.005 (0.046)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0.645 (0.030)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Joint-quality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-0.015 (0.060)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0.840 (0.043)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0.970 (0.012)</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Same design, conditional projection</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0.030 (0.056)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0.794 (0.041)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Previous grid bridge</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0.051 (0.056)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0.780 (0.043)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0.959 (0.014)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One global window</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173/200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0.061 (0.062)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0.816 (0.051)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0.965 (0.014)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Correlation proxies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0.412 (0.049)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0.802 (0.042)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0.910 (0.020)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joint readout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-0.026 (0.056)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0.796 (0.043)</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0.950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Designated proximal</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-0.024 (0.056)</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0.795 (0.042)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0.950 (0.015)</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100.0</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Unadjusted</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0.414 (0.049)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0.804 (0.042)</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0.910 (0.020)</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Factor adjustment</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-0.237 (0.179)</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2.543 (0.215)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523"/>
            <w:vAlign w:val="center"/>
          </w:tcPr>
          <w:p>
            <w:pPr>
              <w:pStyle w:val="Compact"/>
              <w:keepNext w:val="0"/>
              <w:spacing w:before="0" w:after="0" w:line="240" w:lineRule="auto"/>
              <w:jc w:val="left"/>
            </w:pPr>
            <w:r>
              <w:rPr>
                <w:rFonts w:ascii="Times New Roman" w:hAnsi="Times New Roman"/>
                <w:color w:val="000000"/>
                <w:sz w:val="22"/>
              </w:rPr>
              <w:t xml:space="preserve">VII</w:t>
            </w:r>
          </w:p>
        </w:tc>
        <w:tc>
          <w:tcPr>
            <w:tcW w:type="dxa" w:w="2158"/>
            <w:vAlign w:val="center"/>
          </w:tcPr>
          <w:p>
            <w:pPr>
              <w:pStyle w:val="Compact"/>
              <w:keepNext w:val="0"/>
              <w:spacing w:before="0" w:after="0" w:line="240" w:lineRule="auto"/>
              <w:jc w:val="center"/>
            </w:pPr>
            <w:r>
              <w:rPr>
                <w:rFonts w:ascii="Times New Roman" w:hAnsi="Times New Roman"/>
                <w:color w:val="000000"/>
                <w:sz w:val="22"/>
              </w:rPr>
              <w:t xml:space="preserve">Oracle factors</w:t>
            </w:r>
          </w:p>
        </w:tc>
        <w:tc>
          <w:tcPr>
            <w:tcW w:type="dxa" w:w="850"/>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-0.034 (0.055)</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0.775 (0.041)</w:t>
            </w:r>
          </w:p>
        </w:tc>
        <w:tc>
          <w:tcPr>
            <w:tcW w:type="dxa" w:w="1373"/>
            <w:vAlign w:val="center"/>
          </w:tcPr>
          <w:p>
            <w:pPr>
              <w:pStyle w:val="Compact"/>
              <w:keepNext w:val="0"/>
              <w:spacing w:before="0" w:after="0" w:line="240" w:lineRule="auto"/>
              <w:jc w:val="center"/>
            </w:pPr>
            <w:r>
              <w:rPr>
                <w:rFonts w:ascii="Times New Roman" w:hAnsi="Times New Roman"/>
                <w:color w:val="000000"/>
                <w:sz w:val="22"/>
              </w:rPr>
              <w:t xml:space="preserve">0.970 (0.012)</w:t>
            </w:r>
          </w:p>
        </w:tc>
        <w:tc>
          <w:tcPr>
            <w:tcW w:type="dxa" w:w="1376"/>
            <w:vAlign w:val="center"/>
          </w:tcPr>
          <w:p>
            <w:pPr>
              <w:pStyle w:val="Compact"/>
              <w:keepNext w:val="0"/>
              <w:spacing w:before="0" w:after="0" w:line="240" w:lineRule="auto"/>
              <w:jc w:val="center"/>
            </w:pPr>
            <w:r>
              <w:rPr>
                <w:rFonts w:ascii="Times New Roman" w:hAnsi="Times New Roman"/>
                <w:color w:val="000000"/>
                <w:sz w:val="22"/>
              </w:rPr>
              <w:t xml:space="preserve">—</w:t>
            </w:r>
          </w:p>
        </w:tc>
      </w:tr>
    </w:tbl>
    <w:p>
      <w:r>
        <w:br w:type="page"/>
      </w:r>
    </w:p>
    <w:p>
      <w:pPr>
        <w:pStyle w:val="BodyText"/>
        <w:keepNext/>
      </w:pPr>
      <w:r>
        <w:rPr>
          <w:b/>
          <w:bCs/>
        </w:rPr>
        <w:t xml:space="preserve">Table S4.</w:t>
      </w:r>
      <w:r>
        <w:t xml:space="preserve"> </w:t>
      </w:r>
      <w:r>
        <w:t xml:space="preserve">Joint-readout estimates grouped by fitted rank; entries are estimate (MCSE). Strata with fewer than five fits retain their counts and leave accuracy blank.</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1247"/>
        <w:gridCol w:w="660"/>
        <w:gridCol w:w="953"/>
        <w:gridCol w:w="1541"/>
        <w:gridCol w:w="1541"/>
        <w:gridCol w:w="1541"/>
        <w:gridCol w:w="1543"/>
      </w:tblGrid>
      <w:tr>
        <w:trPr>
          <w:tblHeader w:val="on"/>
          <w:tblHeader/>
          <w:cantSplit/>
        </w:trPr>
        <w:tc>
          <w:tcPr>
            <w:tcW w:type="dxa" w:w="1247"/>
            <w:vAlign w:val="center"/>
            <w:shd w:fill="F2F2F2"/>
          </w:tcPr>
          <w:p>
            <w:pPr>
              <w:pStyle w:val="Compact"/>
              <w:keepNext/>
              <w:spacing w:before="0" w:after="0" w:line="240" w:lineRule="auto"/>
              <w:jc w:val="left"/>
            </w:pPr>
            <w:r>
              <w:rPr>
                <w:rFonts w:ascii="Times New Roman" w:hAnsi="Times New Roman"/>
                <w:color w:val="000000"/>
                <w:sz w:val="22"/>
              </w:rPr>
              <w:t xml:space="preserve">Outcome</w:t>
            </w:r>
          </w:p>
        </w:tc>
        <w:tc>
          <w:tcPr>
            <w:tcW w:type="dxa" w:w="660"/>
            <w:vAlign w:val="center"/>
            <w:shd w:fill="F2F2F2"/>
          </w:tcPr>
          <w:p>
            <w:pPr>
              <w:pStyle w:val="Compact"/>
              <w:keepNext/>
              <w:spacing w:before="0" w:after="0" w:line="240" w:lineRule="auto"/>
              <w:jc w:val="center"/>
            </w:pPr>
            <w:r>
              <w:rPr>
                <w:rFonts w:ascii="Times New Roman" w:hAnsi="Times New Roman"/>
                <w:color w:val="000000"/>
                <w:sz w:val="22"/>
              </w:rPr>
              <w:t xml:space="preserve">System</w:t>
            </w:r>
          </w:p>
        </w:tc>
        <w:tc>
          <w:tcPr>
            <w:tcW w:type="dxa" w:w="953"/>
            <w:vAlign w:val="center"/>
            <w:shd w:fill="F2F2F2"/>
          </w:tcPr>
          <w:p>
            <w:pPr>
              <w:pStyle w:val="Compact"/>
              <w:keepNext/>
              <w:spacing w:before="0" w:after="0" w:line="240" w:lineRule="auto"/>
              <w:jc w:val="center"/>
            </w:pPr>
            <w:r>
              <w:rPr>
                <w:rFonts w:ascii="Times New Roman" w:hAnsi="Times New Roman"/>
                <w:color w:val="000000"/>
                <w:sz w:val="22"/>
              </w:rPr>
              <w:t xml:space="preserve">Fitted rank</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Reported</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Bias</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RMSE</w:t>
            </w:r>
          </w:p>
        </w:tc>
        <w:tc>
          <w:tcPr>
            <w:tcW w:type="dxa" w:w="1543"/>
            <w:vAlign w:val="center"/>
            <w:shd w:fill="F2F2F2"/>
          </w:tcPr>
          <w:p>
            <w:pPr>
              <w:pStyle w:val="Compact"/>
              <w:keepNext/>
              <w:spacing w:before="0" w:after="0" w:line="240" w:lineRule="auto"/>
              <w:jc w:val="center"/>
            </w:pPr>
            <w:r>
              <w:rPr>
                <w:rFonts w:ascii="Times New Roman" w:hAnsi="Times New Roman"/>
                <w:color w:val="000000"/>
                <w:sz w:val="22"/>
              </w:rPr>
              <w:t xml:space="preserve">Coverage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185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-0.006 (0.006)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0.077 (0.004)</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0.957 (0.015)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0.003 (0.026)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0.097 (0.013)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0.867 (0.088)</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185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-0.087 (0.035)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0.485 (0.025)</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0.941 (0.017)</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0.075 (0.114)</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0.431 (0.056)</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-0.002 (0.003)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0.049 (0.003)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0.964 (0.013)</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0.039 (0.021)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0.058 (0.010)</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-0.007 (0.037)</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0.512 (0.029)</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0.923 (0.019)</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0.355 (0.190)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0.520 (0.205)</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0.009 (0.006)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0.082 (0.004)</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0.937 (0.018)</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-0.023 (0.052)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0.158 (0.057)</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0.900 (0.095)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-0.021 (0.057)</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0.778 (0.042)</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0.926 (0.019)</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-0.146 (0.306)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0.930 (0.182)</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-0.001 (0.008)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0.105 (0.006)</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0.938 (0.017)</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0.105 (0.070)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0.213 (0.081)</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0.002 (0.048)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0.667 (0.031)</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0.974 (0.011)</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0.065 (0.229)</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0.608 (0.108)</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0.014 (0.012)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0.163 (0.011)</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0.963 (0.014)</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9</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-0.006 (0.067)</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0.190 (0.031)</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0.071 (0.096)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1.330 (0.077)</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0.963 (0.014)</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9</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0.717 (0.592)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1.821 (0.549)</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188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0.009 (0.005)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0.072 (0.008)</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0.963 (0.014)</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0.011 (0.023)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0.074 (0.011)</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188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0.016 (0.039)</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0.532 (0.026)</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0.941 (0.017)</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-0.203 (0.205)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0.679 (0.221)</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167</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0.001 (0.008)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0.102 (0.006)</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0.952 (0.017)</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32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0.064 (0.032)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0.191 (0.030)</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0.969 (0.031)</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4</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167</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-0.011 (0.063)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0.808 (0.046)</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0.964 (0.014)</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32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-0.017 (0.179)</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0.995 (0.120)</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1.000 (0.000)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4</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w:t>
            </w:r>
          </w:p>
        </w:tc>
      </w:tr>
    </w:tbl>
    <w:p>
      <w:r>
        <w:br w:type="page"/>
      </w:r>
    </w:p>
    <w:p>
      <w:pPr>
        <w:pStyle w:val="BodyText"/>
        <w:keepNext/>
      </w:pPr>
      <w:r>
        <w:rPr>
          <w:b/>
          <w:bCs/>
        </w:rPr>
        <w:t xml:space="preserve">Table S5.</w:t>
      </w:r>
      <w:r>
        <w:t xml:space="preserve"> </w:t>
      </w:r>
      <w:r>
        <w:t xml:space="preserve">All fresh concentrated-bridge evaluations. Shape counts are bounded/disconnected/real-line/half-line/empty. Parentheses give Monte Carlo standard errors. Effect errors use all available point fits; coverage includes every returned set; width uses single bounded intervals only.</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929"/>
        <w:gridCol w:w="492"/>
        <w:gridCol w:w="711"/>
        <w:gridCol w:w="1148"/>
        <w:gridCol w:w="1148"/>
        <w:gridCol w:w="1148"/>
        <w:gridCol w:w="1148"/>
        <w:gridCol w:w="1148"/>
        <w:gridCol w:w="1154"/>
      </w:tblGrid>
      <w:tr>
        <w:trPr>
          <w:tblHeader w:val="on"/>
          <w:tblHeader/>
          <w:cantSplit/>
        </w:trPr>
        <w:tc>
          <w:tcPr>
            <w:tcW w:type="dxa" w:w="929"/>
            <w:vAlign w:val="center"/>
            <w:shd w:fill="F2F2F2"/>
          </w:tcPr>
          <w:p>
            <w:pPr>
              <w:pStyle w:val="Compact"/>
              <w:keepNext/>
              <w:spacing w:before="0" w:after="0" w:line="240" w:lineRule="auto"/>
              <w:jc w:val="left"/>
            </w:pPr>
            <w:r>
              <w:rPr>
                <w:rFonts w:ascii="Times New Roman" w:hAnsi="Times New Roman"/>
                <w:color w:val="000000"/>
                <w:sz w:val="22"/>
              </w:rPr>
              <w:t xml:space="preserve">Target</w:t>
            </w:r>
          </w:p>
        </w:tc>
        <w:tc>
          <w:tcPr>
            <w:tcW w:type="dxa" w:w="492"/>
            <w:vAlign w:val="center"/>
            <w:shd w:fill="F2F2F2"/>
          </w:tcPr>
          <w:p>
            <w:pPr>
              <w:pStyle w:val="Compact"/>
              <w:keepNext/>
              <w:spacing w:before="0" w:after="0" w:line="240" w:lineRule="auto"/>
              <w:jc w:val="center"/>
            </w:pPr>
            <w:r>
              <w:rPr>
                <w:rFonts w:ascii="Times New Roman" w:hAnsi="Times New Roman"/>
                <w:color w:val="000000"/>
                <w:sz w:val="22"/>
              </w:rPr>
              <w:t xml:space="preserve">System</w:t>
            </w:r>
          </w:p>
        </w:tc>
        <w:tc>
          <w:tcPr>
            <w:tcW w:type="dxa" w:w="711"/>
            <w:vAlign w:val="center"/>
            <w:shd w:fill="F2F2F2"/>
          </w:tcPr>
          <w:p>
            <w:pPr>
              <w:pStyle w:val="Compact"/>
              <w:keepNext/>
              <w:spacing w:before="0" w:after="0" w:line="240" w:lineRule="auto"/>
              <w:jc w:val="center"/>
            </w:pPr>
            <w:r>
              <w:rPr>
                <w:rFonts w:ascii="Times New Roman" w:hAnsi="Times New Roman"/>
                <w:color w:val="000000"/>
                <w:sz w:val="22"/>
              </w:rPr>
              <w:t xml:space="preserve">Sets</w:t>
            </w:r>
          </w:p>
        </w:tc>
        <w:tc>
          <w:tcPr>
            <w:tcW w:type="dxa" w:w="1148"/>
            <w:vAlign w:val="center"/>
            <w:shd w:fill="F2F2F2"/>
          </w:tcPr>
          <w:p>
            <w:pPr>
              <w:pStyle w:val="Compact"/>
              <w:keepNext/>
              <w:spacing w:before="0" w:after="0" w:line="240" w:lineRule="auto"/>
              <w:jc w:val="center"/>
            </w:pPr>
            <w:r>
              <w:rPr>
                <w:rFonts w:ascii="Times New Roman" w:hAnsi="Times New Roman"/>
                <w:color w:val="000000"/>
                <w:sz w:val="22"/>
              </w:rPr>
              <w:t xml:space="preserve">Shape counts</w:t>
            </w:r>
          </w:p>
        </w:tc>
        <w:tc>
          <w:tcPr>
            <w:tcW w:type="dxa" w:w="1148"/>
            <w:vAlign w:val="center"/>
            <w:shd w:fill="F2F2F2"/>
          </w:tcPr>
          <w:p>
            <w:pPr>
              <w:pStyle w:val="Compact"/>
              <w:keepNext/>
              <w:spacing w:before="0" w:after="0" w:line="240" w:lineRule="auto"/>
              <w:jc w:val="center"/>
            </w:pPr>
            <w:r>
              <w:rPr>
                <w:rFonts w:ascii="Times New Roman" w:hAnsi="Times New Roman"/>
                <w:color w:val="000000"/>
                <w:sz w:val="22"/>
              </w:rPr>
              <w:t xml:space="preserve">Bias (MCSE)</w:t>
            </w:r>
          </w:p>
        </w:tc>
        <w:tc>
          <w:tcPr>
            <w:tcW w:type="dxa" w:w="1148"/>
            <w:vAlign w:val="center"/>
            <w:shd w:fill="F2F2F2"/>
          </w:tcPr>
          <w:p>
            <w:pPr>
              <w:pStyle w:val="Compact"/>
              <w:keepNext/>
              <w:spacing w:before="0" w:after="0" w:line="240" w:lineRule="auto"/>
              <w:jc w:val="center"/>
            </w:pPr>
            <w:r>
              <w:rPr>
                <w:rFonts w:ascii="Times New Roman" w:hAnsi="Times New Roman"/>
                <w:color w:val="000000"/>
                <w:sz w:val="22"/>
              </w:rPr>
              <w:t xml:space="preserve">RMSE (MCSE)</w:t>
            </w:r>
          </w:p>
        </w:tc>
        <w:tc>
          <w:tcPr>
            <w:tcW w:type="dxa" w:w="1148"/>
            <w:vAlign w:val="center"/>
            <w:shd w:fill="F2F2F2"/>
          </w:tcPr>
          <w:p>
            <w:pPr>
              <w:pStyle w:val="Compact"/>
              <w:keepNext/>
              <w:spacing w:before="0" w:after="0" w:line="240" w:lineRule="auto"/>
              <w:jc w:val="center"/>
            </w:pPr>
            <w:r>
              <w:rPr>
                <w:rFonts w:ascii="Times New Roman" w:hAnsi="Times New Roman"/>
                <w:color w:val="000000"/>
                <w:sz w:val="22"/>
              </w:rPr>
              <w:t xml:space="preserve">Fieller coverage</w:t>
            </w:r>
          </w:p>
        </w:tc>
        <w:tc>
          <w:tcPr>
            <w:tcW w:type="dxa" w:w="1148"/>
            <w:vAlign w:val="center"/>
            <w:shd w:fill="F2F2F2"/>
          </w:tcPr>
          <w:p>
            <w:pPr>
              <w:pStyle w:val="Compact"/>
              <w:keepNext/>
              <w:spacing w:before="0" w:after="0" w:line="240" w:lineRule="auto"/>
              <w:jc w:val="center"/>
            </w:pPr>
            <w:r>
              <w:rPr>
                <w:rFonts w:ascii="Times New Roman" w:hAnsi="Times New Roman"/>
                <w:color w:val="000000"/>
                <w:sz w:val="22"/>
              </w:rPr>
              <w:t xml:space="preserve">Normal coverage</w:t>
            </w:r>
          </w:p>
        </w:tc>
        <w:tc>
          <w:tcPr>
            <w:tcW w:type="dxa" w:w="1154"/>
            <w:vAlign w:val="center"/>
            <w:shd w:fill="F2F2F2"/>
          </w:tcPr>
          <w:p>
            <w:pPr>
              <w:pStyle w:val="Compact"/>
              <w:keepNext/>
              <w:spacing w:before="0" w:after="0" w:line="240" w:lineRule="auto"/>
              <w:jc w:val="center"/>
            </w:pPr>
            <w:r>
              <w:rPr>
                <w:rFonts w:ascii="Times New Roman" w:hAnsi="Times New Roman"/>
                <w:color w:val="000000"/>
                <w:sz w:val="22"/>
              </w:rPr>
              <w:t xml:space="preserve">Bounded width</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181/0/19/0/0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-0.001 (0.006)</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0.081 (0.004)</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0.985 (0.009)</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0.980 (0.010)</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0.408</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185/0/15/0/0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0.000 (0.005)</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0.077 (0.004)</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0.346</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189/1/6/0/2</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0.006 (0.004)</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0.051 (0.003)</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0.944 (0.016)</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0.261</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154/200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108/20/26/0/0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0.018 (0.014)</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0.168 (0.012)</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0.955 (0.017)</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0.942 (0.019)</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1.876</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185/1/12/0/2</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0.006 (0.006)</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0.086 (0.011)</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0.940 (0.017)</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0.337</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192/0/8/0/0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-0.005 (0.008)</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0.109 (0.006)</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0.925 (0.019)</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0.521</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171/0/26/0/0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-0.004 (0.009)</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0.124 (0.010)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0.964 (0.013)</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0.954 (0.015)</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0.517</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181/2/17/0/0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0.122 (0.057)</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0.813 (0.034)</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3.910</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185/0/15/0/0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0.007 (0.035)</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0.497 (0.022)</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0.960 (0.014)</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2.246</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191/1/6/0/0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0.028 (0.039)</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0.543 (0.030)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0.949 (0.016)</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2.403</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154/200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110/13/31/0/0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-0.092 (0.105)</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1.305 (0.069)</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0.955 (0.017)</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0.974 (0.013)</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14.770</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187/0/13/0/0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0.023 (0.036)</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0.504 (0.027)</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2.363</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192/0/8/0/0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-0.026 (0.057)</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0.800 (0.038)</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0.955 (0.015)</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0.930 (0.018)</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3.799</w:t>
            </w:r>
          </w:p>
        </w:tc>
      </w:tr>
      <w:tr>
        <w:trPr>
          <w:cantSplit/>
        </w:trPr>
        <w:tc>
          <w:tcPr>
            <w:tcW w:type="dxa" w:w="929"/>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492"/>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711"/>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171/0/26/0/0</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-0.010 (0.063)</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0.877 (0.043)</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148"/>
            <w:vAlign w:val="center"/>
          </w:tcPr>
          <w:p>
            <w:pPr>
              <w:pStyle w:val="Compact"/>
              <w:keepNext w:val="0"/>
              <w:spacing w:before="0" w:after="0" w:line="240" w:lineRule="auto"/>
              <w:jc w:val="center"/>
            </w:pPr>
            <w:r>
              <w:rPr>
                <w:rFonts w:ascii="Times New Roman" w:hAnsi="Times New Roman"/>
                <w:color w:val="000000"/>
                <w:sz w:val="22"/>
              </w:rPr>
              <w:t xml:space="preserve">0.959 (0.014)</w:t>
            </w:r>
          </w:p>
        </w:tc>
        <w:tc>
          <w:tcPr>
            <w:tcW w:type="dxa" w:w="1154"/>
            <w:vAlign w:val="center"/>
          </w:tcPr>
          <w:p>
            <w:pPr>
              <w:pStyle w:val="Compact"/>
              <w:keepNext w:val="0"/>
              <w:spacing w:before="0" w:after="0" w:line="240" w:lineRule="auto"/>
              <w:jc w:val="center"/>
            </w:pPr>
            <w:r>
              <w:rPr>
                <w:rFonts w:ascii="Times New Roman" w:hAnsi="Times New Roman"/>
                <w:color w:val="000000"/>
                <w:sz w:val="22"/>
              </w:rPr>
              <w:t xml:space="preserve">3.921</w:t>
            </w:r>
          </w:p>
        </w:tc>
      </w:tr>
    </w:tbl>
    <w:p>
      <w:r>
        <w:br w:type="page"/>
      </w:r>
    </w:p>
    <w:p>
      <w:pPr>
        <w:pStyle w:val="BodyText"/>
        <w:keepNext/>
      </w:pPr>
      <w:r>
        <w:rPr>
          <w:b/>
          <w:bCs/>
        </w:rPr>
        <w:t xml:space="preserve">Table S6.</w:t>
      </w:r>
      <w:r>
        <w:t xml:space="preserve"> </w:t>
      </w:r>
      <w:r>
        <w:t xml:space="preserve">Fresh conditional-design validation. Parentheses give Monte Carlo standard errors. Point fits and intervals have separate denominators.</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1247"/>
        <w:gridCol w:w="660"/>
        <w:gridCol w:w="953"/>
        <w:gridCol w:w="1541"/>
        <w:gridCol w:w="1541"/>
        <w:gridCol w:w="1541"/>
        <w:gridCol w:w="1543"/>
      </w:tblGrid>
      <w:tr>
        <w:trPr>
          <w:tblHeader w:val="on"/>
          <w:tblHeader/>
          <w:cantSplit/>
        </w:trPr>
        <w:tc>
          <w:tcPr>
            <w:tcW w:type="dxa" w:w="1247"/>
            <w:vAlign w:val="center"/>
            <w:shd w:fill="F2F2F2"/>
          </w:tcPr>
          <w:p>
            <w:pPr>
              <w:pStyle w:val="Compact"/>
              <w:keepNext/>
              <w:spacing w:before="0" w:after="0" w:line="240" w:lineRule="auto"/>
              <w:jc w:val="left"/>
            </w:pPr>
            <w:r>
              <w:rPr>
                <w:rFonts w:ascii="Times New Roman" w:hAnsi="Times New Roman"/>
                <w:color w:val="000000"/>
                <w:sz w:val="22"/>
              </w:rPr>
              <w:t xml:space="preserve">Target</w:t>
            </w:r>
          </w:p>
        </w:tc>
        <w:tc>
          <w:tcPr>
            <w:tcW w:type="dxa" w:w="660"/>
            <w:vAlign w:val="center"/>
            <w:shd w:fill="F2F2F2"/>
          </w:tcPr>
          <w:p>
            <w:pPr>
              <w:pStyle w:val="Compact"/>
              <w:keepNext/>
              <w:spacing w:before="0" w:after="0" w:line="240" w:lineRule="auto"/>
              <w:jc w:val="center"/>
            </w:pPr>
            <w:r>
              <w:rPr>
                <w:rFonts w:ascii="Times New Roman" w:hAnsi="Times New Roman"/>
                <w:color w:val="000000"/>
                <w:sz w:val="22"/>
              </w:rPr>
              <w:t xml:space="preserve">System</w:t>
            </w:r>
          </w:p>
        </w:tc>
        <w:tc>
          <w:tcPr>
            <w:tcW w:type="dxa" w:w="953"/>
            <w:vAlign w:val="center"/>
            <w:shd w:fill="F2F2F2"/>
          </w:tcPr>
          <w:p>
            <w:pPr>
              <w:pStyle w:val="Compact"/>
              <w:keepNext/>
              <w:spacing w:before="0" w:after="0" w:line="240" w:lineRule="auto"/>
              <w:jc w:val="center"/>
            </w:pPr>
            <w:r>
              <w:rPr>
                <w:rFonts w:ascii="Times New Roman" w:hAnsi="Times New Roman"/>
                <w:color w:val="000000"/>
                <w:sz w:val="22"/>
              </w:rPr>
              <w:t xml:space="preserve">Point fits</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Intervals</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Bias (MCSE)</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RMSE (MCSE)</w:t>
            </w:r>
          </w:p>
        </w:tc>
        <w:tc>
          <w:tcPr>
            <w:tcW w:type="dxa" w:w="1543"/>
            <w:vAlign w:val="center"/>
            <w:shd w:fill="F2F2F2"/>
          </w:tcPr>
          <w:p>
            <w:pPr>
              <w:pStyle w:val="Compact"/>
              <w:keepNext/>
              <w:spacing w:before="0" w:after="0" w:line="240" w:lineRule="auto"/>
              <w:jc w:val="center"/>
            </w:pPr>
            <w:r>
              <w:rPr>
                <w:rFonts w:ascii="Times New Roman" w:hAnsi="Times New Roman"/>
                <w:color w:val="000000"/>
                <w:sz w:val="22"/>
              </w:rPr>
              <w:t xml:space="preserve">Coverage (MCSE)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-0.001 (0.006)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0.082 (0.004)</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0.949 (0.016)</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-0.005 (0.005)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0.074 (0.003)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0.965 (0.013)</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199/200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199/200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-0.002 (0.004)</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0.054 (0.003)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0.955 (0.015)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156/200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156/200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0.027 (0.012)</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0.152 (0.009)</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0.942 (0.019)</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0.006 (0.004)</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0.063 (0.003)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0.975 (0.011)</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0.010 (0.008)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0.107 (0.006)</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0.955 (0.015)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0.008 (0.008)</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0.111 (0.006)</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0.954 (0.015)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0.004 (0.057)</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0.794 (0.041)</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0.924 (0.019)</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-0.018 (0.035)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0.495 (0.026)</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0.940 (0.017)</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199/200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199/200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-0.042 (0.034)</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0.487 (0.023)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0.950 (0.015)</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156/200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156/200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0.100 (0.086)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1.073 (0.063)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0.974 (0.013)</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0.008 (0.034)</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0.473 (0.024)</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0.929 (0.018)</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198/200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0.049 (0.051)</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0.722 (0.031)</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0.985 (0.009)</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-0.022 (0.066)</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0.925 (0.051)</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0.954 (0.015)</w:t>
            </w:r>
          </w:p>
        </w:tc>
      </w:tr>
    </w:tbl>
    <w:p>
      <w:r>
        <w:br w:type="page"/>
      </w:r>
    </w:p>
    <w:p>
      <w:pPr>
        <w:pStyle w:val="BodyText"/>
        <w:keepNext/>
      </w:pPr>
      <w:r>
        <w:rPr>
          <w:b/>
          <w:bCs/>
        </w:rPr>
        <w:t xml:space="preserve">Table S7.</w:t>
      </w:r>
      <w:r>
        <w:t xml:space="preserve"> </w:t>
      </w:r>
      <w:r>
        <w:t xml:space="preserve">Complete construction and fixed-design inference on the same fresh datasets. Coverage is conditional on a completed interval; Monte Carlo standard errors are in parentheses. Coverage and width are not summarised when fewer than five intervals complete.</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1247"/>
        <w:gridCol w:w="660"/>
        <w:gridCol w:w="953"/>
        <w:gridCol w:w="1541"/>
        <w:gridCol w:w="1541"/>
        <w:gridCol w:w="1541"/>
        <w:gridCol w:w="1543"/>
      </w:tblGrid>
      <w:tr>
        <w:trPr>
          <w:tblHeader w:val="on"/>
          <w:tblHeader/>
          <w:cantSplit/>
        </w:trPr>
        <w:tc>
          <w:tcPr>
            <w:tcW w:type="dxa" w:w="1247"/>
            <w:vAlign w:val="center"/>
            <w:shd w:fill="F2F2F2"/>
          </w:tcPr>
          <w:p>
            <w:pPr>
              <w:pStyle w:val="Compact"/>
              <w:keepNext/>
              <w:spacing w:before="0" w:after="0" w:line="240" w:lineRule="auto"/>
              <w:jc w:val="left"/>
            </w:pPr>
            <w:r>
              <w:rPr>
                <w:rFonts w:ascii="Times New Roman" w:hAnsi="Times New Roman"/>
                <w:color w:val="000000"/>
                <w:sz w:val="22"/>
              </w:rPr>
              <w:t xml:space="preserve">Target</w:t>
            </w:r>
          </w:p>
        </w:tc>
        <w:tc>
          <w:tcPr>
            <w:tcW w:type="dxa" w:w="660"/>
            <w:vAlign w:val="center"/>
            <w:shd w:fill="F2F2F2"/>
          </w:tcPr>
          <w:p>
            <w:pPr>
              <w:pStyle w:val="Compact"/>
              <w:keepNext/>
              <w:spacing w:before="0" w:after="0" w:line="240" w:lineRule="auto"/>
              <w:jc w:val="center"/>
            </w:pPr>
            <w:r>
              <w:rPr>
                <w:rFonts w:ascii="Times New Roman" w:hAnsi="Times New Roman"/>
                <w:color w:val="000000"/>
                <w:sz w:val="22"/>
              </w:rPr>
              <w:t xml:space="preserve">System</w:t>
            </w:r>
          </w:p>
        </w:tc>
        <w:tc>
          <w:tcPr>
            <w:tcW w:type="dxa" w:w="953"/>
            <w:vAlign w:val="center"/>
            <w:shd w:fill="F2F2F2"/>
          </w:tcPr>
          <w:p>
            <w:pPr>
              <w:pStyle w:val="Compact"/>
              <w:keepNext/>
              <w:spacing w:before="0" w:after="0" w:line="240" w:lineRule="auto"/>
              <w:jc w:val="center"/>
            </w:pPr>
            <w:r>
              <w:rPr>
                <w:rFonts w:ascii="Times New Roman" w:hAnsi="Times New Roman"/>
                <w:color w:val="000000"/>
                <w:sz w:val="22"/>
              </w:rPr>
              <w:t xml:space="preserve">Inference</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Point fits</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Intervals</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Coverage (MCSE)</w:t>
            </w:r>
          </w:p>
        </w:tc>
        <w:tc>
          <w:tcPr>
            <w:tcW w:type="dxa" w:w="1543"/>
            <w:vAlign w:val="center"/>
            <w:shd w:fill="F2F2F2"/>
          </w:tcPr>
          <w:p>
            <w:pPr>
              <w:pStyle w:val="Compact"/>
              <w:keepNext/>
              <w:spacing w:before="0" w:after="0" w:line="240" w:lineRule="auto"/>
              <w:jc w:val="center"/>
            </w:pPr>
            <w:r>
              <w:rPr>
                <w:rFonts w:ascii="Times New Roman" w:hAnsi="Times New Roman"/>
                <w:color w:val="000000"/>
                <w:sz w:val="22"/>
              </w:rPr>
              <w:t xml:space="preserve">Mean width</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Complete construction</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100/100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Fixed-design reference</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100/100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100/100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0.960 (0.020)</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0.312</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Complete construction</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80/100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Fixed-design reference</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80/100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80/100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0.950 (0.024)</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0.578</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Complete construction</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98/100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Fixed-design reference</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98/100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98/100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0.980 (0.014)</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0.433</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Complete construction</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100/100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Fixed-design reference</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100/100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100/100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0.960 (0.020)</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3.049</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Complete construction</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80/100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Fixed-design reference</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80/100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80/100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0.975 (0.017)</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4.926</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Complete construction</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98/100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Fixed-design reference</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98/100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98/100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0.939 (0.024)</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3.386</w:t>
            </w:r>
          </w:p>
        </w:tc>
      </w:tr>
    </w:tbl>
    <w:p>
      <w:r>
        <w:br w:type="page"/>
      </w:r>
    </w:p>
    <w:p>
      <w:pPr>
        <w:pStyle w:val="BodyText"/>
        <w:keepNext/>
      </w:pPr>
      <w:r>
        <w:rPr>
          <w:b/>
          <w:bCs/>
        </w:rPr>
        <w:t xml:space="preserve">Table S8.</w:t>
      </w:r>
      <w:r>
        <w:t xml:space="preserve"> </w:t>
      </w:r>
      <w:r>
        <w:t xml:space="preserve">Fresh concentrated-bridge inference. Parentheses give Monte Carlo standard errors. Unbounded sets have infinite endpoints; other includes finite disconnected or empty sets. All returned shapes enter coverage.</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1065"/>
        <w:gridCol w:w="564"/>
        <w:gridCol w:w="814"/>
        <w:gridCol w:w="1316"/>
        <w:gridCol w:w="1316"/>
        <w:gridCol w:w="1316"/>
        <w:gridCol w:w="1316"/>
        <w:gridCol w:w="1319"/>
      </w:tblGrid>
      <w:tr>
        <w:trPr>
          <w:tblHeader w:val="on"/>
          <w:tblHeader/>
          <w:cantSplit/>
        </w:trPr>
        <w:tc>
          <w:tcPr>
            <w:tcW w:type="dxa" w:w="1065"/>
            <w:vAlign w:val="center"/>
            <w:shd w:fill="F2F2F2"/>
          </w:tcPr>
          <w:p>
            <w:pPr>
              <w:pStyle w:val="Compact"/>
              <w:keepNext/>
              <w:spacing w:before="0" w:after="0" w:line="240" w:lineRule="auto"/>
              <w:jc w:val="left"/>
            </w:pPr>
            <w:r>
              <w:rPr>
                <w:rFonts w:ascii="Times New Roman" w:hAnsi="Times New Roman"/>
                <w:color w:val="000000"/>
                <w:sz w:val="22"/>
              </w:rPr>
              <w:t xml:space="preserve">Target</w:t>
            </w:r>
          </w:p>
        </w:tc>
        <w:tc>
          <w:tcPr>
            <w:tcW w:type="dxa" w:w="564"/>
            <w:vAlign w:val="center"/>
            <w:shd w:fill="F2F2F2"/>
          </w:tcPr>
          <w:p>
            <w:pPr>
              <w:pStyle w:val="Compact"/>
              <w:keepNext/>
              <w:spacing w:before="0" w:after="0" w:line="240" w:lineRule="auto"/>
              <w:jc w:val="center"/>
            </w:pPr>
            <w:r>
              <w:rPr>
                <w:rFonts w:ascii="Times New Roman" w:hAnsi="Times New Roman"/>
                <w:color w:val="000000"/>
                <w:sz w:val="22"/>
              </w:rPr>
              <w:t xml:space="preserve">System</w:t>
            </w:r>
          </w:p>
        </w:tc>
        <w:tc>
          <w:tcPr>
            <w:tcW w:type="dxa" w:w="814"/>
            <w:vAlign w:val="center"/>
            <w:shd w:fill="F2F2F2"/>
          </w:tcPr>
          <w:p>
            <w:pPr>
              <w:pStyle w:val="Compact"/>
              <w:keepNext/>
              <w:spacing w:before="0" w:after="0" w:line="240" w:lineRule="auto"/>
              <w:jc w:val="center"/>
            </w:pPr>
            <w:r>
              <w:rPr>
                <w:rFonts w:ascii="Times New Roman" w:hAnsi="Times New Roman"/>
                <w:color w:val="000000"/>
                <w:sz w:val="22"/>
              </w:rPr>
              <w:t xml:space="preserve">Sets</w:t>
            </w:r>
          </w:p>
        </w:tc>
        <w:tc>
          <w:tcPr>
            <w:tcW w:type="dxa" w:w="1316"/>
            <w:vAlign w:val="center"/>
            <w:shd w:fill="F2F2F2"/>
          </w:tcPr>
          <w:p>
            <w:pPr>
              <w:pStyle w:val="Compact"/>
              <w:keepNext/>
              <w:spacing w:before="0" w:after="0" w:line="240" w:lineRule="auto"/>
              <w:jc w:val="center"/>
            </w:pPr>
            <w:r>
              <w:rPr>
                <w:rFonts w:ascii="Times New Roman" w:hAnsi="Times New Roman"/>
                <w:color w:val="000000"/>
                <w:sz w:val="22"/>
              </w:rPr>
              <w:t xml:space="preserve">Single bounded</w:t>
            </w:r>
          </w:p>
        </w:tc>
        <w:tc>
          <w:tcPr>
            <w:tcW w:type="dxa" w:w="1316"/>
            <w:vAlign w:val="center"/>
            <w:shd w:fill="F2F2F2"/>
          </w:tcPr>
          <w:p>
            <w:pPr>
              <w:pStyle w:val="Compact"/>
              <w:keepNext/>
              <w:spacing w:before="0" w:after="0" w:line="240" w:lineRule="auto"/>
              <w:jc w:val="center"/>
            </w:pPr>
            <w:r>
              <w:rPr>
                <w:rFonts w:ascii="Times New Roman" w:hAnsi="Times New Roman"/>
                <w:color w:val="000000"/>
                <w:sz w:val="22"/>
              </w:rPr>
              <w:t xml:space="preserve">Unbounded</w:t>
            </w:r>
          </w:p>
        </w:tc>
        <w:tc>
          <w:tcPr>
            <w:tcW w:type="dxa" w:w="1316"/>
            <w:vAlign w:val="center"/>
            <w:shd w:fill="F2F2F2"/>
          </w:tcPr>
          <w:p>
            <w:pPr>
              <w:pStyle w:val="Compact"/>
              <w:keepNext/>
              <w:spacing w:before="0" w:after="0" w:line="240" w:lineRule="auto"/>
              <w:jc w:val="center"/>
            </w:pPr>
            <w:r>
              <w:rPr>
                <w:rFonts w:ascii="Times New Roman" w:hAnsi="Times New Roman"/>
                <w:color w:val="000000"/>
                <w:sz w:val="22"/>
              </w:rPr>
              <w:t xml:space="preserve">Other</w:t>
            </w:r>
          </w:p>
        </w:tc>
        <w:tc>
          <w:tcPr>
            <w:tcW w:type="dxa" w:w="1316"/>
            <w:vAlign w:val="center"/>
            <w:shd w:fill="F2F2F2"/>
          </w:tcPr>
          <w:p>
            <w:pPr>
              <w:pStyle w:val="Compact"/>
              <w:keepNext/>
              <w:spacing w:before="0" w:after="0" w:line="240" w:lineRule="auto"/>
              <w:jc w:val="center"/>
            </w:pPr>
            <w:r>
              <w:rPr>
                <w:rFonts w:ascii="Times New Roman" w:hAnsi="Times New Roman"/>
                <w:color w:val="000000"/>
                <w:sz w:val="22"/>
              </w:rPr>
              <w:t xml:space="preserve">Fieller coverage</w:t>
            </w:r>
          </w:p>
        </w:tc>
        <w:tc>
          <w:tcPr>
            <w:tcW w:type="dxa" w:w="1319"/>
            <w:vAlign w:val="center"/>
            <w:shd w:fill="F2F2F2"/>
          </w:tcPr>
          <w:p>
            <w:pPr>
              <w:pStyle w:val="Compact"/>
              <w:keepNext/>
              <w:spacing w:before="0" w:after="0" w:line="240" w:lineRule="auto"/>
              <w:jc w:val="center"/>
            </w:pPr>
            <w:r>
              <w:rPr>
                <w:rFonts w:ascii="Times New Roman" w:hAnsi="Times New Roman"/>
                <w:color w:val="000000"/>
                <w:sz w:val="22"/>
              </w:rPr>
              <w:t xml:space="preserve">Normal coverage</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181/200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19</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0.985 (0.009)</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0.980 (0.010)</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154/200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108/154</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44</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0.955 (0.017)</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0.942 (0.019)</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LINEAR</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171/197</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26</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0.964 (0.013)</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0.954 (0.015)</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200/200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181/200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19</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0.960 (0.014)</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IV</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154/200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110/154</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44</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0.955 (0.017)</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0.974 (0.013)</w:t>
            </w:r>
          </w:p>
        </w:tc>
      </w:tr>
      <w:tr>
        <w:trPr>
          <w:cantSplit/>
        </w:trPr>
        <w:tc>
          <w:tcPr>
            <w:tcW w:type="dxa" w:w="1065"/>
            <w:vAlign w:val="center"/>
          </w:tcPr>
          <w:p>
            <w:pPr>
              <w:pStyle w:val="Compact"/>
              <w:keepNext w:val="0"/>
              <w:spacing w:before="0" w:after="0" w:line="240" w:lineRule="auto"/>
              <w:jc w:val="left"/>
            </w:pPr>
            <w:r>
              <w:rPr>
                <w:rFonts w:ascii="Times New Roman" w:hAnsi="Times New Roman"/>
                <w:color w:val="000000"/>
                <w:sz w:val="22"/>
              </w:rPr>
              <w:t xml:space="preserve">RMST</w:t>
            </w:r>
          </w:p>
        </w:tc>
        <w:tc>
          <w:tcPr>
            <w:tcW w:type="dxa" w:w="564"/>
            <w:vAlign w:val="center"/>
          </w:tcPr>
          <w:p>
            <w:pPr>
              <w:pStyle w:val="Compact"/>
              <w:keepNext w:val="0"/>
              <w:spacing w:before="0" w:after="0" w:line="240" w:lineRule="auto"/>
              <w:jc w:val="center"/>
            </w:pPr>
            <w:r>
              <w:rPr>
                <w:rFonts w:ascii="Times New Roman" w:hAnsi="Times New Roman"/>
                <w:color w:val="000000"/>
                <w:sz w:val="22"/>
              </w:rPr>
              <w:t xml:space="preserve">VII</w:t>
            </w:r>
          </w:p>
        </w:tc>
        <w:tc>
          <w:tcPr>
            <w:tcW w:type="dxa" w:w="814"/>
            <w:vAlign w:val="center"/>
          </w:tcPr>
          <w:p>
            <w:pPr>
              <w:pStyle w:val="Compact"/>
              <w:keepNext w:val="0"/>
              <w:spacing w:before="0" w:after="0" w:line="240" w:lineRule="auto"/>
              <w:jc w:val="center"/>
            </w:pPr>
            <w:r>
              <w:rPr>
                <w:rFonts w:ascii="Times New Roman" w:hAnsi="Times New Roman"/>
                <w:color w:val="000000"/>
                <w:sz w:val="22"/>
              </w:rPr>
              <w:t xml:space="preserve">197/200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171/197</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26</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w:t>
            </w:r>
          </w:p>
        </w:tc>
        <w:tc>
          <w:tcPr>
            <w:tcW w:type="dxa" w:w="1316"/>
            <w:vAlign w:val="center"/>
          </w:tcPr>
          <w:p>
            <w:pPr>
              <w:pStyle w:val="Compact"/>
              <w:keepNext w:val="0"/>
              <w:spacing w:before="0" w:after="0" w:line="240" w:lineRule="auto"/>
              <w:jc w:val="center"/>
            </w:pPr>
            <w:r>
              <w:rPr>
                <w:rFonts w:ascii="Times New Roman" w:hAnsi="Times New Roman"/>
                <w:color w:val="000000"/>
                <w:sz w:val="22"/>
              </w:rPr>
              <w:t xml:space="preserve">0.975 (0.011)</w:t>
            </w:r>
          </w:p>
        </w:tc>
        <w:tc>
          <w:tcPr>
            <w:tcW w:type="dxa" w:w="1319"/>
            <w:vAlign w:val="center"/>
          </w:tcPr>
          <w:p>
            <w:pPr>
              <w:pStyle w:val="Compact"/>
              <w:keepNext w:val="0"/>
              <w:spacing w:before="0" w:after="0" w:line="240" w:lineRule="auto"/>
              <w:jc w:val="center"/>
            </w:pPr>
            <w:r>
              <w:rPr>
                <w:rFonts w:ascii="Times New Roman" w:hAnsi="Times New Roman"/>
                <w:color w:val="000000"/>
                <w:sz w:val="22"/>
              </w:rPr>
              <w:t xml:space="preserve">0.959 (0.014)</w:t>
            </w:r>
          </w:p>
        </w:tc>
      </w:tr>
    </w:tbl>
    <w:p>
      <w:r>
        <w:br w:type="page"/>
      </w:r>
    </w:p>
    <w:p>
      <w:pPr>
        <w:pStyle w:val="BodyText"/>
        <w:keepNext/>
      </w:pPr>
      <w:r>
        <w:rPr>
          <w:b/>
          <w:bCs/>
        </w:rPr>
        <w:t xml:space="preserve">Table S9.</w:t>
      </w:r>
      <w:r>
        <w:t xml:space="preserve"> </w:t>
      </w:r>
      <w:r>
        <w:t xml:space="preserve">Concentrated-bridge point estimates and 95% Fieller confidence sets, conditional on molecular roles, rank and finite pivots. Full construction completion is reported separately.</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938"/>
        <w:gridCol w:w="1299"/>
        <w:gridCol w:w="577"/>
        <w:gridCol w:w="2599"/>
        <w:gridCol w:w="2599"/>
        <w:gridCol w:w="1014"/>
      </w:tblGrid>
      <w:tr>
        <w:trPr>
          <w:tblHeader w:val="on"/>
          <w:tblHeader/>
          <w:cantSplit/>
        </w:trPr>
        <w:tc>
          <w:tcPr>
            <w:tcW w:type="dxa" w:w="938"/>
            <w:vAlign w:val="center"/>
            <w:shd w:fill="F2F2F2"/>
          </w:tcPr>
          <w:p>
            <w:pPr>
              <w:pStyle w:val="Compact"/>
              <w:keepNext/>
              <w:spacing w:before="0" w:after="0" w:line="240" w:lineRule="auto"/>
              <w:jc w:val="left"/>
            </w:pPr>
            <w:r>
              <w:rPr>
                <w:rFonts w:ascii="Times New Roman" w:hAnsi="Times New Roman"/>
                <w:color w:val="000000"/>
                <w:sz w:val="22"/>
              </w:rPr>
              <w:t xml:space="preserve">Cohort</w:t>
            </w:r>
          </w:p>
        </w:tc>
        <w:tc>
          <w:tcPr>
            <w:tcW w:type="dxa" w:w="1299"/>
            <w:vAlign w:val="center"/>
            <w:shd w:fill="F2F2F2"/>
          </w:tcPr>
          <w:p>
            <w:pPr>
              <w:pStyle w:val="Compact"/>
              <w:keepNext/>
              <w:spacing w:before="0" w:after="0" w:line="240" w:lineRule="auto"/>
              <w:jc w:val="center"/>
            </w:pPr>
            <w:r>
              <w:rPr>
                <w:rFonts w:ascii="Times New Roman" w:hAnsi="Times New Roman"/>
                <w:color w:val="000000"/>
                <w:sz w:val="22"/>
              </w:rPr>
              <w:t xml:space="preserve">Protein</w:t>
            </w:r>
          </w:p>
        </w:tc>
        <w:tc>
          <w:tcPr>
            <w:tcW w:type="dxa" w:w="577"/>
            <w:vAlign w:val="center"/>
            <w:shd w:fill="F2F2F2"/>
          </w:tcPr>
          <w:p>
            <w:pPr>
              <w:pStyle w:val="Compact"/>
              <w:keepNext/>
              <w:spacing w:before="0" w:after="0" w:line="240" w:lineRule="auto"/>
              <w:jc w:val="center"/>
            </w:pPr>
            <w:r>
              <w:rPr>
                <w:rFonts w:ascii="Times New Roman" w:hAnsi="Times New Roman"/>
                <w:color w:val="000000"/>
                <w:sz w:val="22"/>
              </w:rPr>
              <w:t xml:space="preserve">Rank</w:t>
            </w:r>
          </w:p>
        </w:tc>
        <w:tc>
          <w:tcPr>
            <w:tcW w:type="dxa" w:w="2599"/>
            <w:vAlign w:val="center"/>
            <w:shd w:fill="F2F2F2"/>
          </w:tcPr>
          <w:p>
            <w:pPr>
              <w:pStyle w:val="Compact"/>
              <w:keepNext/>
              <w:spacing w:before="0" w:after="0" w:line="240" w:lineRule="auto"/>
              <w:jc w:val="center"/>
            </w:pPr>
            <w:r>
              <w:rPr>
                <w:rFonts w:ascii="Times New Roman" w:hAnsi="Times New Roman"/>
                <w:color w:val="000000"/>
                <w:sz w:val="22"/>
              </w:rPr>
              <w:t xml:space="preserve">RMST months and set</w:t>
            </w:r>
          </w:p>
        </w:tc>
        <w:tc>
          <w:tcPr>
            <w:tcW w:type="dxa" w:w="2599"/>
            <w:vAlign w:val="center"/>
            <w:shd w:fill="F2F2F2"/>
          </w:tcPr>
          <w:p>
            <w:pPr>
              <w:pStyle w:val="Compact"/>
              <w:keepNext/>
              <w:spacing w:before="0" w:after="0" w:line="240" w:lineRule="auto"/>
              <w:jc w:val="center"/>
            </w:pPr>
            <w:r>
              <w:rPr>
                <w:rFonts w:ascii="Times New Roman" w:hAnsi="Times New Roman"/>
                <w:color w:val="000000"/>
                <w:sz w:val="22"/>
              </w:rPr>
              <w:t xml:space="preserve">Survival points and set</w:t>
            </w:r>
          </w:p>
        </w:tc>
        <w:tc>
          <w:tcPr>
            <w:tcW w:type="dxa" w:w="1014"/>
            <w:vAlign w:val="center"/>
            <w:shd w:fill="F2F2F2"/>
          </w:tcPr>
          <w:p>
            <w:pPr>
              <w:pStyle w:val="Compact"/>
              <w:keepNext/>
              <w:spacing w:before="0" w:after="0" w:line="240" w:lineRule="auto"/>
              <w:jc w:val="center"/>
            </w:pPr>
            <w:r>
              <w:rPr>
                <w:rFonts w:ascii="Times New Roman" w:hAnsi="Times New Roman"/>
                <w:color w:val="000000"/>
                <w:sz w:val="22"/>
              </w:rPr>
              <w:t xml:space="preserve">Full completion</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BCL2L11</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-0.01; [-3.87, 4.63]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-1.3; [-24.18, 60.38]</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0.190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CASP7</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-0.51;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-4.1;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0.353</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CAV1</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-1.61;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-9.4;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0.170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CCNB1</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6</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-1.51; [-81.23, 14.00]</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-3.1; [-96.87, 461.56]</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0.343</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CLDN7</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5</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-2.09; [-9.80, 4.30]</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-8.9; [-50.91, 37.00]</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0.213</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DIABLO</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-0.15; [-3.17, 2.63]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-1.9; [-17.67, 11.96]</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0.257</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EEF2</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-0.20; [-9.89, 2.66]</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-1.4; [-41.83, 12.53]</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0.230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EIF4G1</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-3.45;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-19.3;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0.233</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FASN</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4</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-4.08;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-18.1;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0.123</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G6PD</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1.43; [-6.40, 76.67]</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10.1; [-29.95, 396.07]</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0.287</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KDR</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1</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-1.57; [-5.58, 0.76]</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-8.4; [-39.58, 5.19]</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0.150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PDCD4</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-0.72;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-4.5;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0.177</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PREX1</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4</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-1.95;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-12.3;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0.250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RBM15</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1.89;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-4.7;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0.203</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RICTOR</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5</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0.40;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2.7;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0.210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SYK</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1.79; [-1.30, 6.56]</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7.7; [-36.93, 50.37]</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0.190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TP53BP1</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-0.53; [-4.61, 3.22]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4.2; [-14.52, 24.05]</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0.160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OV</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ASNS</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-1.71; [-4.28, 0.13]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1.5; [-11.53, 11.44]</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0.240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OV</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BCL2L11</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-0.41;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-0.1;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0.187</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OV</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BRAF</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0.93;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10.5;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0.183</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OV</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CDH1</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-0.64; [-3.66, 3.43]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5.0; [-2.09, 14.45]</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0.137</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OV</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CDH2</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1.70;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12.0;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0.250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OV</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CLDN7</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3</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0.12;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-2.2; (-∞, 21.80] ∪ [39.93, ∞)</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0.103</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OV</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GAB2</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1.75; [-0.60, 4.74]</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6.8; [-7.13, 18.84]</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0.150</w:t>
            </w:r>
          </w:p>
        </w:tc>
      </w:tr>
      <w:tr>
        <w:trPr>
          <w:cantSplit/>
        </w:trPr>
        <w:tc>
          <w:tcPr>
            <w:tcW w:type="dxa" w:w="938"/>
            <w:vAlign w:val="center"/>
          </w:tcPr>
          <w:p>
            <w:pPr>
              <w:pStyle w:val="Compact"/>
              <w:keepNext w:val="0"/>
              <w:spacing w:before="0" w:after="0" w:line="240" w:lineRule="auto"/>
              <w:jc w:val="left"/>
            </w:pPr>
            <w:r>
              <w:rPr>
                <w:rFonts w:ascii="Times New Roman" w:hAnsi="Times New Roman"/>
                <w:color w:val="000000"/>
                <w:sz w:val="22"/>
              </w:rPr>
              <w:t xml:space="preserve">OV</w:t>
            </w:r>
          </w:p>
        </w:tc>
        <w:tc>
          <w:tcPr>
            <w:tcW w:type="dxa" w:w="1299"/>
            <w:vAlign w:val="center"/>
          </w:tcPr>
          <w:p>
            <w:pPr>
              <w:pStyle w:val="Compact"/>
              <w:keepNext w:val="0"/>
              <w:spacing w:before="0" w:after="0" w:line="240" w:lineRule="auto"/>
              <w:jc w:val="center"/>
            </w:pPr>
            <w:r>
              <w:rPr>
                <w:rFonts w:ascii="Times New Roman" w:hAnsi="Times New Roman"/>
                <w:color w:val="000000"/>
                <w:sz w:val="22"/>
              </w:rPr>
              <w:t xml:space="preserve">HSPA1A</w:t>
            </w:r>
          </w:p>
        </w:tc>
        <w:tc>
          <w:tcPr>
            <w:tcW w:type="dxa" w:w="577"/>
            <w:vAlign w:val="center"/>
          </w:tcPr>
          <w:p>
            <w:pPr>
              <w:pStyle w:val="Compact"/>
              <w:keepNext w:val="0"/>
              <w:spacing w:before="0" w:after="0" w:line="240" w:lineRule="auto"/>
              <w:jc w:val="center"/>
            </w:pPr>
            <w:r>
              <w:rPr>
                <w:rFonts w:ascii="Times New Roman" w:hAnsi="Times New Roman"/>
                <w:color w:val="000000"/>
                <w:sz w:val="22"/>
              </w:rPr>
              <w:t xml:space="preserve">2</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2.71; All real values</w:t>
            </w:r>
          </w:p>
        </w:tc>
        <w:tc>
          <w:tcPr>
            <w:tcW w:type="dxa" w:w="2599"/>
            <w:vAlign w:val="center"/>
          </w:tcPr>
          <w:p>
            <w:pPr>
              <w:pStyle w:val="Compact"/>
              <w:keepNext w:val="0"/>
              <w:spacing w:before="0" w:after="0" w:line="240" w:lineRule="auto"/>
              <w:jc w:val="center"/>
            </w:pPr>
            <w:r>
              <w:rPr>
                <w:rFonts w:ascii="Times New Roman" w:hAnsi="Times New Roman"/>
                <w:color w:val="000000"/>
                <w:sz w:val="22"/>
              </w:rPr>
              <w:t xml:space="preserve">11.7; All real values</w:t>
            </w:r>
          </w:p>
        </w:tc>
        <w:tc>
          <w:tcPr>
            <w:tcW w:type="dxa" w:w="1014"/>
            <w:vAlign w:val="center"/>
          </w:tcPr>
          <w:p>
            <w:pPr>
              <w:pStyle w:val="Compact"/>
              <w:keepNext w:val="0"/>
              <w:spacing w:before="0" w:after="0" w:line="240" w:lineRule="auto"/>
              <w:jc w:val="center"/>
            </w:pPr>
            <w:r>
              <w:rPr>
                <w:rFonts w:ascii="Times New Roman" w:hAnsi="Times New Roman"/>
                <w:color w:val="000000"/>
                <w:sz w:val="22"/>
              </w:rPr>
              <w:t xml:space="preserve">0.223</w:t>
            </w:r>
          </w:p>
        </w:tc>
      </w:tr>
    </w:tbl>
    <w:p>
      <w:r>
        <w:br w:type="page"/>
      </w:r>
    </w:p>
    <w:p>
      <w:pPr>
        <w:pStyle w:val="BodyText"/>
        <w:keepNext/>
      </w:pPr>
      <w:r>
        <w:rPr>
          <w:b/>
          <w:bCs/>
        </w:rPr>
        <w:t xml:space="preserve">Table S10.</w:t>
      </w:r>
      <w:r>
        <w:t xml:space="preserve"> </w:t>
      </w:r>
      <w:r>
        <w:t xml:space="preserve">Complete clinical construction with 300 patient resamples per selected exposure. Completion refers to the whole construction, censoring and bridge pipeline.</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0" w:type="dxa"/>
          <w:right w:w="60" w:type="dxa"/>
        </w:tblCellMar>
      </w:tblPr>
      <w:tblGrid>
        <w:gridCol w:w="1247"/>
        <w:gridCol w:w="660"/>
        <w:gridCol w:w="953"/>
        <w:gridCol w:w="1541"/>
        <w:gridCol w:w="1541"/>
        <w:gridCol w:w="1541"/>
        <w:gridCol w:w="1543"/>
      </w:tblGrid>
      <w:tr>
        <w:trPr>
          <w:tblHeader w:val="on"/>
          <w:tblHeader/>
          <w:cantSplit/>
        </w:trPr>
        <w:tc>
          <w:tcPr>
            <w:tcW w:type="dxa" w:w="1247"/>
            <w:vAlign w:val="center"/>
            <w:shd w:fill="F2F2F2"/>
          </w:tcPr>
          <w:p>
            <w:pPr>
              <w:pStyle w:val="Compact"/>
              <w:keepNext/>
              <w:spacing w:before="0" w:after="0" w:line="240" w:lineRule="auto"/>
              <w:jc w:val="left"/>
            </w:pPr>
            <w:r>
              <w:rPr>
                <w:rFonts w:ascii="Times New Roman" w:hAnsi="Times New Roman"/>
                <w:color w:val="000000"/>
                <w:sz w:val="22"/>
              </w:rPr>
              <w:t xml:space="preserve">Cohort</w:t>
            </w:r>
          </w:p>
        </w:tc>
        <w:tc>
          <w:tcPr>
            <w:tcW w:type="dxa" w:w="660"/>
            <w:vAlign w:val="center"/>
            <w:shd w:fill="F2F2F2"/>
          </w:tcPr>
          <w:p>
            <w:pPr>
              <w:pStyle w:val="Compact"/>
              <w:keepNext/>
              <w:spacing w:before="0" w:after="0" w:line="240" w:lineRule="auto"/>
              <w:jc w:val="center"/>
            </w:pPr>
            <w:r>
              <w:rPr>
                <w:rFonts w:ascii="Times New Roman" w:hAnsi="Times New Roman"/>
                <w:color w:val="000000"/>
                <w:sz w:val="22"/>
              </w:rPr>
              <w:t xml:space="preserve">Point designs</w:t>
            </w:r>
          </w:p>
        </w:tc>
        <w:tc>
          <w:tcPr>
            <w:tcW w:type="dxa" w:w="953"/>
            <w:vAlign w:val="center"/>
            <w:shd w:fill="F2F2F2"/>
          </w:tcPr>
          <w:p>
            <w:pPr>
              <w:pStyle w:val="Compact"/>
              <w:keepNext/>
              <w:spacing w:before="0" w:after="0" w:line="240" w:lineRule="auto"/>
              <w:jc w:val="center"/>
            </w:pPr>
            <w:r>
              <w:rPr>
                <w:rFonts w:ascii="Times New Roman" w:hAnsi="Times New Roman"/>
                <w:color w:val="000000"/>
                <w:sz w:val="22"/>
              </w:rPr>
              <w:t xml:space="preserve">Attempts</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Minimum completion</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Median completion</w:t>
            </w:r>
          </w:p>
        </w:tc>
        <w:tc>
          <w:tcPr>
            <w:tcW w:type="dxa" w:w="1541"/>
            <w:vAlign w:val="center"/>
            <w:shd w:fill="F2F2F2"/>
          </w:tcPr>
          <w:p>
            <w:pPr>
              <w:pStyle w:val="Compact"/>
              <w:keepNext/>
              <w:spacing w:before="0" w:after="0" w:line="240" w:lineRule="auto"/>
              <w:jc w:val="center"/>
            </w:pPr>
            <w:r>
              <w:rPr>
                <w:rFonts w:ascii="Times New Roman" w:hAnsi="Times New Roman"/>
                <w:color w:val="000000"/>
                <w:sz w:val="22"/>
              </w:rPr>
              <w:t xml:space="preserve">Maximum completion</w:t>
            </w:r>
          </w:p>
        </w:tc>
        <w:tc>
          <w:tcPr>
            <w:tcW w:type="dxa" w:w="1543"/>
            <w:vAlign w:val="center"/>
            <w:shd w:fill="F2F2F2"/>
          </w:tcPr>
          <w:p>
            <w:pPr>
              <w:pStyle w:val="Compact"/>
              <w:keepNext/>
              <w:spacing w:before="0" w:after="0" w:line="240" w:lineRule="auto"/>
              <w:jc w:val="center"/>
            </w:pPr>
            <w:r>
              <w:rPr>
                <w:rFonts w:ascii="Times New Roman" w:hAnsi="Times New Roman"/>
                <w:color w:val="000000"/>
                <w:sz w:val="22"/>
              </w:rPr>
              <w:t xml:space="preserve">Full intervals</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OV</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8</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2400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0.103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0.185</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0.250</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w:t>
            </w:r>
          </w:p>
        </w:tc>
      </w:tr>
      <w:tr>
        <w:trPr>
          <w:cantSplit/>
        </w:trPr>
        <w:tc>
          <w:tcPr>
            <w:tcW w:type="dxa" w:w="1247"/>
            <w:vAlign w:val="center"/>
          </w:tcPr>
          <w:p>
            <w:pPr>
              <w:pStyle w:val="Compact"/>
              <w:keepNext w:val="0"/>
              <w:spacing w:before="0" w:after="0" w:line="240" w:lineRule="auto"/>
              <w:jc w:val="left"/>
            </w:pPr>
            <w:r>
              <w:rPr>
                <w:rFonts w:ascii="Times New Roman" w:hAnsi="Times New Roman"/>
                <w:color w:val="000000"/>
                <w:sz w:val="22"/>
              </w:rPr>
              <w:t xml:space="preserve">LUAD</w:t>
            </w:r>
          </w:p>
        </w:tc>
        <w:tc>
          <w:tcPr>
            <w:tcW w:type="dxa" w:w="660"/>
            <w:vAlign w:val="center"/>
          </w:tcPr>
          <w:p>
            <w:pPr>
              <w:pStyle w:val="Compact"/>
              <w:keepNext w:val="0"/>
              <w:spacing w:before="0" w:after="0" w:line="240" w:lineRule="auto"/>
              <w:jc w:val="center"/>
            </w:pPr>
            <w:r>
              <w:rPr>
                <w:rFonts w:ascii="Times New Roman" w:hAnsi="Times New Roman"/>
                <w:color w:val="000000"/>
                <w:sz w:val="22"/>
              </w:rPr>
              <w:t xml:space="preserve">17</w:t>
            </w:r>
          </w:p>
        </w:tc>
        <w:tc>
          <w:tcPr>
            <w:tcW w:type="dxa" w:w="953"/>
            <w:vAlign w:val="center"/>
          </w:tcPr>
          <w:p>
            <w:pPr>
              <w:pStyle w:val="Compact"/>
              <w:keepNext w:val="0"/>
              <w:spacing w:before="0" w:after="0" w:line="240" w:lineRule="auto"/>
              <w:jc w:val="center"/>
            </w:pPr>
            <w:r>
              <w:rPr>
                <w:rFonts w:ascii="Times New Roman" w:hAnsi="Times New Roman"/>
                <w:color w:val="000000"/>
                <w:sz w:val="22"/>
              </w:rPr>
              <w:t xml:space="preserve">5100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0.123</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0.210</w:t>
            </w:r>
          </w:p>
        </w:tc>
        <w:tc>
          <w:tcPr>
            <w:tcW w:type="dxa" w:w="1541"/>
            <w:vAlign w:val="center"/>
          </w:tcPr>
          <w:p>
            <w:pPr>
              <w:pStyle w:val="Compact"/>
              <w:keepNext w:val="0"/>
              <w:spacing w:before="0" w:after="0" w:line="240" w:lineRule="auto"/>
              <w:jc w:val="center"/>
            </w:pPr>
            <w:r>
              <w:rPr>
                <w:rFonts w:ascii="Times New Roman" w:hAnsi="Times New Roman"/>
                <w:color w:val="000000"/>
                <w:sz w:val="22"/>
              </w:rPr>
              <w:t xml:space="preserve">0.353</w:t>
            </w:r>
          </w:p>
        </w:tc>
        <w:tc>
          <w:tcPr>
            <w:tcW w:type="dxa" w:w="1543"/>
            <w:vAlign w:val="center"/>
          </w:tcPr>
          <w:p>
            <w:pPr>
              <w:pStyle w:val="Compact"/>
              <w:keepNext w:val="0"/>
              <w:spacing w:before="0" w:after="0" w:line="240" w:lineRule="auto"/>
              <w:jc w:val="center"/>
            </w:pPr>
            <w:r>
              <w:rPr>
                <w:rFonts w:ascii="Times New Roman" w:hAnsi="Times New Roman"/>
                <w:color w:val="000000"/>
                <w:sz w:val="22"/>
              </w:rPr>
              <w:t xml:space="preserve">0</w:t>
            </w:r>
          </w:p>
        </w:tc>
      </w:tr>
    </w:tbl>
    <w:bookmarkEnd w:id="61"/>
    <w:sectPr>
      <w:footerReference w:type="default" r:id="rId9"/>
      <w:footnotePr>
        <w:numRestart w:val="eachSect"/>
      </w:footnotePr>
      <w:pgSz w:w="11906" w:h="16838"/>
      <w:pgMar w:left="1440" w:right="1440" w:top="1440" w:bottom="1440" w:header="720" w:footer="720"/>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40" w:lineRule="auto"/>
    </w:pPr>
    <w:rPr>
      <w:rFonts w:ascii="Times New Roman" w:eastAsia="Times New Roman" w:hAnsi="Times New Roman"/>
      <w:b w:val="0"/>
      <w:i w:val="0"/>
      <w:color w:val="000000"/>
      <w:sz w:val="24"/>
    </w:rPr>
  </w:style>
  <w:style w:styleId="BodyText" w:type="paragraph">
    <w:name w:val="Body Text"/>
    <w:basedOn w:val="Normal"/>
    <w:link w:val="BodyTextChar"/>
    <w:qFormat/>
    <w:pPr>
      <w:spacing w:after="120" w:before="180" w:line="240" w:lineRule="auto"/>
    </w:pPr>
    <w:rPr>
      <w:rFonts w:ascii="Times New Roman" w:eastAsia="Times New Roman" w:hAnsi="Times New Roman"/>
      <w:b w:val="0"/>
      <w:i w:val="0"/>
      <w:color w:val="000000"/>
      <w:sz w:val="24"/>
    </w:rPr>
  </w:style>
  <w:style w:customStyle="1" w:styleId="FirstParagraph" w:type="paragraph">
    <w:name w:val="First Paragraph"/>
    <w:basedOn w:val="BodyText"/>
    <w:next w:val="BodyText"/>
    <w:qFormat/>
    <w:pPr>
      <w:spacing w:after="120" w:line="240" w:lineRule="auto"/>
    </w:pPr>
    <w:rPr>
      <w:rFonts w:ascii="Times New Roman" w:eastAsia="Times New Roman" w:hAnsi="Times New Roman"/>
      <w:b w:val="0"/>
      <w:i w:val="0"/>
      <w:color w:val="000000"/>
      <w:sz w:val="24"/>
    </w:rPr>
  </w:style>
  <w:style w:customStyle="1" w:styleId="Compact" w:type="paragraph">
    <w:name w:val="Compact"/>
    <w:basedOn w:val="BodyText"/>
    <w:qFormat/>
    <w:pPr>
      <w:spacing w:after="120" w:before="36" w:line="240" w:lineRule="auto"/>
    </w:pPr>
    <w:rPr>
      <w:rFonts w:ascii="Times New Roman" w:eastAsia="Times New Roman" w:hAnsi="Times New Roman"/>
      <w:b w:val="0"/>
      <w:i w:val="0"/>
      <w:color w:val="000000"/>
      <w:sz w:val="22"/>
    </w:rPr>
  </w:style>
  <w:style w:styleId="Title" w:type="paragraph">
    <w:name w:val="Title"/>
    <w:basedOn w:val="Normal"/>
    <w:next w:val="BodyText"/>
    <w:link w:val="TitleChar"/>
    <w:uiPriority w:val="10"/>
    <w:qFormat/>
    <w:rsid w:val="00A10FD9"/>
    <w:pPr>
      <w:spacing w:after="120" w:line="240" w:lineRule="auto"/>
      <w:contextualSpacing/>
      <w:jc w:val="center"/>
    </w:pPr>
    <w:rPr>
      <w:rFonts w:ascii="Times New Roman" w:asciiTheme="majorHAnsi" w:cstheme="majorBidi" w:eastAsia="Times New Roman" w:eastAsiaTheme="majorEastAsia" w:hAnsi="Times New Roman" w:hAnsiTheme="majorHAnsi"/>
      <w:b/>
      <w:i w:val="0"/>
      <w:color w:val="000000"/>
      <w:sz w:val="32"/>
      <w:szCs w:val="56"/>
    </w:rPr>
  </w:style>
  <w:style w:customStyle="1" w:styleId="TitleChar" w:type="character">
    <w:name w:val="Title Char"/>
    <w:basedOn w:val="DefaultParagraphFont"/>
    <w:link w:val="Title"/>
    <w:uiPriority w:val="10"/>
    <w:rsid w:val="00A10FD9"/>
    <w:rPr>
      <w:rFonts w:ascii="Times New Roman" w:asciiTheme="majorHAnsi" w:cstheme="majorBidi" w:eastAsia="Times New Roman"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imes New Roman"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eastAsia="Times New Roman" w:hAnsi="Times New Roman"/>
      <w:sz w:val="24"/>
      <w:szCs w:val="24"/>
    </w:rPr>
  </w:style>
  <w:style w:styleId="Date" w:type="paragraph">
    <w:name w:val="Date"/>
    <w:basedOn w:val="Title"/>
    <w:next w:val="BodyText"/>
    <w:qFormat/>
    <w:pPr>
      <w:keepNext/>
      <w:keepLines/>
    </w:pPr>
    <w:rPr>
      <w:rFonts w:ascii="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120" w:before="360" w:line="240" w:lineRule="auto"/>
      <w:outlineLvl w:val="0"/>
    </w:pPr>
    <w:rPr>
      <w:rFonts w:ascii="Times New Roman" w:asciiTheme="majorHAnsi" w:cstheme="majorBidi" w:eastAsia="Times New Roman" w:eastAsiaTheme="majorEastAsia" w:hAnsi="Times New Roman" w:hAnsiTheme="majorHAnsi"/>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240" w:lineRule="auto"/>
      <w:outlineLvl w:val="1"/>
    </w:pPr>
    <w:rPr>
      <w:rFonts w:ascii="Times New Roman" w:asciiTheme="majorHAnsi" w:cstheme="majorBidi" w:eastAsia="Times New Roman" w:eastAsiaTheme="majorEastAsia" w:hAnsi="Times New Roman" w:hAnsiTheme="majorHAnsi"/>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240" w:lineRule="auto"/>
      <w:outlineLvl w:val="2"/>
    </w:pPr>
    <w:rPr>
      <w:rFonts w:ascii="Times New Roman" w:cstheme="majorBidi" w:eastAsia="Times New Roman" w:eastAsiaTheme="majorEastAsia"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Times New Roman"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imes New Roman"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imes New Roman"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imes New Roman"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heme="majorBidi" w:eastAsia="Times New Roman"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heme="majorBidi" w:eastAsia="Times New Roman"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heme="majorBidi" w:eastAsia="Times New Roman"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heme="majorBidi" w:eastAsia="Times New Roman"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heme="majorBidi" w:eastAsia="Times New Roman"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pPr>
      <w:spacing w:after="120" w:line="240" w:lineRule="auto"/>
    </w:pPr>
    <w:rPr>
      <w:rFonts w:ascii="Times New Roman" w:eastAsia="Times New Roman" w:hAnsi="Times New Roman"/>
      <w:b w:val="0"/>
      <w:i w:val="0"/>
      <w:color w:val="000000"/>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idopNetwork proximal causal inference for molecular exposures and restricted survival</dc:title>
  <dc:creator/>
  <cp:keywords/>
  <dcterms:created xsi:type="dcterms:W3CDTF">2026-10-02T13:20:35Z</dcterms:created>
  <dcterms:modified xsi:type="dcterms:W3CDTF">2026-10-02T13:20:35Z</dcterms:modified>
</cp:coreProperties>
</file>

<file path=docProps/custom.xml><?xml version="1.0" encoding="utf-8"?>
<Properties xmlns="http://schemas.openxmlformats.org/officeDocument/2006/custom-properties" xmlns:vt="http://schemas.openxmlformats.org/officeDocument/2006/docPropsVTypes"/>
</file>