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6114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The ovarian-cancer application supplies 24 completed estimates from 60 proteins. PTEN has an estimated RMST contrast of 1.02 months per standard deviation and a 95% set of [-2.07, 4.24]; SERPINE1 and CCNE1 have negative point directions with real-line sets. Two ovarian proteins have bounded RMST sets; all sets include zero. These analyses connect molecular intervention questions to clinical effect scales and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estimate total protein-exposure effects from these molecular measurements. Exposure neighbourhoods and separated network components define candidate proxy roles. Structural conditions establish their exclusions, and an exposure-specific bridge identifies the total effect. Joint information learns systemic readout coordinates; conditional information selects a design that supplies the dimensions needed for causal estimation.</w:t>
      </w:r>
    </w:p>
    <w:p>
      <w:pPr>
        <w:pStyle w:val="BodyText"/>
      </w:pPr>
      <w:r>
        <w:t xml:space="preserve">The clinical target is a change in restricted mean survival time (RMST) or survival probability at a specified horizon. Inverse censoring weights preserve the complete-data conditional mean, extending the bridge to censored outcomes. Recent proximal methods for counterfactual survival curves and censored event regression provide related approaches [9, 10].</w:t>
      </w:r>
    </w:p>
    <w:p>
      <w:pPr>
        <w:pStyle w:val="BodyText"/>
      </w:pPr>
      <w:r>
        <w:t xml:space="preserve">The framework builds on negative-control designs [11, 12], proximal regression and semiparametric identification [6, 7, 8]. Fortified and adaptive proximal approaches [13, 14] address collections containing invalid proxies. We combine molecular design with independent discovery/estimation inference, evaluate network construction and readout learning in simulations, and study 36-month survival contrasts in ovarian cancer.</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inference workflow partitions patients once into 75% discovery and 25% estimation samples, independently of outcomes. Discovery determines molecular filtering, panel selection, median imputations, standardisation, niche curves and eight network designs. The design rule selects roles, dimension and window/penalty; its joint readout coordinates and nuisance moment pivots are then frozen. Estimation patients use these transformations and fixed observed readouts. A clinical exposure contrast is one discovery-sample standard deviation.</w:t>
      </w:r>
    </w:p>
    <w:p>
      <w:pPr>
        <w:pStyle w:val="BodyText"/>
      </w:pPr>
      <w:r>
        <w:t xml:space="preserve">Fieller intersection of the estimation moments supplies the effect confidence set. An unavailable discovery design, numerical nuisance failure or fewer than 97.5% complete moment resamples returns the whole real line and no point estimate. Reporting statuses distinguish these failures from real-line sets produced by weak effect information.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Each exposure record contains its proxy sets, spectrum and bridge dimensions, selected window and penalty, conditional roots and rank, and raw and reduced strength. Estimation adds the effect coefficient, censoring support, resampling completion and confidence-set shape. Reporting rates and independent set coverage use all attempts; point accuracy uses completed fits. Coverage among available fits is also reported.</w:t>
      </w:r>
    </w:p>
    <w:bookmarkEnd w:id="20"/>
    <w:bookmarkStart w:id="21" w:name="quasi-dynamic-network-interpretation"/>
    <w:p>
      <w:pPr>
        <w:pStyle w:val="Heading2"/>
      </w:pPr>
      <w:r>
        <w:t xml:space="preserve">3.10 Quasi-dynamic network interpretation</w:t>
      </w:r>
    </w:p>
    <w:p>
      <w:pPr>
        <w:pStyle w:val="FirstParagraph"/>
      </w:pPr>
      <w:r>
        <w:t xml:space="preserve">The weak-form ODE decomposition of idopNetwork describes molecular variation along the niche index:</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On the fixed support graph, protein states are pre-smoothed by cubic smoothing splines with generalised cross-validation. A first-degree shifted Legendre term for each source is integrated by the trapezoidal rule along the niche coordinate normalised to the unit interval. Each target includes a linear niche baseline, its own state group and the supported source groups. Centred, standardised design columns receive ridge regression with penalty one; coefficients are returned to the protein scale. Intrinsic contributions combine the intercept, linear baseline and own group; adding the cross-protein contributions reconstructs the fitted curve (Figure 3b,d,f). Edge weights are mean cumulative source contributions (Figures S1–S2). Bridge estimation uses the observed protein levels and reduced readouts defined in Section 3.5.</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permits additional edges, which can merge components and reduce the separated proxy pool. N2 specifies the outcome-facing boundary of the eligible exposure neighbourhood. Eligible neighbours can include ancillary children of</w:t>
      </w:r>
      <w:r>
        <w:t xml:space="preserve"> </w:t>
      </w:r>
      <m:oMath>
        <m:r>
          <m:t>A</m:t>
        </m:r>
      </m:oMath>
      <w:r>
        <w:t xml:space="preserve"> </w:t>
      </w:r>
      <w:r>
        <w:t xml:space="preserve">that measure the systemic state. Known outcome-directed branches are excluded from Z and remain in the exposure component, outside W; their pathways contribute to the total effect. Under the all-neighbour rule, N2 applies to every observed neighbour.</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Separation establishes the proxy exclusions. Identification additionally requires an outcome bridge and completeness [6, 7, 8]; the linear model below expresses these requirements through loadings and proxy cross-covariance rank.</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coefficient</w:t>
      </w:r>
      <w:r>
        <w:t xml:space="preserve"> </w:t>
      </w:r>
      <m:oMath>
        <m:sSub>
          <m:e>
            <m:r>
              <m:t>τ</m:t>
            </m:r>
          </m:e>
          <m:sub>
            <m:r>
              <m:t>A</m:t>
            </m:r>
          </m:sub>
        </m:sSub>
      </m:oMath>
      <w:r>
        <w:t xml:space="preserve"> </w:t>
      </w:r>
      <w:r>
        <w:t xml:space="preserve">includes the downstream path contributions defined in Section 2.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invariant to this choice of factor coordinates.</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horizon-specific mean bridge permits an unrestricted event-time hazard.</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Fieller inversion [23] applies to each concentrated moment. The Bonferroni intersection gives coverage through the union bound, allowing dependence among components.</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Covariance consistency includes an increasing number of moment resamples in the asymptotic statement.</w:t>
      </w:r>
    </w:p>
    <w:p>
      <w:pPr>
        <w:pStyle w:val="BodyText"/>
      </w:pPr>
      <w:r>
        <w:t xml:space="preserve">The proof is given in Appendix A.5.</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correspond to OV and the supplementary LUAD analysis.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multiscale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designated estimators isolate readout learning with known valid roles; single-window and correlation comparisons isolate molecular design.</w:t>
      </w:r>
    </w:p>
    <w:p>
      <w:pPr>
        <w:pStyle w:val="BodyText"/>
      </w:pPr>
      <w:r>
        <w:t xml:space="preserve">Bootstrap draws hold selected roles and rank fixed and refit the readout projection, both regressions and censoring as appropriate. Evaluation includes fit and interval completion, generating-DAG proxy validity, dimension accuracy, bias, RMSE, 95% coverage and mean interval width. Monte Carlo standard errors accompany effect accuracy and coverage [24]; CSV summaries also give Wilson intervals for reporting and coverage. Bias and RMSE use reported fits; coverage uses completed intervals. Accuracy measures with fewer than five fits are left blank. Rank strata and paired squared-error differences appear in the supplementary results.</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With the allocation and moment rules fixed, each of the seven systems generates 200 fresh datasets at offset 140000 and receives one 75:25 partition. Discovery executes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Figure 4).</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It yields 21/200 linear sets that are bounded and 163/200 that are the real line, including 64 unavailable designs. The RMST target also has 21/200 bounded sets. Thus high coverage in this system accompanies limited finite precision. Supporting selection and resampling studies appear in the supplementary methods.</w:t>
      </w:r>
    </w:p>
    <w:bookmarkEnd w:id="35"/>
    <w:bookmarkEnd w:id="36"/>
    <w:bookmarkStart w:id="40" w:name="X1852ab61adef96f374a9d6cb138e27a405b5972"/>
    <w:p>
      <w:pPr>
        <w:pStyle w:val="Heading1"/>
      </w:pPr>
      <w:r>
        <w:t xml:space="preserve">6 Application to ovarian-cancer molecular survival data</w:t>
      </w:r>
    </w:p>
    <w:bookmarkStart w:id="37" w:name="X622a5e621c55d47b89df863d518249d8af92c49"/>
    <w:p>
      <w:pPr>
        <w:pStyle w:val="Heading2"/>
      </w:pPr>
      <w:r>
        <w:t xml:space="preserve">6.1 Ovarian cohort and discovery construction</w:t>
      </w:r>
    </w:p>
    <w:p>
      <w:pPr>
        <w:pStyle w:val="FirstParagraph"/>
      </w:pPr>
      <w:r>
        <w:t xml:space="preserve">We use TCGA PanCancer Atlas ovarian-cancer (OV) RPPA and clinical tables from cBioPortal [25, 26, 27]. The cohort includes 411 patients and 245 deaths. The fixed split assigns 308 patients to discovery and 103 to estimation, with 67 deaths in estimation. Discovery selects the 60 most variable proteins after missingness and duplicate-antibody filtering. The bridge includes age. Clinical contrasts correspond to one discovery-cohort protein standard deviation at a 36-month horizon.</w:t>
      </w:r>
    </w:p>
    <w:p>
      <w:pPr>
        <w:pStyle w:val="BodyText"/>
      </w:pPr>
      <w:r>
        <w:t xml:space="preserve">Figure 2 illustrates LCK and CDH2 niche curves in the full-cohort reference. Figure 3 shows discovery-sample networks and curve contributions for PTEN, SERPINE1 and CCNE1; Figure 5 summarises their selected proxy designs. Table S1 and Figures S5–S6 report the supporting analyses in nine other tumour cohorts.</w:t>
      </w:r>
    </w:p>
    <w:bookmarkEnd w:id="37"/>
    <w:bookmarkStart w:id="38" w:name="Xf113147deec7559023043b05e06b81790312cf8"/>
    <w:p>
      <w:pPr>
        <w:pStyle w:val="Heading2"/>
      </w:pPr>
      <w:r>
        <w:t xml:space="preserve">6.2 Point estimates of restricted survival contrasts</w:t>
      </w:r>
    </w:p>
    <w:p>
      <w:pPr>
        <w:pStyle w:val="FirstParagraph"/>
      </w:pPr>
      <w:r>
        <w:t xml:space="preserve">Clinical estimation uses 300 patient resamples with the molecular design fixed, refitting censoring and concentrated moments. Of the 60 ovarian proteins, 26 supply eligible discovery designs and 24/60 complete point estimation (Figure 6). The panel yields two bounded, three disconnected and 55 real-line RMST sets; survival sets are two bounded, one disconnected and 57 real-line. All endpoint sets include zero; the fitted directions are exploratory signals.</w:t>
      </w:r>
    </w:p>
    <w:p>
      <w:pPr>
        <w:pStyle w:val="BodyText"/>
      </w:pPr>
      <w:r>
        <w:t xml:space="preserve">The three examples were chosen after analysis for bounded-set precision (PTEN) and ovarian-cancer biological relevance (SERPINE1 and CCNE1). Their designs share an eight-protein outcome-proxy pool: VHL, GAPDH, IGFBP2, RAB25, GAB2, EEF2K, TP53 and MAP2K1. Each selects window width 0.4 and support penalty 0.2, with rank one for PTEN and two for SERPINE1 and CCNE1. These proxy assignments use the exposure-specific exclusions in Section 4.1 (Table 5; Figure 5).</w:t>
      </w:r>
    </w:p>
    <w:p>
      <w:pPr>
        <w:pStyle w:val="BodyText"/>
      </w:pPr>
      <w:r>
        <w:t xml:space="preserve">PTEN has an estimated RMST contrast of 1.02 months and a 95% set of [-2.07, 4.24]; its survival contrast is 6.47 percentage points (Table 5; Figure 7). Clinical interpretation depends on histotype and measurement: a 5400-patient immunohistochemical study associated lower cytoplasmic PTEN with longer survival in high-grade serous cancer [28]. Here the positive coefficient concerns a continuous RPPA abundance contrast through the proximal mean bridge, a different measurement and estimand from the cytoplasmic staining association.</w:t>
      </w:r>
    </w:p>
    <w:p>
      <w:pPr>
        <w:pStyle w:val="BodyText"/>
      </w:pPr>
      <w:r>
        <w:t xml:space="preserve">SERPINE1, encoding plasminogen activator inhibitor-1 (PAI-1), has point contrasts of -11.55 RMST months and -39.48 survival percentage points. Higher PAI-1 mRNA expression has been associated with worse ovarian-cancer survival, and PAI-1 knockdown or inhibition reduced growth in PAI-1-expressing ovarian-cancer cell models [29]. This evidence motivates the protein-abundance intervention question and accords with the negative fitted direction.</w:t>
      </w:r>
    </w:p>
    <w:p>
      <w:pPr>
        <w:pStyle w:val="BodyText"/>
      </w:pPr>
      <w:r>
        <w:t xml:space="preserve">CCNE1, encoding cyclin E1, has point contrasts of -10.22 RMST months and -31.62 survival percentage points. An Ovarian Tumor Tissue Analysis consortium study of 3029 high-grade serous cancers associated CCNE1 protein overexpression and high-level amplification with shorter survival [30], providing a protein-level context for this negative direction. SERPINE1 and CCNE1 have real-line sets on both endpoints, leaving their effect magnitudes unbounded in this sample.</w:t>
      </w:r>
    </w:p>
    <w:p>
      <w:pPr>
        <w:pStyle w:val="BodyText"/>
      </w:pPr>
      <w:r>
        <w:t xml:space="preserve">HSPA1A is the second bounded ovarian RMST contrast: -0.62 months with set [-21.97, 10.19]. ACACA’s coefficient of -53.60 months lies outside the RMST target range and is marked at the display boundary in Figure 6.</w:t>
      </w:r>
    </w:p>
    <w:bookmarkEnd w:id="38"/>
    <w:bookmarkStart w:id="39" w:name="pathway-defined-intervention-boundaries"/>
    <w:p>
      <w:pPr>
        <w:pStyle w:val="Heading2"/>
      </w:pPr>
      <w:r>
        <w:t xml:space="preserve">6.3 Pathway-defined intervention boundaries</w:t>
      </w:r>
    </w:p>
    <w:p>
      <w:pPr>
        <w:pStyle w:val="FirstParagraph"/>
      </w:pPr>
      <w:r>
        <w:t xml:space="preserve">GAB2 perturbation studies connect ovarian tumour growth and angiogenesis to PI3K and RAS–MAPK signalling [31, 32]. Its ovarian boundary specification assigns these branches to the total intervention effect and excludes their proteins from proxy roles.</w:t>
      </w:r>
    </w:p>
    <w:p>
      <w:pPr>
        <w:pStyle w:val="BodyText"/>
      </w:pPr>
      <w:r>
        <w:t xml:space="preserve">In discovery patients, this boundary leaves fewer proxy coordinates than the required joint dimension. Estimating the pathway-defined GAB2 effect therefore requires additional eligible proxies. Supplementary methods and Tables S9–S10 give the full-cohort GAB2 and lung-cancer KDR reference analyses.</w:t>
      </w:r>
    </w:p>
    <w:bookmarkEnd w:id="39"/>
    <w:bookmarkEnd w:id="40"/>
    <w:bookmarkStart w:id="41" w:name="discussion"/>
    <w:p>
      <w:pPr>
        <w:pStyle w:val="Heading1"/>
      </w:pPr>
      <w:r>
        <w:t xml:space="preserve">7 Discussion</w:t>
      </w:r>
    </w:p>
    <w:p>
      <w:pPr>
        <w:pStyle w:val="FirstParagraph"/>
      </w:pPr>
      <w:r>
        <w:t xml:space="preserve">Joint readout learning and conditional design selection serve complementary purposes. Exposure information can stabilise the readout space, while conditional information measures the treatment proxies’ contribution beyond exposure. Independent estimation then uses the selected measurements to quantify the total-effect contrast and its precision.</w:t>
      </w:r>
    </w:p>
    <w:p>
      <w:pPr>
        <w:pStyle w:val="BodyText"/>
      </w:pPr>
      <w:r>
        <w:t xml:space="preserve">In the modular and 60-protein two-factor systems, niche-window construction improves linear-effect estimation over global-window and correlation designs. Joint readout reduces linear bias in the weak two-factor system, where its RMST intervals are wider. Global and niche-window designs perform similarly in some systems. The component study measures these representation differences; the independent study measures coverage and finite precision after discovery selection.</w:t>
      </w:r>
    </w:p>
    <w:p>
      <w:pPr>
        <w:pStyle w:val="BodyText"/>
      </w:pPr>
      <w:r>
        <w:t xml:space="preserve">The ovarian application places protein-abundance questions on clinical survival scales. PTEN highlights measurement-specific interpretation; SERPINE1 and CCNE1 relate the fitted directions to ovarian-cancer prognostic and experimental evidence. Future applications can increase identifying information through targeted measurement of eligible treatment proxies and systemic readouts, alongside larger estimation cohorts.</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study protocols, aggregate results and reproduction instructions are available at https://github.com/ChangeSean/idopNetwork-proximal. TCGA inputs are obtained from cBioPortal using the repository’s study identifiers and download script.</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[33, 34],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8" w:name="supplementary-methods-and-provenance"/>
    <w:p>
      <w:pPr>
        <w:pStyle w:val="Heading1"/>
      </w:pPr>
      <w:r>
        <w:t xml:space="preserve">Supplementary methods and provenance</w:t>
      </w:r>
    </w:p>
    <w:p>
      <w:pPr>
        <w:pStyle w:val="FirstParagraph"/>
      </w:pPr>
      <w:r>
        <w:t xml:space="preserve">Component-study examples were chosen after analysis; Tables S2–S4 give every system, outcome and comparator. The supporting studies below use separate settings and seeds.</w:t>
      </w:r>
    </w:p>
    <w:bookmarkStart w:id="52" w:name="allocation-development"/>
    <w:p>
      <w:pPr>
        <w:pStyle w:val="Heading3"/>
      </w:pPr>
      <w:r>
        <w:t xml:space="preserve">Allocation development</w:t>
      </w:r>
    </w:p>
    <w:p>
      <w:pPr>
        <w:pStyle w:val="FirstParagraph"/>
      </w:pPr>
      <w:r>
        <w:t xml:space="preserve">The 50:50 allocation study uses seed offset 120000. Its weak two-factor system selected rank one in 16/200 attempts, with overall linear coverage 0.905. The 75:25 allocation dedicates more patients to molecular construction and was fixed before the offset-140000 validation batch.</w:t>
      </w:r>
    </w:p>
    <w:bookmarkEnd w:id="52"/>
    <w:bookmarkStart w:id="53" w:name="selection-and-resampling-studies"/>
    <w:p>
      <w:pPr>
        <w:pStyle w:val="Heading3"/>
      </w:pPr>
      <w:r>
        <w:t xml:space="preserve">Selection and resampling studies</w:t>
      </w:r>
    </w:p>
    <w:p>
      <w:pPr>
        <w:pStyle w:val="FirstParagraph"/>
      </w:pPr>
      <w:r>
        <w:t xml:space="preserve">A conditional-information study at offset 50000 uses seven systems with 200 datasets each (Table S6), with linear bias -0.005 to 0.027. Comparisons on common fitted datasets give conditional and joint-quality RMSEs of 0.152 versus 0.151 in system IV and 0.111 versus 0.111 in system VII.</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w:t>
      </w:r>
    </w:p>
    <w:bookmarkEnd w:id="53"/>
    <w:bookmarkStart w:id="54" w:name="full-cohort-inference-procedures"/>
    <w:p>
      <w:pPr>
        <w:pStyle w:val="Heading3"/>
      </w:pPr>
      <w:r>
        <w:t xml:space="preserve">Full-cohort inference procedures</w:t>
      </w:r>
    </w:p>
    <w:p>
      <w:pPr>
        <w:pStyle w:val="FirstParagraph"/>
      </w:pPr>
      <w:r>
        <w:t xml:space="preserve">Complete construction inference uses 300 patient resamples. Each rebuilds standardisation, niche ordering, curves, loadings, all eight support graphs, proxy sets, ranks and conditional design selection, then refits censoring, the joint projection and both bridge stages. The initial 60-protein panel and molecular and clinical imputations are held fixed. Before calculating dispersion, convert each coefficient from the resampled standard deviation to the original full-cohort standard deviation.</w:t>
      </w:r>
    </w:p>
    <w:p>
      <w:pPr>
        <w:pStyle w:val="BodyText"/>
      </w:pPr>
      <w:r>
        <w:t xml:space="preserve">A finite normal bootstrap interval requires at least 20 successful fits and 97.5% completed attempts; otherwise the interval is unavailable. Corollary 1b supplies the pointwise resampling justification at stable identified models, while the completion threshold measures computational availability. Conditional reference intervals hold roles and rank fixed across 300 draws, refitting projection, both stages and censoring.</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[35]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designs. Table S9 gives their concentrated estimates and sets with roles, rank and pivots fixed. Reconstruction completes 10–25% of OV and 12–35% of LUAD attempts; all complete-construction normal intervals are unavailable under the 97.5% rule (Table S10; Figure S4). These references use full-cohort panels and exposure scales; the independent analyses use discovery-selected panels and scales.</w:t>
      </w:r>
    </w:p>
    <w:bookmarkEnd w:id="55"/>
    <w:bookmarkStart w:id="56" w:name="X28a850fb8f42e53f741b2f9411c134ac23f2a1f"/>
    <w:p>
      <w:pPr>
        <w:pStyle w:val="Heading3"/>
      </w:pPr>
      <w:r>
        <w:t xml:space="preserve">Complete clinical panels and additional tumour cohorts</w:t>
      </w:r>
    </w:p>
    <w:p>
      <w:pPr>
        <w:pStyle w:val="FirstParagraph"/>
      </w:pPr>
      <w:r>
        <w:t xml:space="preserve">The independent procedure also analyses LUAD, BLCA, BRCA, COADREAD, KIRC, LGG, SKCM, STAD and UCEC. Together with OV, these supply 600 cohort-specific protein contrasts and 1200 endpoint sets; 58/600 exposures complete point estimation. Discovery defines covariates by cohort: age and, where represented, sex and tumour subtype; LUAD uses age and sex. Across the ten cohorts, two RMST sets are bounded, three disconnected and 595 real-line, and every endpoint set includes zero. Table S1 gives sample sizes, design counts and set shapes; Figures S5–S6 show completed coefficients and full-cohort molecular information. Aggregate files contain every exposure’s estimate, confidence set and calculation status.</w:t>
      </w:r>
    </w:p>
    <w:p>
      <w:pPr>
        <w:pStyle w:val="BodyText"/>
      </w:pPr>
      <w:r>
        <w:t xml:space="preserve">The eight-cohort extension supplies 32 completed estimates and real-line sets for all 480 exposures on both endpoints. COADREAD and STAD designs fail 36-month censoring support; BRCA, LGG and UCEC chiefly encounter insufficient complete moment resamples. KIRC completes all 14 eligible designs with real-line effect sets. Ovarian HSPA1A gives -7.54 survival percentage points with set [-80.32, 36.00], accompanying its bounded RMST set in Section 6. Off-range coefficients include LUAD HSPA1A at 379 percentage points and SKCM BRAF at -53.66 months (Figure S5).</w:t>
      </w:r>
    </w:p>
    <w:bookmarkEnd w:id="56"/>
    <w:bookmarkStart w:id="57" w:name="pathway-specific-full-cohort-reference"/>
    <w:p>
      <w:pPr>
        <w:pStyle w:val="Heading3"/>
      </w:pPr>
      <w:r>
        <w:t xml:space="preserve">Pathway-specific full-cohort reference</w:t>
      </w:r>
    </w:p>
    <w:p>
      <w:pPr>
        <w:pStyle w:val="FirstParagraph"/>
      </w:pPr>
      <w:r>
        <w:t xml:space="preserve">The full-cohort boundary analyses use cohort-specific exposure scales. For GAB2, the pathway specification in Section 6.3 removes BRAF from the treatment-proxy pool, leaving no design with the required two-dimensional joint information.</w:t>
      </w:r>
    </w:p>
    <w:p>
      <w:pPr>
        <w:pStyle w:val="BodyText"/>
      </w:pPr>
      <w:r>
        <w:t xml:space="preserve">KDR encodes VEGFR2. NSCLC experiments connect amplified KDR to VEGF-induced mTOR signalling and motility [36]. The KDR boundary assigns these pathways to the total effect and removes ITGA2 from the treatment-proxy pool because of its separately documented metastatic branch in LUAD [37]. The selected design has Z=CTNNB1, W=MYC, dimension one, window width 0.4, penalty 0.15 and smallest conditional root 0.214. Its bridge treats MYC as a parallel readout of the systemic proliferative state, outside the KDR intervention path, and requires the outcome exclusion for CTNNB1.</w:t>
      </w:r>
    </w:p>
    <w:p>
      <w:pPr>
        <w:pStyle w:val="BodyText"/>
      </w:pPr>
      <w:r>
        <w:t xml:space="preserve">The estimated 36-month RMST contrast is -1.50 months per full-cohort standard deviation, with 95% Fieller set [-4.29, 0.44]; the survival contrast is -8.1 percentage points, with set [-26.33, 2.61]. Reconstruction completes 36/300 attempts (0.120), yielding an unavailable complete-construction interval. The target is a KDR abundance intervention.</w:t>
      </w:r>
    </w:p>
    <w:p>
      <w:r>
        <w:br w:type="page"/>
      </w:r>
    </w:p>
    <w:bookmarkEnd w:id="57"/>
    <w:bookmarkEnd w:id="58"/>
    <w:bookmarkStart w:id="59"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Martins FC, Couturier DL, Paterson A, et al. Clinical and pathological associations of PTEN expression in ovarian cancer: a multicentre study from the Ovarian Tumour Tissue Analysis Consortium.</w:t>
      </w:r>
      <w:r>
        <w:t xml:space="preserve"> </w:t>
      </w:r>
      <w:r>
        <w:rPr>
          <w:i/>
          <w:iCs/>
        </w:rPr>
        <w:t xml:space="preserve">British Journal of Cancer</w:t>
      </w:r>
      <w:r>
        <w:t xml:space="preserve"> </w:t>
      </w:r>
      <w:r>
        <w:t xml:space="preserve">2020;123:793–802. doi:10.1038/s41416-020-0900-0.</w:t>
      </w:r>
    </w:p>
    <w:p>
      <w:pPr>
        <w:pStyle w:val="Compact"/>
        <w:numPr>
          <w:ilvl w:val="0"/>
          <w:numId w:val="1002"/>
        </w:numPr>
      </w:pPr>
      <w:r>
        <w:t xml:space="preserve">Mashiko S, Kitatani K, Toyoshima M, et al. Inhibition of plasminogen activator inhibitor-1 is a potential therapeutic strategy in ovarian cancer.</w:t>
      </w:r>
      <w:r>
        <w:t xml:space="preserve"> </w:t>
      </w:r>
      <w:r>
        <w:rPr>
          <w:i/>
          <w:iCs/>
        </w:rPr>
        <w:t xml:space="preserve">Cancer Biology &amp; Therapy</w:t>
      </w:r>
      <w:r>
        <w:t xml:space="preserve"> </w:t>
      </w:r>
      <w:r>
        <w:t xml:space="preserve">2015;16:253–260. doi:10.1080/15384047.2014.1001271.</w:t>
      </w:r>
    </w:p>
    <w:p>
      <w:pPr>
        <w:pStyle w:val="Compact"/>
        <w:numPr>
          <w:ilvl w:val="0"/>
          <w:numId w:val="1002"/>
        </w:numPr>
      </w:pPr>
      <w:r>
        <w:t xml:space="preserve">Kang EY, Weir A, Meagher NS, et al. CCNE1 and survival of patients with tubo-ovarian high-grade serous carcinoma: An Ovarian Tumor Tissue Analysis consortium study.</w:t>
      </w:r>
      <w:r>
        <w:t xml:space="preserve"> </w:t>
      </w:r>
      <w:r>
        <w:rPr>
          <w:i/>
          <w:iCs/>
        </w:rPr>
        <w:t xml:space="preserve">Cancer</w:t>
      </w:r>
      <w:r>
        <w:t xml:space="preserve"> </w:t>
      </w:r>
      <w:r>
        <w:t xml:space="preserve">2023;129:697–713. doi:10.1002/cncr.34582.</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r>
        <w:br w:type="page"/>
      </w:r>
    </w:p>
    <w:bookmarkEnd w:id="59"/>
    <w:bookmarkStart w:id="60"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censored-outcome bridge moments and effect confidence sets.</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Ovarian discovery networks and niche-curve decompositions for PTEN, SERPINE1 and CCNE1. Panels a,c,e show exposure, proxy and remaining-protein planes for the 60-protein panel learned from 308 discovery patients. Each uses its frozen selected design at window width 0.4 and penalty 0.20, with joint/conditional ranks 1/1, 2/2 and 2/2. Arrow colours give the signs of mean cumulative ODE contributions. Panels b,d,f show observed levels, reconstructed curves, intrinsic contributions including baseline, and cross-protein contributions labelled by source. Curves use smoothing splines, a first-degree time-integrated Legendre term per source and standardised ridge penalty one; the components sum to the reconstructed curve.</w:t>
      </w:r>
    </w:p>
    <w:p>
      <w:pPr>
        <w:pStyle w:val="BodyText"/>
      </w:pPr>
      <w:r>
        <w:rPr>
          <w:b/>
          <w:bCs/>
        </w:rPr>
        <w:t xml:space="preserve">Figure 4.</w:t>
      </w:r>
      <w:r>
        <w:t xml:space="preserve"> </w:t>
      </w:r>
      <w:r>
        <w:t xml:space="preserve">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Selected proxy designs for ovarian PTEN, SERPINE1 and CCNE1. Treatment-proxy neighbourhoods are exposure-specific; the separated eight-protein outcome-proxy pool is shared. Rank and the smallest conditional root describe discovery information. Connectors indicate selected measurement roles.</w:t>
      </w:r>
    </w:p>
    <w:p>
      <w:pPr>
        <w:pStyle w:val="BodyText"/>
      </w:pPr>
      <w:r>
        <w:rPr>
          <w:b/>
          <w:bCs/>
        </w:rPr>
        <w:t xml:space="preserve">Figure 6.</w:t>
      </w:r>
      <w:r>
        <w:t xml:space="preserve"> </w:t>
      </w:r>
      <w:r>
        <w:t xml:space="preserve">The 24 completed ovarian-cancer point estimates per discovery-cohort standard deviation. Horizontal position gives RMST months or survival percentage points; orange marks the three analyses in Table 5. Open triangles mark off-range coefficients at the display boundary. Figure 7 gives confidence sets for the focused analyses.</w:t>
      </w:r>
    </w:p>
    <w:p>
      <w:pPr>
        <w:pStyle w:val="BodyText"/>
      </w:pPr>
      <w:r>
        <w:rPr>
          <w:b/>
          <w:bCs/>
        </w:rPr>
        <w:t xml:space="preserve">Figure 7.</w:t>
      </w:r>
      <w:r>
        <w:t xml:space="preserve"> </w:t>
      </w:r>
      <w:r>
        <w:t xml:space="preserve">Ovarian PTEN, SERPINE1 and CCNE1 contrasts on both clinical scales. Points are independent-estimation coefficients and lines are their 95% confidence sets. PTEN has bounded sets on both scales; arrows indicate the real-line sets for SERPINE1 and CCNE1.</w:t>
      </w:r>
    </w:p>
    <w:p>
      <w:pPr>
        <w:pStyle w:val="BodyText"/>
      </w:pPr>
      <w:r>
        <w:rPr>
          <w:b/>
          <w:bCs/>
        </w:rPr>
        <w:t xml:space="preserve">Figure S1.</w:t>
      </w:r>
      <w:r>
        <w:t xml:space="preserve"> </w:t>
      </w:r>
      <w:r>
        <w:t xml:space="preserve">Full TCGA-OV network on 140 filtered proteins, with 261 signed ODE edges and 18 components. The ten largest hubs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the completion proportion.</w:t>
      </w:r>
    </w:p>
    <w:p>
      <w:pPr>
        <w:pStyle w:val="BodyText"/>
      </w:pPr>
      <w:r>
        <w:rPr>
          <w:b/>
          <w:bCs/>
        </w:rPr>
        <w:t xml:space="preserve">Figure S5.</w:t>
      </w:r>
      <w:r>
        <w:t xml:space="preserve"> </w:t>
      </w:r>
      <w:r>
        <w:t xml:space="preserve">The 58 completed point estimates across ten TCGA cohorts, including 24 ovarian estimates. Cohort labels give completed counts out of 60; open triangles mark off-range coefficients.</w:t>
      </w:r>
    </w:p>
    <w:p>
      <w:pPr>
        <w:pStyle w:val="BodyText"/>
      </w:pPr>
      <w:r>
        <w:rPr>
          <w:b/>
          <w:bCs/>
        </w:rPr>
        <w:t xml:space="preserve">Figure S6.</w:t>
      </w:r>
      <w:r>
        <w:t xml:space="preserve"> </w:t>
      </w:r>
      <w:r>
        <w:t xml:space="preserve">Full-cohort proxy-information screen across ten cohorts. Labels and marker areas give eligible exposure counts, and strength describes reduced readouts across the eight candidate designs. Orange identifies the original OV and LUAD cohorts. Independent estimates are reported separately in Table S1.</w:t>
      </w:r>
    </w:p>
    <w:p>
      <w:pPr>
        <w:pStyle w:val="BodyText"/>
      </w:pPr>
      <w:r>
        <w:t xml:space="preserve">Figures 1–7 and S1–S6 are supplied as separate vector PDF files. Main text labels use 8 pt or larger type at the 175 mm canvas; dense supplementary network labels use smaller type.</w:t>
      </w:r>
    </w:p>
    <w:p>
      <w:r>
        <w:br w:type="page"/>
      </w:r>
    </w:p>
    <w:bookmarkEnd w:id="60"/>
    <w:bookmarkStart w:id="61"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Three ovarian protein analyses per discovery-cohort standard deviation. Entries give the point estimate followed by its 95% confidence set; survival contrasts are in percentage points. Rank is the discovery-selected readout dimension, and treatment proxies are the selected molecular neighbours.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180"/>
        <w:gridCol w:w="2024"/>
        <w:gridCol w:w="590"/>
        <w:gridCol w:w="2615"/>
        <w:gridCol w:w="2617"/>
      </w:tblGrid>
      <w:tr>
        <w:trPr>
          <w:tblHeader w:val="on"/>
          <w:tblHeader/>
          <w:cantSplit/>
        </w:trPr>
        <w:tc>
          <w:tcPr>
            <w:tcW w:type="dxa" w:w="1180"/>
            <w:vAlign w:val="center"/>
            <w:shd w:fill="F2F2F2"/>
          </w:tcPr>
          <w:p>
            <w:pPr>
              <w:pStyle w:val="Compact"/>
              <w:keepNext/>
              <w:spacing w:before="0" w:after="0" w:line="240" w:lineRule="auto"/>
              <w:jc w:val="left"/>
            </w:pPr>
            <w:r>
              <w:rPr>
                <w:rFonts w:ascii="Times New Roman" w:hAnsi="Times New Roman"/>
                <w:color w:val="000000"/>
                <w:sz w:val="22"/>
              </w:rPr>
              <w:t xml:space="preserve">Protein</w:t>
            </w:r>
          </w:p>
        </w:tc>
        <w:tc>
          <w:tcPr>
            <w:tcW w:type="dxa" w:w="2024"/>
            <w:vAlign w:val="center"/>
            <w:shd w:fill="F2F2F2"/>
          </w:tcPr>
          <w:p>
            <w:pPr>
              <w:pStyle w:val="Compact"/>
              <w:keepNext/>
              <w:spacing w:before="0" w:after="0" w:line="240" w:lineRule="auto"/>
              <w:jc w:val="center"/>
            </w:pPr>
            <w:r>
              <w:rPr>
                <w:rFonts w:ascii="Times New Roman" w:hAnsi="Times New Roman"/>
                <w:color w:val="000000"/>
                <w:sz w:val="22"/>
              </w:rPr>
              <w:t xml:space="preserve">Treatment proxies</w:t>
            </w:r>
          </w:p>
        </w:tc>
        <w:tc>
          <w:tcPr>
            <w:tcW w:type="dxa" w:w="590"/>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615"/>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617"/>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PTEN</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 [-2.07, 4.24]</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6.47; [-6.77, 19.31]</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SERPINE1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FN1, RBM15</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-11.55;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-39.48; All real values</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CCNE1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CCNB1, BCL2L11, 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-10.22;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-31.62; All real values</w:t>
            </w:r>
          </w:p>
        </w:tc>
      </w:tr>
    </w:tbl>
    <w:p>
      <w:r>
        <w:br w:type="page"/>
      </w:r>
    </w:p>
    <w:p>
      <w:pPr>
        <w:pStyle w:val="BodyText"/>
        <w:keepNext/>
      </w:pPr>
      <w:r>
        <w:rPr>
          <w:b/>
          <w:bCs/>
        </w:rPr>
        <w:t xml:space="preserve">Table S1.</w:t>
      </w:r>
      <w:r>
        <w:t xml:space="preserve"> </w:t>
      </w:r>
      <w:r>
        <w:t xml:space="preserve">Complete independent analysis across ten cohorts, with 60 attempted proteins per cohort. B/D/R denotes bounded, disconnected and real-line confidence-set counts; real-line counts include unavailable calculations with recorded reasons. Point fits apply to both endpoints.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38"/>
        <w:gridCol w:w="1597"/>
        <w:gridCol w:w="1118"/>
        <w:gridCol w:w="1038"/>
        <w:gridCol w:w="1038"/>
        <w:gridCol w:w="1597"/>
        <w:gridCol w:w="1600"/>
      </w:tblGrid>
      <w:tr>
        <w:trPr>
          <w:tblHeader w:val="on"/>
          <w:tblHeader/>
          <w:cantSplit/>
        </w:trPr>
        <w:tc>
          <w:tcPr>
            <w:tcW w:type="dxa" w:w="10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Discovery / estimation</w:t>
            </w:r>
          </w:p>
        </w:tc>
        <w:tc>
          <w:tcPr>
            <w:tcW w:type="dxa" w:w="1118"/>
            <w:vAlign w:val="center"/>
            <w:shd w:fill="F2F2F2"/>
          </w:tcPr>
          <w:p>
            <w:pPr>
              <w:pStyle w:val="Compact"/>
              <w:keepNext/>
              <w:spacing w:before="0" w:after="0" w:line="240" w:lineRule="auto"/>
              <w:jc w:val="center"/>
            </w:pPr>
            <w:r>
              <w:rPr>
                <w:rFonts w:ascii="Times New Roman" w:hAnsi="Times New Roman"/>
                <w:color w:val="000000"/>
                <w:sz w:val="22"/>
              </w:rPr>
              <w:t xml:space="preserve">Estimation deaths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Designs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RMST B/D/R</w:t>
            </w:r>
          </w:p>
        </w:tc>
        <w:tc>
          <w:tcPr>
            <w:tcW w:type="dxa" w:w="1600"/>
            <w:vAlign w:val="center"/>
            <w:shd w:fill="F2F2F2"/>
          </w:tcPr>
          <w:p>
            <w:pPr>
              <w:pStyle w:val="Compact"/>
              <w:keepNext/>
              <w:spacing w:before="0" w:after="0" w:line="240" w:lineRule="auto"/>
              <w:jc w:val="center"/>
            </w:pPr>
            <w:r>
              <w:rPr>
                <w:rFonts w:ascii="Times New Roman" w:hAnsi="Times New Roman"/>
                <w:color w:val="000000"/>
                <w:sz w:val="22"/>
              </w:rPr>
              <w:t xml:space="preserve">Survival B/D/R</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256/86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39</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19/60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8/60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657/219</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345/115</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341/114</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42</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320/107</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16</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264/88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308/103</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67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2/3/55</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2/1/57</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237/80</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17/60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9/60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261/88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38</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23/60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316/106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23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11/60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1"/>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2026-10-02T13:40:56Z</dcterms:created>
  <dcterms:modified xsi:type="dcterms:W3CDTF">2026-10-02T13:40:56Z</dcterms:modified>
</cp:coreProperties>
</file>

<file path=docProps/custom.xml><?xml version="1.0" encoding="utf-8"?>
<Properties xmlns="http://schemas.openxmlformats.org/officeDocument/2006/custom-properties" xmlns:vt="http://schemas.openxmlformats.org/officeDocument/2006/docPropsVTypes"/>
</file>