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6965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make that connection. Frequency aggregation of nodewise supports across niche windows produces a cohort graph. For each exposure, its neighbourhood supplies treatment proxies and separated components supply systemic-state readouts. Structural graph conditions establish their exclusion relations. A reduced-rank bridge uses the full readout pool and estimates the exposure’s total effect. A fixed grid of window widths and support penalties supplies complementary readout pools. Joint information determines their dimension and learns readout coordinates before exposure residualisation; full conditional proxy information defines eligible designs, and the smallest conditional root selects the design within that space. This design separates the spectrum of the molecular representation from the dimension needed for causal estimation.</w:t>
      </w:r>
    </w:p>
    <w:p>
      <w:pPr>
        <w:pStyle w:val="BodyText"/>
      </w:pPr>
      <w:r>
        <w:t xml:space="preserve">The clinical target is a change in restricted mean survival time (RMST) or survival probability at a specified horizon. Inverse censoring weights produce observed-data outcomes with the complete-data conditional mean, allowing the same proximal bridge to estimate these intervention contrasts. This connects the paper’s identification model, simulations and TCGA applications through a common mean estimand. Recent proximal methods for counterfactual survival curves and censored event regression provide related approaches to survival analysis [9, 10].</w:t>
      </w:r>
    </w:p>
    <w:p>
      <w:pPr>
        <w:pStyle w:val="BodyText"/>
      </w:pPr>
      <w:r>
        <w:t xml:space="preserve">The contributions are structural conditions for network-derived proxies, constructive total-effect identification with overcomplete readouts, joint readout representation and conditional bridge information, selection of a conditionally complete design, and independent discovery/estimation inference with censoring adjustment. Simulations distinguish reporting, role selection and effect accuracy and compare the contribution of niche-window reconstruction with ordinary factor adjustment and simpler proxy designs. The framework builds on negative-control designs [11, 12], proximal regression and semiparametric identification [6, 7, 8]. Fortified and adaptive proximal approaches [13, 14] address complementary questions about collections containing invalid proxies.</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p>
      <w:pPr>
        <w:pStyle w:val="BodyText"/>
      </w:pPr>
      <w:r>
        <w:t xml:space="preserve">The independent workflow in Section 3.8 refits the censoring model in each estimation-sample resample. The resulting pseudo-outcomes enter the concentrated moments below. Supplementary methods describe full-cohort and complete-construction reference procedures.</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final inference workflow partitions patients once into 75% discovery and 25% estimation samples, independently of outcomes. Molecular filtering, the 60-protein panel, median imputations, standardisation, niche curves and eight network designs use discovery patients. The design rule selects roles, dimension and window/penalty; its joint readout coordinates and nuisance moment pivots are then frozen. Estimation patients use the discovery transformations. A clinical exposure contrast is one discovery-sample standard deviation.</w:t>
      </w:r>
    </w:p>
    <w:p>
      <w:pPr>
        <w:pStyle w:val="BodyText"/>
      </w:pPr>
      <w:r>
        <w:t xml:space="preserve">Concentrated moments of Section 3.7 are estimated in estimation patients using the fixed observed readouts. No network, role, rank or pivot decision is repeated in those patients. Their resamples refit covariate projections, bridge moments and censoring to estimate the joint moment covariance. Fieller intersection supplies the effect confidence set. An unavailable discovery design, numerical nuisance failure or fewer than 97.5% complete moment resamples returns the whole real line and no point estimate. Every attempt has a set and a reason; a weak-information real-line set is distinguished from an unavailable calculation.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Every analysed exposure has its role sets, dimensions, spectrum dimension, joint dimension, selected window width and penalty, conditional roots and rank, raw and reduced strength, and reporting status recorded. Point estimates, censoring support, bootstrap success counts and confidence-set shapes accompany independent estimation. Reporting rates use all attempted exposures or simulation datasets. Point accuracy uses its point-fit denominator. Independent set coverage uses every attempted dataset; coverage among available fits is reported separately. These outputs connect network construction to the information supporting each effect estimate.</w:t>
      </w:r>
    </w:p>
    <w:bookmarkEnd w:id="20"/>
    <w:bookmarkStart w:id="21" w:name="quasi-dynamic-network-interpretation"/>
    <w:p>
      <w:pPr>
        <w:pStyle w:val="Heading2"/>
      </w:pPr>
      <w:r>
        <w:t xml:space="preserve">3.10 Quasi-dynamic network interpretation</w:t>
      </w:r>
    </w:p>
    <w:p>
      <w:pPr>
        <w:pStyle w:val="FirstParagraph"/>
      </w:pPr>
      <w:r>
        <w:t xml:space="preserve">To place the proximal analysis in its descriptive network, the weak-form ODE decomposition of idopNetwork is solved on the support graph:</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w:t>
      </w:r>
      <w:r>
        <w:t xml:space="preserve">along the niche index, with the</w:t>
      </w:r>
      <w:r>
        <w:t xml:space="preserve"> </w:t>
      </w:r>
      <m:oMath>
        <m:r>
          <m:t>Q</m:t>
        </m:r>
      </m:oMath>
      <w:r>
        <w:t xml:space="preserve">’s expanded in an integral Legendre basis of order zero and fitted to the power-curve samples by least squares, as in the original idopNetwork implementation. The result is a signed, weighted, directed network (Figures S1 and S2) and, for each target, a decomposition of its curve into a self term and cross terms from its parents (Figure 3c). The proximal estimator does not use the ODE weights.</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allows additional selected edges. Those edges can merge components and reduce the supply of separated proxies. N2 specifies the outcome-facing boundary of the exposure neighbourhood. It permits exposure neighbours that read out the systemic state, including ancillary children of</w:t>
      </w:r>
      <w:r>
        <w:t xml:space="preserve"> </w:t>
      </w:r>
      <m:oMath>
        <m:r>
          <m:t>A</m:t>
        </m:r>
      </m:oMath>
      <w:r>
        <w:t xml:space="preserve">, while outcome-directed branches remain on the other side of the boundary. For the unfiltered neighbourhood rule, every observed neighbour must have this outcome exclusion after conditioning on A and the systemic state. A prespecified structural eligibility set can retain ancillary neighbours while excluding known outcome-directed branches. The excluded proteins remain in the exposure component and are outside W, preserving their contribution to the total effect rather than adjusting for them in the outcome bridge. N2 applies to the resulting eligible treatment-proxy set.</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This result specifies the structural models for which neighbourhoods and separated components have the required proximal roles. The graph condition and the information condition below perform different tasks: separation establishes the exclusion relations, while the proxy cross-covariance establishes the identifying dimension. In nonparametric proximal identification, an integrable outcome bridge and the corresponding completeness condition supply the remaining identification requirements [6, 7, 8]. The linear construction gives these requirements an explicit finite-dimensional form.</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reduced structural equation defines the total intervention coefficient</w:t>
      </w:r>
      <w:r>
        <w:t xml:space="preserve"> </w:t>
      </w:r>
      <m:oMath>
        <m:sSub>
          <m:e>
            <m:r>
              <m:t>τ</m:t>
            </m:r>
          </m:e>
          <m:sub>
            <m:r>
              <m:t>A</m:t>
            </m:r>
          </m:sub>
        </m:sSub>
        <m:r>
          <m:rPr>
            <m:sty m:val="p"/>
          </m:rPr>
          <m:t>=</m:t>
        </m:r>
        <m:sSub>
          <m:e>
            <m:r>
              <m:t>γ</m:t>
            </m:r>
          </m:e>
          <m:sub>
            <m:r>
              <m:t>A</m:t>
            </m:r>
          </m:sub>
        </m:sSub>
        <m:r>
          <m:rPr>
            <m:sty m:val="p"/>
          </m:rPr>
          <m:t>+</m:t>
        </m:r>
        <m:nary>
          <m:naryPr>
            <m:chr m:val="∑"/>
            <m:limLoc m:val="undOvr"/>
            <m:subHide m:val="off"/>
            <m:supHide m:val="on"/>
          </m:naryPr>
          <m:sub>
            <m:r>
              <m:t>v</m:t>
            </m:r>
          </m:sub>
          <m:sup>
            <m:r>
              <m:t>​</m:t>
            </m:r>
          </m:sup>
          <m:e>
            <m:sSub>
              <m:e>
                <m:r>
                  <m:t>π</m:t>
                </m:r>
              </m:e>
              <m:sub>
                <m:r>
                  <m:t>v</m:t>
                </m:r>
              </m:sub>
            </m:sSub>
          </m:e>
        </m:nary>
        <m:sSub>
          <m:e>
            <m:r>
              <m:t>ω</m:t>
            </m:r>
          </m:e>
          <m:sub>
            <m:r>
              <m:t>A</m:t>
            </m:r>
            <m:r>
              <m:t>v</m:t>
            </m:r>
          </m:sub>
        </m:sSub>
      </m:oMath>
      <w:r>
        <w:t xml:space="preserve">; the proxy boundary determines which molecular designs support its identification. A prespecified proxy boundary can leave observed mediators in the exposure component while keeping them outside Z and W. Their contributions remain in</w:t>
      </w:r>
      <w:r>
        <w:t xml:space="preserve"> </w:t>
      </w:r>
      <m:oMath>
        <m:sSub>
          <m:e>
            <m:r>
              <m:t>τ</m:t>
            </m:r>
          </m:e>
          <m:sub>
            <m:r>
              <m:t>A</m:t>
            </m:r>
          </m:sub>
        </m:sSub>
      </m:oMath>
      <w:r>
        <w:t xml:space="preserve">. With the all-neighbour default, N2 gives outcome exclusion for every observed exposure neighbour. Mechanisms already marginalised into the exposure-specific mean are likewise represented by</w:t>
      </w:r>
      <w:r>
        <w:t xml:space="preserve"> </w:t>
      </w:r>
      <m:oMath>
        <m:sSub>
          <m:e>
            <m:r>
              <m:t>τ</m:t>
            </m:r>
          </m:e>
          <m:sub>
            <m:r>
              <m:t>A</m:t>
            </m:r>
          </m:sub>
        </m:sSub>
      </m:oMath>
      <w:r>
        <w:t xml:space="preserve">.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unchanged.</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result concerns the clinical survival functional directly. It requires a mean bridge at the chosen horizon and permits an unrestricted event-time hazard within that model.</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This is Fieller’s confidence construction applied to concentrated proximal bridge moments [23]. All remaining moments enter a Bonferroni intersection; their dependence does not affect the union-bound coverage guarantee. The uniform statement assumes a uniform moment law, regular joint nuisance information and stable nuisance coordinate choices. Molecular roles and dimension condition the set, while Corollary 1b concerns complete construction resampling.</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This is a selected-model identification condition; sample independence does not establish proxy exclusions or recover a systemic direction omitted by discovery. Covariance consistency includes an increasing number of moment resamples in the asymptotic statement.</w:t>
      </w:r>
    </w:p>
    <w:p>
      <w:pPr>
        <w:pStyle w:val="BodyText"/>
      </w:pPr>
      <w:r>
        <w:t xml:space="preserve">The proof is given in Appendix A.5.</w:t>
      </w:r>
    </w:p>
    <w:p>
      <w:pPr>
        <w:pStyle w:val="BodyText"/>
      </w:pPr>
      <w:r>
        <w:t xml:space="preserve">The independent design keeps the molecular decisions inside discovery and the clinical moment law inside estimation. It therefore uses the conditional mean bridge without a bootstrap law for the graph selector or a positive gap between the qualities of distinct valid designs. Rank determination and the biological exposure boundary remain part of discovery validity. The same total-effect estimand is estimated in every valid selected design.</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match the primary clinical analyses.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complete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preceding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two designated estimators measure the effect of the representation with known valid roles. The single-window and correlation comparisons measure the contribution of the molecular design.</w:t>
      </w:r>
    </w:p>
    <w:p>
      <w:pPr>
        <w:pStyle w:val="BodyText"/>
      </w:pPr>
      <w:r>
        <w:t xml:space="preserve">Clinical outcomes do not enter construction. Bootstrap draws hold selected roles and rank fixed and refit the readout projection, both regressions and censoring as appropriate. Report all attempted fits, reporting and completion rates, generating-DAG validity of selected proxy pairs, dimension accuracy, bias, RMSE, 95% coverage and mean interval width. Monte Carlo standard errors accompany effect accuracy and coverage [24]. Wilson intervals accompany reporting and coverage in the CSV summaries. Bias and RMSE use completed reported fits; coverage uses completed intervals. Accuracy measures with fewer than five fits are left blank. Rank strata and paired differences in squared error are supplied separately.</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The allocation and moment rules are frozen before seven systems each generate 200 fresh datasets at offset 140000. Each receives one 75:25 partition. Discovery executes the entire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and Figure 4 report the final end-to-end workflow.</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Only 21/200 linear sets are bounded, and 163/200 are the real line, including 64 unavailable designs. The RMST target also has 21/200 bounded sets. These frequencies locate the information requirement for precise inference. Supplementary methods report allocation development and the supporting selection and resampling studies.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One fixed split assigns 308 patients to discovery and 103 to estimation, with 67 deaths in estimation. Discovery defines missingness and duplicate-antibody filtering, the 60 most variable proteins, imputations and standardisation. The bridge includes age as an observed covariate. The intervention unit is one discovery-cohort protein standard deviation, and the clinical horizon is 36 months. This application asks how individual protein abundance relates to restricted survival after accounting for the systemic state through molecular proxies.</w:t>
      </w:r>
    </w:p>
    <w:p>
      <w:pPr>
        <w:pStyle w:val="BodyText"/>
      </w:pPr>
      <w:r>
        <w:t xml:space="preserve">The causal interpretation uses the structural coverage, exposure boundary, mean bridge and censoring conditions in Section 4. Discovery ranks describe information within that model. Figures 2–3 illustrate LCK and CDH2 molecular representation; Figure 5 gives the discovery-selected proxy designs for the three ovarian proteins discussed below. Table S1 and Figures S5–S6 retain the complete panels and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Each discovery-selected exposure is analysed only in estimation patients. Three hundred patient resamples refit censoring and concentrated moments, holding molecular decisions fixed. Of the 60 ovarian proteins, 26 supply eligible discovery designs and 24/60 complete point estimation. Figure 6 displays all 24 completed ovarian estimates by protein name, in months of RMST and survival percentage points. The panel yields two bounded, three disconnected and 55 real-line RMST sets; survival sets are two bounded, one disconnected and 57 real-line. All endpoint sets include zero. Point directions therefore provide exploratory signals for biological investigation, with their precision reported alongside the fitted magnitudes.</w:t>
      </w:r>
    </w:p>
    <w:p>
      <w:pPr>
        <w:pStyle w:val="BodyText"/>
      </w:pPr>
      <w:r>
        <w:t xml:space="preserve">Table 5 and Figure 7 focus on PTEN, SERPINE1 and CCNE1. These examples were chosen after analysis: PTEN illustrates a bounded contrast, while SERPINE1 and CCNE1 connect negative point directions to ovarian-cancer evidence. They share an eight-protein outcome-proxy pool: VHL, GAPDH, IGFBP2, RAB25, GAB2, EEF2K, TP53 and MAP2K1. The selected window width is 0.4 and the support penalty is 0.2 for each protein; the selected rank is one for PTEN and two for SERPINE1 and CCNE1. The treatment-proxy roles in Table 5 and the separated readout pool require the exposure-specific exclusions in Section 4.1. The complete scan remains available for all 60 proteins and both endpoints.</w:t>
      </w:r>
    </w:p>
    <w:p>
      <w:pPr>
        <w:pStyle w:val="BodyText"/>
      </w:pPr>
      <w:r>
        <w:t xml:space="preserve">PTEN has an estimated 36-month RMST contrast of 1.02 months and a 95% set of [-2.07, 4.24]; its survival contrast is 6.47 percentage points with set [-6.77, 19.31]. CHEK2 supplies the treatment-proxy coordinate. This is the most precise ovarian RMST analysis, expressing the intervention question on a finite clinical scale. PTEN’s clinical associations depend on histotype and measurement: a 5400-patient immunohistochemical study associated lower cytoplasmic PTEN with longer survival in high-grade serous cancer [28]. Our analysis targets a continuous RPPA abundance contrast through the proximal mean bridge. The different measurement and estimand are relevant when relating its positive point direction to that observational result.</w:t>
      </w:r>
    </w:p>
    <w:p>
      <w:pPr>
        <w:pStyle w:val="BodyText"/>
      </w:pPr>
      <w:r>
        <w:t xml:space="preserve">SERPINE1, which encodes plasminogen activator inhibitor-1 (PAI-1), has point contrasts of -11.55 RMST months and -39.48 survival percentage points, using FN1 and RBM15 as treatment proxies. Higher PAI-1 mRNA expression has been associated with worse ovarian-cancer survival, and PAI-1 knockdown or inhibition reduced growth in PAI-1-expressing ovarian-cancer cell models [29]. The negative fitted direction connects this biological question to a 36-month protein-abundance intervention scale. Both confidence sets span the real line, so the fitted magnitude remains unresolved by the current estimation sample.</w:t>
      </w:r>
    </w:p>
    <w:p>
      <w:pPr>
        <w:pStyle w:val="BodyText"/>
      </w:pPr>
      <w:r>
        <w:t xml:space="preserve">CCNE1, encoding cyclin E1, has point contrasts of -10.22 RMST months and -31.62 survival percentage points, using CCNB1, BCL2L11 and CHEK2 as treatment proxies. An Ovarian Tumor Tissue Analysis consortium study of 3029 high-grade serous cancers associated CCNE1 protein overexpression and high-level amplification with shorter survival [30]. Its protein-level evidence makes CCNE1 a pertinent question for the RPPA application. Both proximal confidence sets span the real line. Together, the three analyses show a finite-range PTEN contrast and two biologically motivated negative directions, each with an explicit exposure scale, proxy design and precision statement.</w:t>
      </w:r>
    </w:p>
    <w:p>
      <w:pPr>
        <w:pStyle w:val="BodyText"/>
      </w:pPr>
      <w:r>
        <w:t xml:space="preserve">HSPA1A is the other ovarian protein with a bounded RMST set: -0.62 months with set [-21.97, 10.19]. It is included in the complete ovarian panel. Figure 6 marks coefficients outside the intervention-target ranges, including ACACA’s RMST estimate of -53.60 months; their original values and sets remain in the aggregate files.</w:t>
      </w:r>
    </w:p>
    <w:bookmarkEnd w:id="38"/>
    <w:bookmarkStart w:id="39" w:name="pathway-defined-intervention-boundaries"/>
    <w:p>
      <w:pPr>
        <w:pStyle w:val="Heading2"/>
      </w:pPr>
      <w:r>
        <w:t xml:space="preserve">6.3 Pathway-defined intervention boundaries</w:t>
      </w:r>
    </w:p>
    <w:p>
      <w:pPr>
        <w:pStyle w:val="FirstParagraph"/>
      </w:pPr>
      <w:r>
        <w:t xml:space="preserve">An exposure’s downstream pathways belong to its total effect. GAB2 perturbation studies connect ovarian tumour growth and angiogenesis to PI3K and RAS–MAPK signalling [31, 32]. The ovarian GAB2 specification retains those branches in the intervention effect and excludes their proteins from proxy roles.</w:t>
      </w:r>
    </w:p>
    <w:p>
      <w:pPr>
        <w:pStyle w:val="BodyText"/>
      </w:pPr>
      <w:r>
        <w:t xml:space="preserve">Applied to discovery patients, the GAB2 boundary leaves fewer proxy coordinates than the required joint dimension. This identifies the additional proxy measurements needed for that pathway-defined target. Supplementary methods and Tables S9–S10 give the full-cohort GAB2 reference and the analogous KDR analysis in lung cancer.</w:t>
      </w:r>
    </w:p>
    <w:bookmarkEnd w:id="39"/>
    <w:bookmarkEnd w:id="40"/>
    <w:bookmarkStart w:id="41" w:name="discussion"/>
    <w:p>
      <w:pPr>
        <w:pStyle w:val="Heading1"/>
      </w:pPr>
      <w:r>
        <w:t xml:space="preserve">7 Discussion</w:t>
      </w:r>
    </w:p>
    <w:p>
      <w:pPr>
        <w:pStyle w:val="FirstParagraph"/>
      </w:pPr>
      <w:r>
        <w:t xml:space="preserve">idopNetwork–proximal uses molecular structure to construct measurements for a total-effect outcome bridge. Its distinctive components are exposure-specific network roles, joint readout learning and selection by conditional identifying information. Structural coverage and the exposure boundary provide sufficient proxy exclusions; the linear bridge retains downstream contributions to the intervention effect. Independent discovery and estimation then connect the selected molecular representation to clinical moments.</w:t>
      </w:r>
    </w:p>
    <w:p>
      <w:pPr>
        <w:pStyle w:val="BodyText"/>
      </w:pPr>
      <w:r>
        <w:t xml:space="preserve">The simulations identify where these components contribute. Niche-window construction improves linear-effect estimation over global-window and correlation designs in modular and 60-protein two-factor systems. Joint readout reduces bias relative to conditional projection in the weak two-factor system. Performance varies with structure and target: the global design performs similarly in some systems, and joint readout can trade RMST precision for coverage. The separate fresh-sample study evaluates the complete workflow and reports finite-set frequency together with coverage.</w:t>
      </w:r>
    </w:p>
    <w:p>
      <w:pPr>
        <w:pStyle w:val="BodyText"/>
      </w:pPr>
      <w:r>
        <w:t xml:space="preserve">The ovarian-cancer application expresses protein contrasts in months of restricted survival and percentage points of survival probability. PTEN supplies a finite RMST range, while SERPINE1 and CCNE1 connect negative point directions to protein-specific medical questions. The complete 60-protein analysis reports estimation availability and confidence-set shape alongside all 24 fitted contrasts; supporting cohorts appear in the supplement. Clinical interpretation rests on the exposure-specific proxy model, including its exclusion relations, complete readout dimension and censoring assumptions. Larger estimation cohorts and measurements chosen for explicit biological proxy roles would improve the opportunity for precise molecular intervention estimates.</w:t>
      </w:r>
    </w:p>
    <w:p>
      <w:pPr>
        <w:pStyle w:val="BodyText"/>
      </w:pPr>
      <w:r>
        <w:t xml:space="preserve">The resulting method provides a constructive route from a cross-sectional molecular panel to a causal survival target. Network design determines the available proxy measurements, the bridge identifies the effect under the stated structural model, and concentrated moment inference quantifies its uncertainty.</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frozen study protocols, aggregate results and reproduction instructions are available at https://github.com/ChangeSean/idopNetwork-proximal. TCGA RPPA and clinical inputs are obtained from cBioPortal using the study identifiers and download script documented in the repository. The repository provides one entry point for the current workflow, complete comparison records and separate provenance for supporting studies.</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The main text reports a component study and a separate validation of the complete independent workflow. Component-study examples were chosen after analysis to explain the method; Tables S2–S4 retain every system, outcome and comparator. The following development and reference procedures have their own settings and seeds.</w:t>
      </w:r>
    </w:p>
    <w:bookmarkStart w:id="52" w:name="allocation-development"/>
    <w:p>
      <w:pPr>
        <w:pStyle w:val="Heading3"/>
      </w:pPr>
      <w:r>
        <w:t xml:space="preserve">Allocation development</w:t>
      </w:r>
    </w:p>
    <w:p>
      <w:pPr>
        <w:pStyle w:val="FirstParagraph"/>
      </w:pPr>
      <w:r>
        <w:t xml:space="preserve">The earlier 50:50 allocation is retained as development data at offset 120000. Its weak two-factor system selected rank one in 16/200 attempts, with overall linear coverage 0.905. The final allocation gives more observations to molecular and joint-dimension decisions, which involve more coordinates than the scalar clinical target. The new seed batch evaluates that fixed allocation separately.</w:t>
      </w:r>
    </w:p>
    <w:bookmarkEnd w:id="52"/>
    <w:bookmarkStart w:id="53" w:name="selection-and-resampling-studies"/>
    <w:p>
      <w:pPr>
        <w:pStyle w:val="Heading3"/>
      </w:pPr>
      <w:r>
        <w:t xml:space="preserve">Selection and resampling studies</w:t>
      </w:r>
    </w:p>
    <w:p>
      <w:pPr>
        <w:pStyle w:val="FirstParagraph"/>
      </w:pPr>
      <w:r>
        <w:t xml:space="preserve">Tables 2–3 and S2–S4 retain the ten-estimator representation comparison and its original joint-quality selector. A separate conditional-information study at offset 50000 uses seven systems with 200 datasets each (Table S6), with linear bias -0.005 to 0.027. Paired comparisons use common fitted datasets: conditional and joint-quality RMSEs are 0.152 versus 0.151 in system IV and 0.111 versus 0.111 in system VII. The main selection change is conditional-rank eligibility.</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 These supporting studies isolate representation, conditional selection and moment inversion. Section 5.4 evaluates their final independent discovery/estimation composition.</w:t>
      </w:r>
    </w:p>
    <w:bookmarkEnd w:id="53"/>
    <w:bookmarkStart w:id="54" w:name="full-cohort-inference-procedures"/>
    <w:p>
      <w:pPr>
        <w:pStyle w:val="Heading3"/>
      </w:pPr>
      <w:r>
        <w:t xml:space="preserve">Full-cohort inference procedures</w:t>
      </w:r>
    </w:p>
    <w:p>
      <w:pPr>
        <w:pStyle w:val="FirstParagraph"/>
      </w:pPr>
      <w:r>
        <w:t xml:space="preserve">For complete construction inference resample patients 300 times for TCGA. Rebuild standardisation, niche ordering, curves, loadings, all eight support graphs, proxy sets, ranks and conditional design selection. Refit censoring, the joint projection and both bridge stages in every eligible draw. The initial 60-protein panel and initial molecular and clinical imputations define the declared analysis and are held fixed. Convert each resampled exposure coefficient from the resampled standard deviation to the original full-cohort standard deviation before calculating dispersion. This keeps the intervention unit fixed.</w:t>
      </w:r>
    </w:p>
    <w:p>
      <w:pPr>
        <w:pStyle w:val="BodyText"/>
      </w:pPr>
      <w:r>
        <w:t xml:space="preserve">Retain every attempted construction and its status. A finite normal bootstrap interval requires at least 20 successful fits and 97.5% completed attempts. Otherwise the point fit remains in the results and the complete construction interval is unavailable. This operational completion rule has no independent coverage guarantee. Corollary 1b gives the pointwise resampling result under stable construction and positive information. Fixed-role, fixed-rank 300-draw intervals are also computed as conditional reference intervals, with projection, both stages and censoring refitted; they are labelled separately from complete construction intervals.</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sample designs. Table S9 retains their full-sample concentrated estimates and sets with roles, rank and pivots fixed. Complete reconstruction finishes 10–25% of OV and 12–35% of LUAD attempts; no normal interval meets the 97.5% rule (Table S10 and Figure S4). This characterises the full-sample construction procedure. Independent clinical inference uses its own discovery panels, scales and estimation patients; its coefficients are not paired precision comparisons with these references.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fixed procedure also analyses LUAD, BLCA, BRCA, COADREAD, KIRC, LGG, SKCM, STAD and UCEC. Together with OV, these supply 600 cohort-specific protein contrasts. Discovery defines covariates by cohort: age and, where represented, sex and tumour subtype. LUAD uses age and sex. Table S1 gives all discovery and estimation sample sizes, design counts and set shapes. All 600 exposure records and 1200 endpoint sets are retained; 58/600 exposures complete point estimation. Across the ten cohorts, two RMST sets are bounded, three disconnected and 595 real-line. All endpoint sets include zero. Figure S5 displays every completed coefficient and Figure S6 retains the full-cohort molecular screen.</w:t>
      </w:r>
    </w:p>
    <w:p>
      <w:pPr>
        <w:pStyle w:val="BodyText"/>
      </w:pPr>
      <w:r>
        <w:t xml:space="preserve">The eight-cohort extension supplies 32 completed estimates and real-line sets for all 480 exposures on both endpoints. COADREAD and STAD have no completed calculations because eligible designs fail 36-month censoring support; BRCA, LGG and UCEC chiefly encounter insufficient complete moment resamples. KIRC completes all 14 eligible designs with real-line effect sets. KIRC PTEN gives 1.47 RMST months and 2.21 survival percentage points, and LUAD TGM2 gives 2.01 months and 12.06 points; both have real-line sets on both scales. Ovarian HSPA1A gives -7.54 survival percentage points with set [-80.32, 36.00], alongside its bounded RMST set reported in Section 6. Off-range coefficients include LUAD HSPA1A at 379 percentage points and SKCM BRAF at -53.66 months. Figure S5 marks these coefficients at the display boundary and the point-estimate file retains their numerical values.</w:t>
      </w:r>
    </w:p>
    <w:bookmarkEnd w:id="56"/>
    <w:bookmarkStart w:id="57" w:name="pathway-specific-full-cohort-reference"/>
    <w:p>
      <w:pPr>
        <w:pStyle w:val="Heading3"/>
      </w:pPr>
      <w:r>
        <w:t xml:space="preserve">Pathway-specific full-cohort reference</w:t>
      </w:r>
    </w:p>
    <w:p>
      <w:pPr>
        <w:pStyle w:val="FirstParagraph"/>
      </w:pPr>
      <w:r>
        <w:t xml:space="preserve">Full-cohort GAB2 and KDR examples illustrate how a total-effect target determines proxy eligibility. They use the original full-cohort exposure scale and reference design. Experimental GAB2 studies connect its perturbation to ovarian tumour growth, angiogenesis and PI3K signalling [31]; SHP2/PI3K experiments additionally implicate RAS–MAPK activity [32]. Our boundary specification assigns these signalling branches to the exposure effect and excludes their listed proteins from both proxy roles. Removing BRAF from the GAB2 treatment pool leaves no design supplying the original two-dimensional joint information. The GAB2 case is retained with its unfilled information dimension.</w:t>
      </w:r>
    </w:p>
    <w:p>
      <w:pPr>
        <w:pStyle w:val="BodyText"/>
      </w:pPr>
      <w:r>
        <w:t xml:space="preserve">KDR encodes VEGFR2. NSCLC experiments connect amplified KDR to VEGF-induced mTOR signalling and motility [36]. The KDR boundary retains these pathways within the total effect. ITGA2 is removed from the treatment pool because a separate perturbation study connects it to a metastatic branch in LUAD [37]. The selected boundary-constrained design has Z=CTNNB1, W=MYC, dimension one, window width 0.4 and penalty 0.15. Its smallest conditional root is 0.214. The worked causal model treats MYC abundance as a parallel readout of the systemic proliferative state and requires its exclusion from the KDR intervention path; the treatment-proxy exclusion for CTNNB1 is also part of that model. These are explicit conditions for this particular bridge, rather than consequences of a protein’s pathway label.</w:t>
      </w:r>
    </w:p>
    <w:p>
      <w:pPr>
        <w:pStyle w:val="BodyText"/>
      </w:pPr>
      <w:r>
        <w:t xml:space="preserve">Under this model the estimated 36-month RMST contrast is -1.50 months per declared standard deviation, with 95% Fieller set [-4.29, 0.44]. The survival contrast is -8.1 percentage points, with set [-26.33, 2.61]. Complete reconstruction of the boundary-constrained KDR design completes 36/300 attempts (0.120); its complete construction interval remains unavailable. The example specifies a molecular abundance intervention and a survival target. Its estimand differs from a drug-treatment contrast and retains the stated structural measurement conditions.</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the censored-outcome bridge moments and their confidence sets under the stated causal model.</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Exposure-specific networks for LCK and CDH2 with all separated readouts retained. The upper panels show exposure, proxy and remaining-protein planes with the descriptive ODE edges at each exposure’s grid-selected penalty. The lower panels show niche-curve decompositions for selected proteins. These are molecular-construction views; clinical contrasts use the information criteria and censored mean bridge.</w:t>
      </w:r>
    </w:p>
    <w:p>
      <w:pPr>
        <w:pStyle w:val="BodyText"/>
      </w:pPr>
      <w:r>
        <w:rPr>
          <w:b/>
          <w:bCs/>
        </w:rPr>
        <w:t xml:space="preserve">Figure 4.</w:t>
      </w:r>
      <w:r>
        <w:t xml:space="preserve"> </w:t>
      </w:r>
      <w:r>
        <w:t xml:space="preserve">Final 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Discovery-selected proxy designs for ovarian PTEN, SERPINE1 and CCNE1. Each exposure has its own treatment-proxy neighbourhood; the three designs share the separated eight-protein outcome-proxy pool. Rank and the smallest conditional root describe discovery information. Connectors indicate selected measurement roles. Their causal exclusions are specified in Section 4.1.</w:t>
      </w:r>
    </w:p>
    <w:p>
      <w:pPr>
        <w:pStyle w:val="BodyText"/>
      </w:pPr>
      <w:r>
        <w:rPr>
          <w:b/>
          <w:bCs/>
        </w:rPr>
        <w:t xml:space="preserve">Figure 6.</w:t>
      </w:r>
      <w:r>
        <w:t xml:space="preserve"> </w:t>
      </w:r>
      <w:r>
        <w:t xml:space="preserve">All 24 completed ovarian-cancer point estimates, per discovery-cohort standard deviation, with every protein named. Horizontal position gives RMST months or survival percentage points. Orange marks the three analyses in Table 5. Open triangles mark off-range estimates at the display boundary; numerical values and confidence sets are retained in the aggregate files. Figure 7 shows uncertainty for the three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completion, not causal-effect uncertainty.</w:t>
      </w:r>
    </w:p>
    <w:p>
      <w:pPr>
        <w:pStyle w:val="BodyText"/>
      </w:pPr>
      <w:r>
        <w:rPr>
          <w:b/>
          <w:bCs/>
        </w:rPr>
        <w:t xml:space="preserve">Figure S5.</w:t>
      </w:r>
      <w:r>
        <w:t xml:space="preserve"> </w:t>
      </w:r>
      <w:r>
        <w:t xml:space="preserve">All 58 completed point estimates across ten TCGA cohorts, including the 24 ovarian estimates. Cohort labels give completed counts out of 60; open triangles mark values outside the intervention-target ranges. Original coefficients and sets remain in the complete result files.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2026-10-02T07:32:48Z</dcterms:created>
  <dcterms:modified xsi:type="dcterms:W3CDTF">2026-10-02T07:32:48Z</dcterms:modified>
</cp:coreProperties>
</file>

<file path=docProps/custom.xml><?xml version="1.0" encoding="utf-8"?>
<Properties xmlns="http://schemas.openxmlformats.org/officeDocument/2006/custom-properties" xmlns:vt="http://schemas.openxmlformats.org/officeDocument/2006/docPropsVTypes"/>
</file>