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55" w:rsidRDefault="00C82855">
      <w:r>
        <w:t>Ryan Everett</w:t>
      </w:r>
    </w:p>
    <w:p w:rsidR="00C82855" w:rsidRDefault="00C82855">
      <w:r>
        <w:t>CS251</w:t>
      </w:r>
    </w:p>
    <w:p w:rsidR="00C82855" w:rsidRDefault="00C82855" w:rsidP="00C82855">
      <w:pPr>
        <w:jc w:val="center"/>
      </w:pPr>
      <w:r>
        <w:t>Percolation Analysis</w:t>
      </w:r>
    </w:p>
    <w:p w:rsidR="00C82855" w:rsidRDefault="00DB16C1" w:rsidP="00DB16C1">
      <w:r>
        <w:rPr>
          <w:noProof/>
        </w:rPr>
        <w:drawing>
          <wp:anchor distT="0" distB="0" distL="114300" distR="114300" simplePos="0" relativeHeight="251658240" behindDoc="0" locked="0" layoutInCell="1" allowOverlap="1" wp14:anchorId="11B73E30" wp14:editId="3DD963F2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3743325" cy="2419350"/>
            <wp:effectExtent l="0" t="0" r="9525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What diffe</w:t>
      </w:r>
      <w:r>
        <w:t xml:space="preserve">rences can be found in terms of </w:t>
      </w:r>
      <w:r>
        <w:t>execution time?</w:t>
      </w:r>
    </w:p>
    <w:p w:rsidR="00DB16C1" w:rsidRDefault="00DB16C1" w:rsidP="00DB16C1">
      <w:pPr>
        <w:rPr>
          <w:rFonts w:ascii="Calibri" w:eastAsia="Times New Roman" w:hAnsi="Calibri" w:cs="Calibri"/>
          <w:color w:val="000000"/>
        </w:rPr>
      </w:pPr>
      <w:r>
        <w:t xml:space="preserve">When examining under a smaller range of N, the two algorithms produce close runtimes. At n=50, the two values differ by only </w:t>
      </w:r>
      <w:r w:rsidRPr="00DB16C1">
        <w:rPr>
          <w:rFonts w:ascii="Calibri" w:eastAsia="Times New Roman" w:hAnsi="Calibri" w:cs="Calibri"/>
          <w:color w:val="000000"/>
        </w:rPr>
        <w:t>0.001067</w:t>
      </w:r>
      <w:r>
        <w:rPr>
          <w:rFonts w:ascii="Calibri" w:eastAsia="Times New Roman" w:hAnsi="Calibri" w:cs="Calibri"/>
          <w:color w:val="000000"/>
        </w:rPr>
        <w:t xml:space="preserve"> seconds</w:t>
      </w:r>
      <w:r w:rsidR="000B0699">
        <w:rPr>
          <w:rFonts w:ascii="Calibri" w:eastAsia="Times New Roman" w:hAnsi="Calibri" w:cs="Calibri"/>
          <w:color w:val="000000"/>
        </w:rPr>
        <w:t>,</w:t>
      </w:r>
      <w:r>
        <w:rPr>
          <w:rFonts w:ascii="Calibri" w:eastAsia="Times New Roman" w:hAnsi="Calibri" w:cs="Calibri"/>
          <w:color w:val="000000"/>
        </w:rPr>
        <w:t xml:space="preserve"> which is well within </w:t>
      </w:r>
      <w:r w:rsidR="000B0699">
        <w:rPr>
          <w:rFonts w:ascii="Calibri" w:eastAsia="Times New Roman" w:hAnsi="Calibri" w:cs="Calibri"/>
          <w:color w:val="000000"/>
        </w:rPr>
        <w:t>one</w:t>
      </w:r>
      <w:r>
        <w:rPr>
          <w:rFonts w:ascii="Calibri" w:eastAsia="Times New Roman" w:hAnsi="Calibri" w:cs="Calibri"/>
          <w:color w:val="000000"/>
        </w:rPr>
        <w:t xml:space="preserve"> standard deviation of both values (see</w:t>
      </w:r>
      <w:r w:rsidR="000B0699">
        <w:rPr>
          <w:rFonts w:ascii="Calibri" w:eastAsia="Times New Roman" w:hAnsi="Calibri" w:cs="Calibri"/>
          <w:color w:val="000000"/>
        </w:rPr>
        <w:t xml:space="preserve"> raw values below). Only after n=250, do the differences becomes noticeable. At n=250, the difference is </w:t>
      </w:r>
      <w:r w:rsidR="000B0699" w:rsidRPr="000B0699">
        <w:rPr>
          <w:rFonts w:ascii="Calibri" w:eastAsia="Times New Roman" w:hAnsi="Calibri" w:cs="Calibri"/>
          <w:color w:val="000000"/>
        </w:rPr>
        <w:t>1.003667</w:t>
      </w:r>
      <w:r w:rsidR="000B0699">
        <w:rPr>
          <w:rFonts w:ascii="Calibri" w:eastAsia="Times New Roman" w:hAnsi="Calibri" w:cs="Calibri"/>
          <w:color w:val="000000"/>
        </w:rPr>
        <w:t xml:space="preserve"> seconds, which is not within one standard deviations of either the slow or fast algorithm. This effect is even more noticeable at n=500, the difference then is </w:t>
      </w:r>
      <w:r w:rsidR="000B0699" w:rsidRPr="000B0699">
        <w:rPr>
          <w:rFonts w:ascii="Calibri" w:eastAsia="Times New Roman" w:hAnsi="Calibri" w:cs="Calibri"/>
          <w:color w:val="000000"/>
        </w:rPr>
        <w:t>28.8218</w:t>
      </w:r>
      <w:r w:rsidR="000B0699">
        <w:rPr>
          <w:rFonts w:ascii="Calibri" w:eastAsia="Times New Roman" w:hAnsi="Calibri" w:cs="Calibri"/>
          <w:color w:val="000000"/>
        </w:rPr>
        <w:t xml:space="preserve"> seconds. This difference is almost within two standard deviations of the slow algorithm, but nowhere near two </w:t>
      </w:r>
      <w:r w:rsidR="00CE62C7">
        <w:rPr>
          <w:rFonts w:ascii="Calibri" w:eastAsia="Times New Roman" w:hAnsi="Calibri" w:cs="Calibri"/>
          <w:color w:val="000000"/>
        </w:rPr>
        <w:t xml:space="preserve">standard deviations of the fast algorithm. </w:t>
      </w:r>
    </w:p>
    <w:p w:rsidR="0055248C" w:rsidRDefault="00F904AE" w:rsidP="00DB16C1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80203D" wp14:editId="796198D3">
            <wp:simplePos x="0" y="0"/>
            <wp:positionH relativeFrom="column">
              <wp:posOffset>-791210</wp:posOffset>
            </wp:positionH>
            <wp:positionV relativeFrom="paragraph">
              <wp:posOffset>621665</wp:posOffset>
            </wp:positionV>
            <wp:extent cx="3724275" cy="2076450"/>
            <wp:effectExtent l="0" t="0" r="9525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6DA9EBB" wp14:editId="7C082EC4">
            <wp:simplePos x="0" y="0"/>
            <wp:positionH relativeFrom="column">
              <wp:posOffset>2980690</wp:posOffset>
            </wp:positionH>
            <wp:positionV relativeFrom="paragraph">
              <wp:posOffset>612140</wp:posOffset>
            </wp:positionV>
            <wp:extent cx="3724275" cy="2057400"/>
            <wp:effectExtent l="0" t="0" r="9525" b="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r w:rsidR="0055248C">
        <w:rPr>
          <w:rFonts w:ascii="Calibri" w:eastAsia="Times New Roman" w:hAnsi="Calibri" w:cs="Calibri"/>
          <w:color w:val="000000"/>
        </w:rPr>
        <w:t xml:space="preserve">In summary, the time difference between these two algorithms can only truly be recognized with larger n-values. With smaller n-values, the differences between the two algorithms is very small. In some use cases, the difference between the two algorithms, with a small n-value, could be negligible. </w:t>
      </w:r>
    </w:p>
    <w:p w:rsidR="0055248C" w:rsidRDefault="0055248C" w:rsidP="00DB16C1">
      <w:pPr>
        <w:rPr>
          <w:rFonts w:ascii="Calibri" w:eastAsia="Times New Roman" w:hAnsi="Calibri" w:cs="Calibri"/>
          <w:color w:val="000000"/>
        </w:rPr>
      </w:pPr>
    </w:p>
    <w:p w:rsidR="0055248C" w:rsidRPr="00DB16C1" w:rsidRDefault="0055248C" w:rsidP="00DB16C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Unlike, the running time plot, it’s very hard to visualize the difference between </w:t>
      </w:r>
      <w:r w:rsidR="00F904AE">
        <w:rPr>
          <w:rFonts w:ascii="Calibri" w:eastAsia="Times New Roman" w:hAnsi="Calibri" w:cs="Calibri"/>
          <w:color w:val="000000"/>
        </w:rPr>
        <w:t xml:space="preserve">the two algorithms. </w:t>
      </w:r>
      <w:r w:rsidR="00C85369">
        <w:rPr>
          <w:rFonts w:ascii="Calibri" w:eastAsia="Times New Roman" w:hAnsi="Calibri" w:cs="Calibri"/>
          <w:color w:val="000000"/>
        </w:rPr>
        <w:t xml:space="preserve">The mean threshold for each are very close and within one standard deviation of each other for every n-value. The real difference between the two algorithms is the runtime, not their estimates. </w:t>
      </w:r>
      <w:bookmarkStart w:id="0" w:name="_GoBack"/>
      <w:bookmarkEnd w:id="0"/>
    </w:p>
    <w:sectPr w:rsidR="0055248C" w:rsidRPr="00DB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55"/>
    <w:rsid w:val="000B0699"/>
    <w:rsid w:val="002F15DD"/>
    <w:rsid w:val="0055248C"/>
    <w:rsid w:val="009F5F8C"/>
    <w:rsid w:val="00C82855"/>
    <w:rsid w:val="00C85369"/>
    <w:rsid w:val="00CE62C7"/>
    <w:rsid w:val="00DB16C1"/>
    <w:rsid w:val="00F9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9D37"/>
  <w15:chartTrackingRefBased/>
  <w15:docId w15:val="{877C1CD2-2E6A-4951-B4B8-99747FE4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verettr\Desktop\Copy%20of%20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verettr\Desktop\Copy%20of%20Sta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verettr\Desktop\Copy%20of%20Sta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Running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Slow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Sheet1!$B$9:$G$9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</c:numCache>
            </c:numRef>
          </c:cat>
          <c:val>
            <c:numRef>
              <c:f>Sheet1!$B$6:$G$6</c:f>
              <c:numCache>
                <c:formatCode>General</c:formatCode>
                <c:ptCount val="6"/>
                <c:pt idx="0">
                  <c:v>4.0000000000000002E-4</c:v>
                </c:pt>
                <c:pt idx="1">
                  <c:v>3.467E-3</c:v>
                </c:pt>
                <c:pt idx="2">
                  <c:v>6.267E-3</c:v>
                </c:pt>
                <c:pt idx="3">
                  <c:v>4.24E-2</c:v>
                </c:pt>
                <c:pt idx="4">
                  <c:v>2.0324</c:v>
                </c:pt>
                <c:pt idx="5">
                  <c:v>47.217567000000003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BF-4483-983C-7C6FD52694A9}"/>
            </c:ext>
          </c:extLst>
        </c:ser>
        <c:ser>
          <c:idx val="1"/>
          <c:order val="1"/>
          <c:tx>
            <c:v>Fast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Sheet1!$B$9:$G$9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</c:numCache>
            </c:numRef>
          </c:cat>
          <c:val>
            <c:numRef>
              <c:f>Sheet1!$B$13:$G$13</c:f>
              <c:numCache>
                <c:formatCode>General</c:formatCode>
                <c:ptCount val="6"/>
                <c:pt idx="0">
                  <c:v>5.6700000000000001E-4</c:v>
                </c:pt>
                <c:pt idx="1">
                  <c:v>1.83E-3</c:v>
                </c:pt>
                <c:pt idx="2">
                  <c:v>5.1999999999999998E-3</c:v>
                </c:pt>
                <c:pt idx="3">
                  <c:v>2.8000000000000001E-2</c:v>
                </c:pt>
                <c:pt idx="4">
                  <c:v>1.0287329999999999</c:v>
                </c:pt>
                <c:pt idx="5">
                  <c:v>18.395766999999999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BF-4483-983C-7C6FD52694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3958544"/>
        <c:axId val="751718016"/>
      </c:lineChart>
      <c:catAx>
        <c:axId val="75395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1718016"/>
        <c:crosses val="autoZero"/>
        <c:auto val="1"/>
        <c:lblAlgn val="ctr"/>
        <c:lblOffset val="100"/>
        <c:noMultiLvlLbl val="0"/>
      </c:catAx>
      <c:valAx>
        <c:axId val="75171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9585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P* estimates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35870516185477"/>
          <c:y val="2.5428331875182269E-2"/>
          <c:w val="0.85219685039370074"/>
          <c:h val="0.68893627060662366"/>
        </c:manualLayout>
      </c:layout>
      <c:lineChart>
        <c:grouping val="standard"/>
        <c:varyColors val="0"/>
        <c:ser>
          <c:idx val="0"/>
          <c:order val="1"/>
          <c:tx>
            <c:v>Slow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Sheet1!$B$9:$G$9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</c:numCache>
            </c:numRef>
          </c:cat>
          <c:val>
            <c:numRef>
              <c:f>Sheet1!$B$3:$G$3</c:f>
              <c:numCache>
                <c:formatCode>General</c:formatCode>
                <c:ptCount val="6"/>
                <c:pt idx="0">
                  <c:v>59.6</c:v>
                </c:pt>
                <c:pt idx="1">
                  <c:v>368.1</c:v>
                </c:pt>
                <c:pt idx="2">
                  <c:v>1486.8330000000001</c:v>
                </c:pt>
                <c:pt idx="3">
                  <c:v>5892.4666999999999</c:v>
                </c:pt>
                <c:pt idx="4">
                  <c:v>37219.733</c:v>
                </c:pt>
                <c:pt idx="5">
                  <c:v>147959.36670000001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06-49B8-A2CE-DEFECAE320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4655552"/>
        <c:axId val="64465891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v>Fast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Sheet1!$B$9:$G$9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</c:v>
                      </c:pt>
                      <c:pt idx="1">
                        <c:v>25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250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Sheet1!$B$10:$G$10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60.2</c:v>
                      </c:pt>
                      <c:pt idx="1">
                        <c:v>372.93299999999999</c:v>
                      </c:pt>
                      <c:pt idx="2">
                        <c:v>1483.1</c:v>
                      </c:pt>
                      <c:pt idx="3">
                        <c:v>5875.4669999999996</c:v>
                      </c:pt>
                      <c:pt idx="4">
                        <c:v>37107.43</c:v>
                      </c:pt>
                      <c:pt idx="5">
                        <c:v>148089.76699999999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7706-49B8-A2CE-DEFECAE32030}"/>
                  </c:ext>
                </c:extLst>
              </c15:ser>
            </c15:filteredLineSeries>
          </c:ext>
        </c:extLst>
      </c:lineChart>
      <c:catAx>
        <c:axId val="64465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658912"/>
        <c:crosses val="autoZero"/>
        <c:auto val="1"/>
        <c:lblAlgn val="ctr"/>
        <c:lblOffset val="100"/>
        <c:noMultiLvlLbl val="0"/>
      </c:catAx>
      <c:valAx>
        <c:axId val="64465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 Threshold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655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>
          <a:lumMod val="50000"/>
          <a:alpha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P* estimates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35870516185477"/>
          <c:y val="2.5428331875182269E-2"/>
          <c:w val="0.85219685039370074"/>
          <c:h val="0.68893627060662366"/>
        </c:manualLayout>
      </c:layout>
      <c:lineChart>
        <c:grouping val="standard"/>
        <c:varyColors val="0"/>
        <c:ser>
          <c:idx val="1"/>
          <c:order val="0"/>
          <c:tx>
            <c:v>Fast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noFill/>
              </a:ln>
              <a:effectLst/>
            </c:spPr>
          </c:marker>
          <c:cat>
            <c:numRef>
              <c:f>Sheet1!$B$9:$G$9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</c:numCache>
            </c:numRef>
          </c:cat>
          <c:val>
            <c:numRef>
              <c:f>Sheet1!$B$10:$G$10</c:f>
              <c:numCache>
                <c:formatCode>General</c:formatCode>
                <c:ptCount val="6"/>
                <c:pt idx="0">
                  <c:v>60.2</c:v>
                </c:pt>
                <c:pt idx="1">
                  <c:v>372.93299999999999</c:v>
                </c:pt>
                <c:pt idx="2">
                  <c:v>1483.1</c:v>
                </c:pt>
                <c:pt idx="3">
                  <c:v>5875.4669999999996</c:v>
                </c:pt>
                <c:pt idx="4">
                  <c:v>37107.43</c:v>
                </c:pt>
                <c:pt idx="5">
                  <c:v>148089.76699999999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7D-46AC-95B4-C122F2A09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4655552"/>
        <c:axId val="644658912"/>
        <c:extLst>
          <c:ext xmlns:c15="http://schemas.microsoft.com/office/drawing/2012/chart" uri="{02D57815-91ED-43cb-92C2-25804820EDAC}">
            <c15:filteredLineSeries>
              <c15:ser>
                <c:idx val="0"/>
                <c:order val="1"/>
                <c:tx>
                  <c:v>Slow</c:v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Sheet1!$B$9:$G$9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</c:v>
                      </c:pt>
                      <c:pt idx="1">
                        <c:v>25</c:v>
                      </c:pt>
                      <c:pt idx="2">
                        <c:v>50</c:v>
                      </c:pt>
                      <c:pt idx="3">
                        <c:v>100</c:v>
                      </c:pt>
                      <c:pt idx="4">
                        <c:v>250</c:v>
                      </c:pt>
                      <c:pt idx="5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Sheet1!$B$3:$G$3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59.6</c:v>
                      </c:pt>
                      <c:pt idx="1">
                        <c:v>368.1</c:v>
                      </c:pt>
                      <c:pt idx="2">
                        <c:v>1486.8330000000001</c:v>
                      </c:pt>
                      <c:pt idx="3">
                        <c:v>5892.4666999999999</c:v>
                      </c:pt>
                      <c:pt idx="4">
                        <c:v>37219.733</c:v>
                      </c:pt>
                      <c:pt idx="5">
                        <c:v>147959.36670000001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47D-46AC-95B4-C122F2A0973B}"/>
                  </c:ext>
                </c:extLst>
              </c15:ser>
            </c15:filteredLineSeries>
          </c:ext>
        </c:extLst>
      </c:lineChart>
      <c:catAx>
        <c:axId val="644655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658912"/>
        <c:crosses val="autoZero"/>
        <c:auto val="1"/>
        <c:lblAlgn val="ctr"/>
        <c:lblOffset val="100"/>
        <c:noMultiLvlLbl val="0"/>
      </c:catAx>
      <c:valAx>
        <c:axId val="64465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 Threshold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4655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solidFill>
            <a:schemeClr val="bg1">
              <a:lumMod val="5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>
          <a:lumMod val="50000"/>
          <a:alpha val="50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Everett</dc:creator>
  <cp:keywords/>
  <dc:description/>
  <cp:lastModifiedBy>Ryan Everett</cp:lastModifiedBy>
  <cp:revision>3</cp:revision>
  <dcterms:created xsi:type="dcterms:W3CDTF">2017-02-06T21:05:00Z</dcterms:created>
  <dcterms:modified xsi:type="dcterms:W3CDTF">2017-02-06T22:18:00Z</dcterms:modified>
</cp:coreProperties>
</file>