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164" w:rsidRDefault="00CE2164" w:rsidP="00CE2164">
      <w:r>
        <w:t>Ryan Everett</w:t>
      </w:r>
    </w:p>
    <w:p w:rsidR="00CE2164" w:rsidRDefault="00CE2164" w:rsidP="00CE2164">
      <w:r>
        <w:t>CS251</w:t>
      </w:r>
    </w:p>
    <w:p w:rsidR="006D0554" w:rsidRDefault="00CE2164" w:rsidP="00CE2164">
      <w:pPr>
        <w:jc w:val="center"/>
      </w:pPr>
      <w:r w:rsidRPr="00CE2164">
        <w:t>Pattern Recognition</w:t>
      </w:r>
      <w:r>
        <w:t xml:space="preserve"> Analysis</w:t>
      </w:r>
    </w:p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74"/>
        <w:gridCol w:w="1139"/>
        <w:gridCol w:w="1139"/>
      </w:tblGrid>
      <w:tr w:rsidR="006D0554" w:rsidRPr="006D0554" w:rsidTr="008776BB">
        <w:trPr>
          <w:trHeight w:val="252"/>
        </w:trPr>
        <w:tc>
          <w:tcPr>
            <w:tcW w:w="554" w:type="dxa"/>
            <w:shd w:val="clear" w:color="auto" w:fill="D9D9D9" w:themeFill="background1" w:themeFillShade="D9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N</w:t>
            </w:r>
          </w:p>
        </w:tc>
        <w:tc>
          <w:tcPr>
            <w:tcW w:w="815" w:type="dxa"/>
            <w:shd w:val="clear" w:color="auto" w:fill="D9D9D9" w:themeFill="background1" w:themeFillShade="D9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Brute(N)</w:t>
            </w:r>
          </w:p>
        </w:tc>
        <w:tc>
          <w:tcPr>
            <w:tcW w:w="815" w:type="dxa"/>
            <w:shd w:val="clear" w:color="auto" w:fill="D9D9D9" w:themeFill="background1" w:themeFillShade="D9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Fast(N)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10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0.005563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0.003563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20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0.012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0.007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40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0.018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0.011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50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0.024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0.013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80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0.1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0.021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100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0.177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0.041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150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0.776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0.043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200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2.272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0.067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250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3.639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0.135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300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6.931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0.074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350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12.926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0.192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400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20.036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0.185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1000</w:t>
            </w:r>
          </w:p>
        </w:tc>
        <w:tc>
          <w:tcPr>
            <w:tcW w:w="815" w:type="dxa"/>
            <w:shd w:val="clear" w:color="auto" w:fill="F4B083" w:themeFill="accent2" w:themeFillTint="99"/>
            <w:noWrap/>
            <w:hideMark/>
          </w:tcPr>
          <w:p w:rsidR="006D0554" w:rsidRPr="006D0554" w:rsidRDefault="006D0554" w:rsidP="008776BB">
            <w:r w:rsidRPr="006D0554">
              <w:t>679.193</w:t>
            </w:r>
            <w:r w:rsidR="003E02C6">
              <w:t>s</w:t>
            </w:r>
          </w:p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0.671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2000</w:t>
            </w:r>
          </w:p>
        </w:tc>
        <w:tc>
          <w:tcPr>
            <w:tcW w:w="815" w:type="dxa"/>
            <w:shd w:val="clear" w:color="auto" w:fill="A6A6A6" w:themeFill="background1" w:themeFillShade="A6"/>
            <w:noWrap/>
            <w:hideMark/>
          </w:tcPr>
          <w:p w:rsidR="006D0554" w:rsidRPr="006D0554" w:rsidRDefault="006D0554" w:rsidP="008776BB"/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1.854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3000</w:t>
            </w:r>
          </w:p>
        </w:tc>
        <w:tc>
          <w:tcPr>
            <w:tcW w:w="815" w:type="dxa"/>
            <w:shd w:val="clear" w:color="auto" w:fill="A6A6A6" w:themeFill="background1" w:themeFillShade="A6"/>
            <w:noWrap/>
            <w:hideMark/>
          </w:tcPr>
          <w:p w:rsidR="006D0554" w:rsidRPr="006D0554" w:rsidRDefault="006D0554" w:rsidP="008776BB"/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2.568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4000</w:t>
            </w:r>
          </w:p>
        </w:tc>
        <w:tc>
          <w:tcPr>
            <w:tcW w:w="815" w:type="dxa"/>
            <w:shd w:val="clear" w:color="auto" w:fill="A6A6A6" w:themeFill="background1" w:themeFillShade="A6"/>
            <w:noWrap/>
            <w:hideMark/>
          </w:tcPr>
          <w:p w:rsidR="006D0554" w:rsidRPr="006D0554" w:rsidRDefault="006D0554" w:rsidP="008776BB"/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4.615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5000</w:t>
            </w:r>
          </w:p>
        </w:tc>
        <w:tc>
          <w:tcPr>
            <w:tcW w:w="815" w:type="dxa"/>
            <w:shd w:val="clear" w:color="auto" w:fill="A6A6A6" w:themeFill="background1" w:themeFillShade="A6"/>
            <w:noWrap/>
            <w:hideMark/>
          </w:tcPr>
          <w:p w:rsidR="006D0554" w:rsidRPr="006D0554" w:rsidRDefault="006D0554" w:rsidP="008776BB"/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7.746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6000</w:t>
            </w:r>
          </w:p>
        </w:tc>
        <w:tc>
          <w:tcPr>
            <w:tcW w:w="815" w:type="dxa"/>
            <w:shd w:val="clear" w:color="auto" w:fill="A6A6A6" w:themeFill="background1" w:themeFillShade="A6"/>
            <w:noWrap/>
            <w:hideMark/>
          </w:tcPr>
          <w:p w:rsidR="006D0554" w:rsidRPr="006D0554" w:rsidRDefault="006D0554" w:rsidP="008776BB"/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11.9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8000</w:t>
            </w:r>
          </w:p>
        </w:tc>
        <w:tc>
          <w:tcPr>
            <w:tcW w:w="815" w:type="dxa"/>
            <w:shd w:val="clear" w:color="auto" w:fill="A6A6A6" w:themeFill="background1" w:themeFillShade="A6"/>
            <w:noWrap/>
            <w:hideMark/>
          </w:tcPr>
          <w:p w:rsidR="006D0554" w:rsidRPr="006D0554" w:rsidRDefault="006D0554" w:rsidP="008776BB"/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20.71</w:t>
            </w:r>
            <w:r w:rsidR="003E02C6">
              <w:t>s</w:t>
            </w:r>
          </w:p>
        </w:tc>
      </w:tr>
      <w:tr w:rsidR="006D0554" w:rsidRPr="006D0554" w:rsidTr="008776BB">
        <w:trPr>
          <w:trHeight w:val="252"/>
        </w:trPr>
        <w:tc>
          <w:tcPr>
            <w:tcW w:w="554" w:type="dxa"/>
            <w:noWrap/>
            <w:hideMark/>
          </w:tcPr>
          <w:p w:rsidR="006D0554" w:rsidRPr="006D0554" w:rsidRDefault="006D0554" w:rsidP="008776BB">
            <w:pPr>
              <w:rPr>
                <w:b/>
              </w:rPr>
            </w:pPr>
            <w:r w:rsidRPr="006D0554">
              <w:rPr>
                <w:b/>
              </w:rPr>
              <w:t>10000</w:t>
            </w:r>
          </w:p>
        </w:tc>
        <w:tc>
          <w:tcPr>
            <w:tcW w:w="815" w:type="dxa"/>
            <w:shd w:val="clear" w:color="auto" w:fill="A6A6A6" w:themeFill="background1" w:themeFillShade="A6"/>
            <w:noWrap/>
            <w:hideMark/>
          </w:tcPr>
          <w:p w:rsidR="006D0554" w:rsidRPr="006D0554" w:rsidRDefault="006D0554" w:rsidP="008776BB"/>
        </w:tc>
        <w:tc>
          <w:tcPr>
            <w:tcW w:w="815" w:type="dxa"/>
            <w:noWrap/>
            <w:hideMark/>
          </w:tcPr>
          <w:p w:rsidR="006D0554" w:rsidRPr="006D0554" w:rsidRDefault="006D0554" w:rsidP="008776BB">
            <w:r w:rsidRPr="006D0554">
              <w:t>37.038</w:t>
            </w:r>
            <w:r w:rsidR="003E02C6">
              <w:t>s</w:t>
            </w:r>
          </w:p>
        </w:tc>
      </w:tr>
    </w:tbl>
    <w:p w:rsidR="006D0554" w:rsidRDefault="008776BB">
      <w:r>
        <w:rPr>
          <w:noProof/>
        </w:rPr>
        <w:drawing>
          <wp:anchor distT="0" distB="0" distL="114300" distR="114300" simplePos="0" relativeHeight="251659264" behindDoc="0" locked="0" layoutInCell="1" allowOverlap="1" wp14:anchorId="58E9F1F9" wp14:editId="21F4BC9E">
            <wp:simplePos x="0" y="0"/>
            <wp:positionH relativeFrom="page">
              <wp:posOffset>3305175</wp:posOffset>
            </wp:positionH>
            <wp:positionV relativeFrom="paragraph">
              <wp:posOffset>1513840</wp:posOffset>
            </wp:positionV>
            <wp:extent cx="3562350" cy="2124075"/>
            <wp:effectExtent l="0" t="0" r="0" b="95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difference between the two algorithms </w:t>
      </w:r>
      <w:r w:rsidR="00365248">
        <w:t xml:space="preserve">is clear from the get-go. The Brute force algorithm begins to slow down very fast; N=400 is the largest tested N value that is sub-200 seconds. Whereas the Fast Algorithm can go all the way to N=10,000 without coming close to the 200 second ceiling. </w:t>
      </w:r>
      <w:r w:rsidR="004D26E9">
        <w:t xml:space="preserve">Looking at the Runtime graph of Brute versus Fast, it’s hard to see the difference since Fast stays under one second for the N values. It’s better to plot Fast on it’s own graph to get a proper view of how it grows. </w:t>
      </w:r>
    </w:p>
    <w:p w:rsidR="00990619" w:rsidRDefault="00990619">
      <w:r>
        <w:rPr>
          <w:noProof/>
        </w:rPr>
        <w:drawing>
          <wp:anchor distT="0" distB="0" distL="114300" distR="114300" simplePos="0" relativeHeight="251658240" behindDoc="0" locked="0" layoutInCell="1" allowOverlap="1" wp14:anchorId="3CF66E7B" wp14:editId="54F94304">
            <wp:simplePos x="0" y="0"/>
            <wp:positionH relativeFrom="margin">
              <wp:align>left</wp:align>
            </wp:positionH>
            <wp:positionV relativeFrom="paragraph">
              <wp:posOffset>2244725</wp:posOffset>
            </wp:positionV>
            <wp:extent cx="3657600" cy="219075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619" w:rsidRDefault="00990619">
      <w:pPr>
        <w:rPr>
          <w:rFonts w:ascii="Calibri" w:eastAsia="Times New Roman" w:hAnsi="Calibri" w:cs="Calibri"/>
          <w:color w:val="000000"/>
        </w:rPr>
      </w:pPr>
      <w:r>
        <w:t>We can use a linear correlation equation for e</w:t>
      </w:r>
      <w:r w:rsidR="005E3BCC">
        <w:t xml:space="preserve">stimating future runtimes. The Brute force algorithm gives us a correlation coefficient of </w:t>
      </w:r>
      <w:r w:rsidR="005E3BCC" w:rsidRPr="005E3BCC">
        <w:rPr>
          <w:rFonts w:ascii="Calibri" w:eastAsia="Times New Roman" w:hAnsi="Calibri" w:cs="Calibri"/>
          <w:b/>
          <w:color w:val="000000"/>
        </w:rPr>
        <w:t>0.886979</w:t>
      </w:r>
      <w:r w:rsidR="005E3BCC">
        <w:rPr>
          <w:rFonts w:ascii="Calibri" w:eastAsia="Times New Roman" w:hAnsi="Calibri" w:cs="Calibri"/>
          <w:color w:val="000000"/>
        </w:rPr>
        <w:t xml:space="preserve"> for a sample set of 13 values. The Fast algorithm gives a correlation coefficient of </w:t>
      </w:r>
      <w:r w:rsidR="005E3BCC" w:rsidRPr="005E3BCC">
        <w:rPr>
          <w:rFonts w:ascii="Calibri" w:eastAsia="Times New Roman" w:hAnsi="Calibri" w:cs="Calibri"/>
          <w:b/>
          <w:color w:val="000000"/>
        </w:rPr>
        <w:t>0.979412</w:t>
      </w:r>
      <w:r w:rsidR="005E3BCC">
        <w:rPr>
          <w:rFonts w:ascii="Calibri" w:eastAsia="Times New Roman" w:hAnsi="Calibri" w:cs="Calibri"/>
          <w:color w:val="000000"/>
        </w:rPr>
        <w:t xml:space="preserve"> for a sample set of 20 values. These </w:t>
      </w:r>
      <w:r w:rsidR="00221B52">
        <w:rPr>
          <w:rFonts w:ascii="Calibri" w:eastAsia="Times New Roman" w:hAnsi="Calibri" w:cs="Calibri"/>
          <w:color w:val="000000"/>
        </w:rPr>
        <w:t>are both good enough for use with predicting n=1,000,000.</w:t>
      </w:r>
    </w:p>
    <w:p w:rsidR="00221B52" w:rsidRDefault="00221B52">
      <w:pPr>
        <w:rPr>
          <w:rFonts w:ascii="Calibri" w:eastAsia="Times New Roman" w:hAnsi="Calibri" w:cs="Calibri"/>
          <w:color w:val="000000"/>
        </w:rPr>
      </w:pPr>
    </w:p>
    <w:p w:rsidR="00221B52" w:rsidRDefault="00221B5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Brute algorithm gives a linear function of </w:t>
      </w:r>
      <w:r w:rsidRPr="00221B52">
        <w:rPr>
          <w:rFonts w:ascii="Calibri" w:eastAsia="Times New Roman" w:hAnsi="Calibri" w:cs="Calibri"/>
          <w:b/>
          <w:color w:val="000000"/>
        </w:rPr>
        <w:t>−85.939 + 0.625x</w:t>
      </w:r>
      <w:r>
        <w:rPr>
          <w:rFonts w:ascii="Calibri" w:eastAsia="Times New Roman" w:hAnsi="Calibri" w:cs="Calibri"/>
          <w:color w:val="000000"/>
        </w:rPr>
        <w:t xml:space="preserve"> where x=n, so at n=1,000,000 the Brute force algorithm will be around </w:t>
      </w:r>
      <w:r w:rsidRPr="00221B52">
        <w:rPr>
          <w:rFonts w:ascii="Calibri" w:eastAsia="Times New Roman" w:hAnsi="Calibri" w:cs="Calibri"/>
          <w:color w:val="000000"/>
        </w:rPr>
        <w:t>624</w:t>
      </w:r>
      <w:r>
        <w:rPr>
          <w:rFonts w:ascii="Calibri" w:eastAsia="Times New Roman" w:hAnsi="Calibri" w:cs="Calibri"/>
          <w:color w:val="000000"/>
        </w:rPr>
        <w:t>,</w:t>
      </w:r>
      <w:r w:rsidRPr="00221B52">
        <w:rPr>
          <w:rFonts w:ascii="Calibri" w:eastAsia="Times New Roman" w:hAnsi="Calibri" w:cs="Calibri"/>
          <w:color w:val="000000"/>
        </w:rPr>
        <w:t>914 s</w:t>
      </w:r>
      <w:r>
        <w:rPr>
          <w:rFonts w:ascii="Calibri" w:eastAsia="Times New Roman" w:hAnsi="Calibri" w:cs="Calibri"/>
          <w:color w:val="000000"/>
        </w:rPr>
        <w:t>.</w:t>
      </w:r>
    </w:p>
    <w:p w:rsidR="00221B52" w:rsidRDefault="00221B52" w:rsidP="00221B5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r>
        <w:rPr>
          <w:rFonts w:ascii="Calibri" w:eastAsia="Times New Roman" w:hAnsi="Calibri" w:cs="Calibri"/>
          <w:color w:val="000000"/>
        </w:rPr>
        <w:t>Fast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algorithm</w:t>
      </w:r>
      <w:r>
        <w:rPr>
          <w:rFonts w:ascii="Calibri" w:eastAsia="Times New Roman" w:hAnsi="Calibri" w:cs="Calibri"/>
          <w:color w:val="000000"/>
        </w:rPr>
        <w:t xml:space="preserve"> gives a linear function of </w:t>
      </w:r>
      <w:r w:rsidR="009C276F" w:rsidRPr="009C276F">
        <w:rPr>
          <w:rFonts w:ascii="Calibri" w:eastAsia="Times New Roman" w:hAnsi="Calibri" w:cs="Calibri"/>
          <w:b/>
          <w:color w:val="000000"/>
        </w:rPr>
        <w:t>−1.533 + 0.003x</w:t>
      </w:r>
      <w:r w:rsidR="009C276F">
        <w:rPr>
          <w:rFonts w:ascii="Calibri" w:eastAsia="Times New Roman" w:hAnsi="Calibri" w:cs="Calibri"/>
          <w:b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where x=n, so at n=1,000,000 the Brute force algorithm will be around </w:t>
      </w:r>
      <w:r w:rsidR="009C276F" w:rsidRPr="009C276F">
        <w:rPr>
          <w:rFonts w:ascii="Calibri" w:eastAsia="Times New Roman" w:hAnsi="Calibri" w:cs="Calibri"/>
          <w:color w:val="000000"/>
        </w:rPr>
        <w:t>2</w:t>
      </w:r>
      <w:r w:rsidR="009C276F">
        <w:rPr>
          <w:rFonts w:ascii="Calibri" w:eastAsia="Times New Roman" w:hAnsi="Calibri" w:cs="Calibri"/>
          <w:color w:val="000000"/>
        </w:rPr>
        <w:t>,</w:t>
      </w:r>
      <w:bookmarkStart w:id="0" w:name="_GoBack"/>
      <w:bookmarkEnd w:id="0"/>
      <w:r w:rsidR="009C276F" w:rsidRPr="009C276F">
        <w:rPr>
          <w:rFonts w:ascii="Calibri" w:eastAsia="Times New Roman" w:hAnsi="Calibri" w:cs="Calibri"/>
          <w:color w:val="000000"/>
        </w:rPr>
        <w:t>998.47s</w:t>
      </w:r>
      <w:r>
        <w:rPr>
          <w:rFonts w:ascii="Calibri" w:eastAsia="Times New Roman" w:hAnsi="Calibri" w:cs="Calibri"/>
          <w:color w:val="000000"/>
        </w:rPr>
        <w:t>.</w:t>
      </w:r>
    </w:p>
    <w:p w:rsidR="00221B52" w:rsidRPr="00221B52" w:rsidRDefault="00221B52">
      <w:pPr>
        <w:rPr>
          <w:rFonts w:ascii="Calibri" w:eastAsia="Times New Roman" w:hAnsi="Calibri" w:cs="Calibri"/>
          <w:color w:val="000000"/>
        </w:rPr>
      </w:pPr>
    </w:p>
    <w:sectPr w:rsidR="00221B52" w:rsidRPr="0022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54"/>
    <w:rsid w:val="00221B52"/>
    <w:rsid w:val="00365248"/>
    <w:rsid w:val="003E02C6"/>
    <w:rsid w:val="003F5A2E"/>
    <w:rsid w:val="004D26E9"/>
    <w:rsid w:val="005E3BCC"/>
    <w:rsid w:val="006D0554"/>
    <w:rsid w:val="008776BB"/>
    <w:rsid w:val="00990619"/>
    <w:rsid w:val="009C276F"/>
    <w:rsid w:val="00CE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158A6-E90C-4F42-8D3B-B9D5C17B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D05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ermouth.cs.purdue.edu\homes\everettr\Repositories\cs251\projects\project2\WorkingNo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vermouth.cs.purdue.edu\homes\everettr\Repositories\cs251\projects\project2\WorkingNo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  <a:r>
              <a:rPr lang="en-US" baseline="0"/>
              <a:t> versus Sample Size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Brute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Sheet1!$A$2:$A$14</c15:sqref>
                  </c15:fullRef>
                </c:ext>
              </c:extLst>
              <c:f>Sheet1!$A$2:$A$13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150</c:v>
                </c:pt>
                <c:pt idx="7">
                  <c:v>200</c:v>
                </c:pt>
                <c:pt idx="8">
                  <c:v>250</c:v>
                </c:pt>
                <c:pt idx="9">
                  <c:v>300</c:v>
                </c:pt>
                <c:pt idx="10">
                  <c:v>350</c:v>
                </c:pt>
                <c:pt idx="11">
                  <c:v>400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Sheet1!$B$2:$B$14</c15:sqref>
                  </c15:fullRef>
                </c:ext>
              </c:extLst>
              <c:f>Sheet1!$B$2:$B$13</c:f>
              <c:numCache>
                <c:formatCode>General</c:formatCode>
                <c:ptCount val="12"/>
                <c:pt idx="0">
                  <c:v>5.5625000000000023E-3</c:v>
                </c:pt>
                <c:pt idx="1">
                  <c:v>1.2E-2</c:v>
                </c:pt>
                <c:pt idx="2">
                  <c:v>1.7999999999999999E-2</c:v>
                </c:pt>
                <c:pt idx="3">
                  <c:v>2.4E-2</c:v>
                </c:pt>
                <c:pt idx="4">
                  <c:v>0.1</c:v>
                </c:pt>
                <c:pt idx="5">
                  <c:v>0.17699999999999999</c:v>
                </c:pt>
                <c:pt idx="6">
                  <c:v>0.77600000000000002</c:v>
                </c:pt>
                <c:pt idx="7">
                  <c:v>2.2719999999999998</c:v>
                </c:pt>
                <c:pt idx="8">
                  <c:v>3.6389999999999998</c:v>
                </c:pt>
                <c:pt idx="9">
                  <c:v>6.931</c:v>
                </c:pt>
                <c:pt idx="10">
                  <c:v>12.926</c:v>
                </c:pt>
                <c:pt idx="11">
                  <c:v>20.036000000000001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D27-4DE8-B7AB-9D36066820FB}"/>
            </c:ext>
          </c:extLst>
        </c:ser>
        <c:ser>
          <c:idx val="1"/>
          <c:order val="1"/>
          <c:tx>
            <c:v>Fast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Sheet1!$A$2:$A$14</c15:sqref>
                  </c15:fullRef>
                </c:ext>
              </c:extLst>
              <c:f>Sheet1!$A$2:$A$13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150</c:v>
                </c:pt>
                <c:pt idx="7">
                  <c:v>200</c:v>
                </c:pt>
                <c:pt idx="8">
                  <c:v>250</c:v>
                </c:pt>
                <c:pt idx="9">
                  <c:v>300</c:v>
                </c:pt>
                <c:pt idx="10">
                  <c:v>350</c:v>
                </c:pt>
                <c:pt idx="11">
                  <c:v>400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Sheet1!$C$2:$C$14</c15:sqref>
                  </c15:fullRef>
                </c:ext>
              </c:extLst>
              <c:f>Sheet1!$C$2:$C$13</c:f>
              <c:numCache>
                <c:formatCode>General</c:formatCode>
                <c:ptCount val="12"/>
                <c:pt idx="0">
                  <c:v>3.5625000000000019E-3</c:v>
                </c:pt>
                <c:pt idx="1">
                  <c:v>7.0000000000000001E-3</c:v>
                </c:pt>
                <c:pt idx="2">
                  <c:v>1.0999999999999999E-2</c:v>
                </c:pt>
                <c:pt idx="3">
                  <c:v>1.2999999999999999E-2</c:v>
                </c:pt>
                <c:pt idx="4">
                  <c:v>2.1000000000000001E-2</c:v>
                </c:pt>
                <c:pt idx="5">
                  <c:v>4.1000000000000002E-2</c:v>
                </c:pt>
                <c:pt idx="6">
                  <c:v>4.2999999999999997E-2</c:v>
                </c:pt>
                <c:pt idx="7">
                  <c:v>6.7000000000000004E-2</c:v>
                </c:pt>
                <c:pt idx="8">
                  <c:v>0.13500000000000001</c:v>
                </c:pt>
                <c:pt idx="9">
                  <c:v>7.3999999999999996E-2</c:v>
                </c:pt>
                <c:pt idx="10">
                  <c:v>0.192</c:v>
                </c:pt>
                <c:pt idx="11">
                  <c:v>0.185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3D27-4DE8-B7AB-9D36066820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399024"/>
        <c:axId val="172399584"/>
      </c:lineChart>
      <c:catAx>
        <c:axId val="172399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399584"/>
        <c:crosses val="autoZero"/>
        <c:auto val="1"/>
        <c:lblAlgn val="ctr"/>
        <c:lblOffset val="100"/>
        <c:noMultiLvlLbl val="0"/>
      </c:catAx>
      <c:valAx>
        <c:axId val="17239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399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Fast</a:t>
            </a:r>
            <a:r>
              <a:rPr lang="en-US" baseline="0"/>
              <a:t> v Sample Size</a:t>
            </a:r>
            <a:endParaRPr lang="en-US"/>
          </a:p>
        </c:rich>
      </c:tx>
      <c:layout>
        <c:manualLayout>
          <c:xMode val="edge"/>
          <c:yMode val="edge"/>
          <c:x val="0.35793744531933508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Fast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150</c:v>
                </c:pt>
                <c:pt idx="7">
                  <c:v>200</c:v>
                </c:pt>
                <c:pt idx="8">
                  <c:v>250</c:v>
                </c:pt>
                <c:pt idx="9">
                  <c:v>300</c:v>
                </c:pt>
                <c:pt idx="10">
                  <c:v>350</c:v>
                </c:pt>
                <c:pt idx="11">
                  <c:v>400</c:v>
                </c:pt>
                <c:pt idx="12">
                  <c:v>1000</c:v>
                </c:pt>
                <c:pt idx="13">
                  <c:v>2000</c:v>
                </c:pt>
                <c:pt idx="14">
                  <c:v>3000</c:v>
                </c:pt>
                <c:pt idx="15">
                  <c:v>4000</c:v>
                </c:pt>
                <c:pt idx="16">
                  <c:v>5000</c:v>
                </c:pt>
                <c:pt idx="17">
                  <c:v>6000</c:v>
                </c:pt>
                <c:pt idx="18">
                  <c:v>8000</c:v>
                </c:pt>
                <c:pt idx="19">
                  <c:v>10000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3.5625000000000019E-3</c:v>
                </c:pt>
                <c:pt idx="1">
                  <c:v>7.0000000000000001E-3</c:v>
                </c:pt>
                <c:pt idx="2">
                  <c:v>1.0999999999999999E-2</c:v>
                </c:pt>
                <c:pt idx="3">
                  <c:v>1.2999999999999999E-2</c:v>
                </c:pt>
                <c:pt idx="4">
                  <c:v>2.1000000000000001E-2</c:v>
                </c:pt>
                <c:pt idx="5">
                  <c:v>4.1000000000000002E-2</c:v>
                </c:pt>
                <c:pt idx="6">
                  <c:v>4.2999999999999997E-2</c:v>
                </c:pt>
                <c:pt idx="7">
                  <c:v>6.7000000000000004E-2</c:v>
                </c:pt>
                <c:pt idx="8">
                  <c:v>0.13500000000000001</c:v>
                </c:pt>
                <c:pt idx="9">
                  <c:v>7.3999999999999996E-2</c:v>
                </c:pt>
                <c:pt idx="10">
                  <c:v>0.192</c:v>
                </c:pt>
                <c:pt idx="11">
                  <c:v>0.185</c:v>
                </c:pt>
                <c:pt idx="12">
                  <c:v>0.67100000000000004</c:v>
                </c:pt>
                <c:pt idx="13">
                  <c:v>1.8540000000000001</c:v>
                </c:pt>
                <c:pt idx="14">
                  <c:v>2.5680000000000001</c:v>
                </c:pt>
                <c:pt idx="15">
                  <c:v>4.6150000000000002</c:v>
                </c:pt>
                <c:pt idx="16">
                  <c:v>7.7460000000000004</c:v>
                </c:pt>
                <c:pt idx="17">
                  <c:v>11.9</c:v>
                </c:pt>
                <c:pt idx="18">
                  <c:v>20.71</c:v>
                </c:pt>
                <c:pt idx="19">
                  <c:v>37.037999999999997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F29-4D24-BB0C-D5D255173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2002176"/>
        <c:axId val="272001616"/>
      </c:lineChart>
      <c:catAx>
        <c:axId val="272002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layout>
            <c:manualLayout>
              <c:xMode val="edge"/>
              <c:yMode val="edge"/>
              <c:x val="0.5377066929133858"/>
              <c:y val="0.813304119593746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001616"/>
        <c:crosses val="autoZero"/>
        <c:auto val="1"/>
        <c:lblAlgn val="ctr"/>
        <c:lblOffset val="100"/>
        <c:noMultiLvlLbl val="0"/>
      </c:catAx>
      <c:valAx>
        <c:axId val="27200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002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Everett, Ryan A</dc:creator>
  <cp:keywords/>
  <dc:description/>
  <cp:lastModifiedBy>Everett, Ryan A</cp:lastModifiedBy>
  <cp:revision>4</cp:revision>
  <dcterms:created xsi:type="dcterms:W3CDTF">2017-02-20T17:55:00Z</dcterms:created>
  <dcterms:modified xsi:type="dcterms:W3CDTF">2017-02-20T20:03:00Z</dcterms:modified>
</cp:coreProperties>
</file>