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B5C"/>
          <w:sz w:val="44"/>
        </w:rPr>
        <w:t>Tempo Populate — Full System Diagnosis</w:t>
      </w:r>
    </w:p>
    <w:p>
      <w:pPr>
        <w:spacing w:after="120"/>
      </w:pPr>
      <w:r>
        <w:rPr>
          <w:b w:val="0"/>
          <w:i w:val="0"/>
          <w:color w:val="595959"/>
          <w:sz w:val="24"/>
        </w:rPr>
        <w:t>How the system actually works, what the LLM decides vs what hard-coded rules decide, and why filling a template keeps being painful.</w:t>
      </w:r>
    </w:p>
    <w:p>
      <w:pPr>
        <w:spacing w:after="120"/>
      </w:pPr>
      <w:r>
        <w:rPr>
          <w:b w:val="0"/>
          <w:i/>
          <w:color w:val="595959"/>
          <w:sz w:val="18"/>
        </w:rPr>
        <w:t>5 August 2026  ·  Diagnosis only — no code was changed  ·  Based on a full sweep of every rule and every LLM call in the parser codebase</w:t>
      </w:r>
    </w:p>
    <w:p/>
    <w:p>
      <w:pPr>
        <w:pStyle w:val="Heading1"/>
      </w:pPr>
      <w:r>
        <w:t>1. The verdict in one page</w:t>
      </w:r>
    </w:p>
    <w:p>
      <w:pPr>
        <w:spacing w:after="120"/>
      </w:pPr>
      <w:r>
        <w:rPr>
          <w:b/>
          <w:i w:val="0"/>
        </w:rPr>
        <w:t>Your instinct is correct.</w:t>
      </w:r>
      <w:r>
        <w:rPr>
          <w:b w:val="0"/>
          <w:i w:val="0"/>
        </w:rPr>
        <w:t xml:space="preserve"> The system's stated philosophy — "the LLM owns meaning, deterministic code owns facts" — is the right one, but the codebase has drifted a long way from it. In practice, meaning-level judgment has been steadily moved OUT of the LLM and INTO hand-written rules, one debugging session at a time. The numbers from the full code sweep:</w:t>
      </w:r>
    </w:p>
    <w:tbl>
      <w:tblPr>
        <w:tblStyle w:val="TableGrid"/>
        <w:tblW w:type="auto" w:w="0"/>
        <w:tblLook w:firstColumn="1" w:firstRow="1" w:lastColumn="0" w:lastRow="0" w:noHBand="0" w:noVBand="1" w:val="04A0"/>
      </w:tblPr>
      <w:tblGrid>
        <w:gridCol w:w="2880"/>
        <w:gridCol w:w="2880"/>
        <w:gridCol w:w="2880"/>
      </w:tblGrid>
      <w:tr>
        <w:tc>
          <w:tcPr>
            <w:tcW w:type="dxa" w:w="4752"/>
          </w:tcPr>
          <w:p>
            <w:r>
              <w:rPr>
                <w:b/>
                <w:sz w:val="19"/>
              </w:rPr>
              <w:t>Measure</w:t>
            </w:r>
          </w:p>
        </w:tc>
        <w:tc>
          <w:tcPr>
            <w:tcW w:type="dxa" w:w="1728"/>
          </w:tcPr>
          <w:p>
            <w:r>
              <w:rPr>
                <w:b/>
                <w:sz w:val="19"/>
              </w:rPr>
              <w:t>Count</w:t>
            </w:r>
          </w:p>
        </w:tc>
        <w:tc>
          <w:tcPr>
            <w:tcW w:type="dxa" w:w="3600"/>
          </w:tcPr>
          <w:p>
            <w:r>
              <w:rPr>
                <w:b/>
                <w:sz w:val="19"/>
              </w:rPr>
              <w:t>What it means</w:t>
            </w:r>
          </w:p>
        </w:tc>
      </w:tr>
      <w:tr>
        <w:tc>
          <w:tcPr>
            <w:tcW w:type="dxa" w:w="4752"/>
          </w:tcPr>
          <w:p>
            <w:r>
              <w:rPr>
                <w:b w:val="0"/>
                <w:sz w:val="19"/>
              </w:rPr>
              <w:t>LLM decision points in the whole pipeline</w:t>
            </w:r>
          </w:p>
        </w:tc>
        <w:tc>
          <w:tcPr>
            <w:tcW w:type="dxa" w:w="1728"/>
          </w:tcPr>
          <w:p>
            <w:r>
              <w:rPr>
                <w:b w:val="0"/>
                <w:sz w:val="19"/>
              </w:rPr>
              <w:t>9</w:t>
            </w:r>
          </w:p>
        </w:tc>
        <w:tc>
          <w:tcPr>
            <w:tcW w:type="dxa" w:w="3600"/>
          </w:tcPr>
          <w:p>
            <w:r>
              <w:rPr>
                <w:b w:val="0"/>
                <w:sz w:val="19"/>
              </w:rPr>
              <w:t>The model is only allowed to speak nine times</w:t>
            </w:r>
          </w:p>
        </w:tc>
      </w:tr>
      <w:tr>
        <w:tc>
          <w:tcPr>
            <w:tcW w:type="dxa" w:w="4752"/>
          </w:tcPr>
          <w:p>
            <w:r>
              <w:rPr>
                <w:b w:val="0"/>
                <w:sz w:val="19"/>
              </w:rPr>
              <w:t>Deterministic rules catalogued around them</w:t>
            </w:r>
          </w:p>
        </w:tc>
        <w:tc>
          <w:tcPr>
            <w:tcW w:type="dxa" w:w="1728"/>
          </w:tcPr>
          <w:p>
            <w:r>
              <w:rPr>
                <w:b w:val="0"/>
                <w:sz w:val="19"/>
              </w:rPr>
              <w:t>~380</w:t>
            </w:r>
          </w:p>
        </w:tc>
        <w:tc>
          <w:tcPr>
            <w:tcW w:type="dxa" w:w="3600"/>
          </w:tcPr>
          <w:p>
            <w:r>
              <w:rPr>
                <w:b w:val="0"/>
                <w:sz w:val="19"/>
              </w:rPr>
              <w:t>Everything else is code</w:t>
            </w:r>
          </w:p>
        </w:tc>
      </w:tr>
      <w:tr>
        <w:tc>
          <w:tcPr>
            <w:tcW w:type="dxa" w:w="4752"/>
          </w:tcPr>
          <w:p>
            <w:r>
              <w:rPr>
                <w:b w:val="0"/>
                <w:sz w:val="19"/>
              </w:rPr>
              <w:t>…of which are semantic judgments (word-lists, thresholds, regexes deciding MEANING)</w:t>
            </w:r>
          </w:p>
        </w:tc>
        <w:tc>
          <w:tcPr>
            <w:tcW w:type="dxa" w:w="1728"/>
          </w:tcPr>
          <w:p>
            <w:r>
              <w:rPr>
                <w:b w:val="0"/>
                <w:sz w:val="19"/>
              </w:rPr>
              <w:t>~140</w:t>
            </w:r>
          </w:p>
        </w:tc>
        <w:tc>
          <w:tcPr>
            <w:tcW w:type="dxa" w:w="3600"/>
          </w:tcPr>
          <w:p>
            <w:r>
              <w:rPr>
                <w:b w:val="0"/>
                <w:sz w:val="19"/>
              </w:rPr>
              <w:t>Judgments that can be wrong on any new file</w:t>
            </w:r>
          </w:p>
        </w:tc>
      </w:tr>
      <w:tr>
        <w:tc>
          <w:tcPr>
            <w:tcW w:type="dxa" w:w="4752"/>
          </w:tcPr>
          <w:p>
            <w:r>
              <w:rPr>
                <w:b w:val="0"/>
                <w:sz w:val="19"/>
              </w:rPr>
              <w:t>Places the LLM is asked a question and its answer is then overruled, gated or discarded</w:t>
            </w:r>
          </w:p>
        </w:tc>
        <w:tc>
          <w:tcPr>
            <w:tcW w:type="dxa" w:w="1728"/>
          </w:tcPr>
          <w:p>
            <w:r>
              <w:rPr>
                <w:b w:val="0"/>
                <w:sz w:val="19"/>
              </w:rPr>
              <w:t>14</w:t>
            </w:r>
          </w:p>
        </w:tc>
        <w:tc>
          <w:tcPr>
            <w:tcW w:type="dxa" w:w="3600"/>
          </w:tcPr>
          <w:p>
            <w:r>
              <w:rPr>
                <w:b w:val="0"/>
                <w:sz w:val="19"/>
              </w:rPr>
              <w:t>Two of those answers are never read by any code at all</w:t>
            </w:r>
          </w:p>
        </w:tc>
      </w:tr>
      <w:tr>
        <w:tc>
          <w:tcPr>
            <w:tcW w:type="dxa" w:w="4752"/>
          </w:tcPr>
          <w:p>
            <w:r>
              <w:rPr>
                <w:b w:val="0"/>
                <w:sz w:val="19"/>
              </w:rPr>
              <w:t>Hard gates between "LLM mapped this metric" and "value written to cell"</w:t>
            </w:r>
          </w:p>
        </w:tc>
        <w:tc>
          <w:tcPr>
            <w:tcW w:type="dxa" w:w="1728"/>
          </w:tcPr>
          <w:p>
            <w:r>
              <w:rPr>
                <w:b w:val="0"/>
                <w:sz w:val="19"/>
              </w:rPr>
              <w:t>15 (+7 sub-checks, +3 on the write path)</w:t>
            </w:r>
          </w:p>
        </w:tc>
        <w:tc>
          <w:tcPr>
            <w:tcW w:type="dxa" w:w="3600"/>
          </w:tcPr>
          <w:p>
            <w:r>
              <w:rPr>
                <w:b w:val="0"/>
                <w:sz w:val="19"/>
              </w:rPr>
              <w:t>25 places where a correct first attempt can die</w:t>
            </w:r>
          </w:p>
        </w:tc>
      </w:tr>
      <w:tr>
        <w:tc>
          <w:tcPr>
            <w:tcW w:type="dxa" w:w="4752"/>
          </w:tcPr>
          <w:p>
            <w:r>
              <w:rPr>
                <w:b w:val="0"/>
                <w:sz w:val="19"/>
              </w:rPr>
              <w:t>Failure paths that become a question you can answer</w:t>
            </w:r>
          </w:p>
        </w:tc>
        <w:tc>
          <w:tcPr>
            <w:tcW w:type="dxa" w:w="1728"/>
          </w:tcPr>
          <w:p>
            <w:r>
              <w:rPr>
                <w:b w:val="0"/>
                <w:sz w:val="19"/>
              </w:rPr>
              <w:t>11</w:t>
            </w:r>
          </w:p>
        </w:tc>
        <w:tc>
          <w:tcPr>
            <w:tcW w:type="dxa" w:w="3600"/>
          </w:tcPr>
          <w:p>
            <w:r>
              <w:rPr>
                <w:b w:val="0"/>
                <w:sz w:val="19"/>
              </w:rPr>
              <w:t>The Q&amp;A loop you designed</w:t>
            </w:r>
          </w:p>
        </w:tc>
      </w:tr>
      <w:tr>
        <w:tc>
          <w:tcPr>
            <w:tcW w:type="dxa" w:w="4752"/>
          </w:tcPr>
          <w:p>
            <w:r>
              <w:rPr>
                <w:b w:val="0"/>
                <w:sz w:val="19"/>
              </w:rPr>
              <w:t>Failure paths that die as a reason string in a JSON audit</w:t>
            </w:r>
          </w:p>
        </w:tc>
        <w:tc>
          <w:tcPr>
            <w:tcW w:type="dxa" w:w="1728"/>
          </w:tcPr>
          <w:p>
            <w:r>
              <w:rPr>
                <w:b w:val="0"/>
                <w:sz w:val="19"/>
              </w:rPr>
              <w:t>35+</w:t>
            </w:r>
          </w:p>
        </w:tc>
        <w:tc>
          <w:tcPr>
            <w:tcW w:type="dxa" w:w="3600"/>
          </w:tcPr>
          <w:p>
            <w:r>
              <w:rPr>
                <w:b w:val="0"/>
                <w:sz w:val="19"/>
              </w:rPr>
              <w:t>Dead ends — nobody is ever asked</w:t>
            </w:r>
          </w:p>
        </w:tc>
      </w:tr>
      <w:tr>
        <w:tc>
          <w:tcPr>
            <w:tcW w:type="dxa" w:w="4752"/>
          </w:tcPr>
          <w:p>
            <w:r>
              <w:rPr>
                <w:b w:val="0"/>
                <w:sz w:val="19"/>
              </w:rPr>
              <w:t>Versions of the derivation rules in 5 weeks</w:t>
            </w:r>
          </w:p>
        </w:tc>
        <w:tc>
          <w:tcPr>
            <w:tcW w:type="dxa" w:w="1728"/>
          </w:tcPr>
          <w:p>
            <w:r>
              <w:rPr>
                <w:b w:val="0"/>
                <w:sz w:val="19"/>
              </w:rPr>
              <w:t>10</w:t>
            </w:r>
          </w:p>
        </w:tc>
        <w:tc>
          <w:tcPr>
            <w:tcW w:type="dxa" w:w="3600"/>
          </w:tcPr>
          <w:p>
            <w:r>
              <w:rPr>
                <w:b w:val="0"/>
                <w:sz w:val="19"/>
              </w:rPr>
              <w:t>The rules keep being rewritten</w:t>
            </w:r>
          </w:p>
        </w:tc>
      </w:tr>
      <w:tr>
        <w:tc>
          <w:tcPr>
            <w:tcW w:type="dxa" w:w="4752"/>
          </w:tcPr>
          <w:p>
            <w:r>
              <w:rPr>
                <w:b w:val="0"/>
                <w:sz w:val="19"/>
              </w:rPr>
              <w:t>Commits touching populate since July 1</w:t>
            </w:r>
          </w:p>
        </w:tc>
        <w:tc>
          <w:tcPr>
            <w:tcW w:type="dxa" w:w="1728"/>
          </w:tcPr>
          <w:p>
            <w:r>
              <w:rPr>
                <w:b w:val="0"/>
                <w:sz w:val="19"/>
              </w:rPr>
              <w:t>21 of 35</w:t>
            </w:r>
          </w:p>
        </w:tc>
        <w:tc>
          <w:tcPr>
            <w:tcW w:type="dxa" w:w="3600"/>
          </w:tcPr>
          <w:p>
            <w:r>
              <w:rPr>
                <w:b w:val="0"/>
                <w:sz w:val="19"/>
              </w:rPr>
              <w:t>60% of all work is patching this pipeline</w:t>
            </w:r>
          </w:p>
        </w:tc>
      </w:tr>
    </w:tbl>
    <w:p>
      <w:pPr>
        <w:spacing w:after="40"/>
      </w:pPr>
    </w:p>
    <w:p>
      <w:pPr>
        <w:spacing w:after="120"/>
      </w:pPr>
      <w:r>
        <w:rPr>
          <w:b/>
          <w:i w:val="0"/>
        </w:rPr>
        <w:t>The short story:</w:t>
      </w:r>
      <w:r>
        <w:rPr>
          <w:b w:val="0"/>
          <w:i w:val="0"/>
        </w:rPr>
        <w:t xml:space="preserve"> the LLM side of the system is not failing — it is being overruled. In the KPI-dashboard failure that triggered this review, the LLM had already done everything right (it recognised ARR, Headcount and Churn in the source, and mapped them correctly). The fills died in the deterministic period-matching layer, which had no rule for "monthly source, quarterly template." That is the recurring shape of almost every painful session: </w:t>
      </w:r>
      <w:r>
        <w:rPr>
          <w:b/>
          <w:i w:val="0"/>
        </w:rPr>
        <w:t>the intelligence was present; a rule killed it; the fix was another rule.</w:t>
      </w:r>
    </w:p>
    <w:p>
      <w:pPr>
        <w:spacing w:after="120"/>
      </w:pPr>
      <w:r>
        <w:rPr>
          <w:b w:val="0"/>
          <w:i w:val="0"/>
        </w:rPr>
        <w:t>The one part of the determinism that must never be relaxed: the LLM never reads or writes actual numbers. That floor exists because the original vision-based matcher hallucinated values and guessed 1000× scales. Everything in this document is about judgment, not about numbers.</w:t>
      </w:r>
    </w:p>
    <w:p>
      <w:pPr>
        <w:pStyle w:val="Heading1"/>
      </w:pPr>
      <w:r>
        <w:t>2. How the system actually works today</w:t>
      </w:r>
    </w:p>
    <w:p>
      <w:pPr>
        <w:spacing w:after="120"/>
      </w:pPr>
      <w:r>
        <w:rPr>
          <w:b w:val="0"/>
          <w:i w:val="0"/>
        </w:rPr>
        <w:t>The pipeline has three phases. In each one, the LLM is consulted at specific narrow moments, and deterministic code runs before, between and after those moments.</w:t>
      </w:r>
    </w:p>
    <w:p>
      <w:pPr>
        <w:pStyle w:val="Heading2"/>
      </w:pPr>
      <w:r>
        <w:t>Phase A — Template onboarding (once per template)</w:t>
      </w:r>
    </w:p>
    <w:p>
      <w:pPr>
        <w:pStyle w:val="ListBullet"/>
        <w:spacing w:after="60"/>
      </w:pPr>
      <w:r>
        <w:rPr>
          <w:b/>
          <w:i w:val="0"/>
        </w:rPr>
        <w:t>Deterministic router</w:t>
      </w:r>
      <w:r>
        <w:rPr>
          <w:b w:val="0"/>
          <w:i w:val="0"/>
        </w:rPr>
        <w:t xml:space="preserve"> decides which sheets deserve full AI reading (deep), a cheap text-only pass (light), or nothing (skip) — based on cell counts, formula counts, colours, protection and cross-references. Size thresholds and colour palettes, not judgment.</w:t>
      </w:r>
    </w:p>
    <w:p>
      <w:pPr>
        <w:pStyle w:val="ListBullet"/>
        <w:spacing w:after="60"/>
      </w:pPr>
      <w:r>
        <w:rPr>
          <w:b/>
          <w:i w:val="0"/>
        </w:rPr>
        <w:t>LLM (Opus, with sheet images):</w:t>
      </w:r>
      <w:r>
        <w:rPr>
          <w:b w:val="0"/>
          <w:i w:val="0"/>
        </w:rPr>
        <w:t xml:space="preserve"> reads each deep sheet and produces the structural map — sections, metric rows, periods, sign conventions, business definitions, input fields, extensible regions.</w:t>
      </w:r>
    </w:p>
    <w:p>
      <w:pPr>
        <w:pStyle w:val="ListBullet"/>
        <w:spacing w:after="60"/>
      </w:pPr>
      <w:r>
        <w:rPr>
          <w:b/>
          <w:i w:val="0"/>
        </w:rPr>
        <w:t>LLM (Opus):</w:t>
      </w:r>
      <w:r>
        <w:rPr>
          <w:b w:val="0"/>
          <w:i w:val="0"/>
        </w:rPr>
        <w:t xml:space="preserve"> synthesises the per-sheet maps into a workbook-level understanding (purpose, input surfaces, data flows, impact chains).</w:t>
      </w:r>
    </w:p>
    <w:p>
      <w:pPr>
        <w:pStyle w:val="ListBullet"/>
        <w:spacing w:after="60"/>
      </w:pPr>
      <w:r>
        <w:rPr>
          <w:b/>
          <w:i w:val="0"/>
        </w:rPr>
        <w:t>Deterministic verifier</w:t>
      </w:r>
      <w:r>
        <w:rPr>
          <w:b w:val="0"/>
          <w:i w:val="0"/>
        </w:rPr>
        <w:t xml:space="preserve"> then checks every cross-sheet claim against the real formula graph and marks unsupported ones.</w:t>
      </w:r>
    </w:p>
    <w:p>
      <w:pPr>
        <w:pStyle w:val="ListBullet"/>
        <w:spacing w:after="60"/>
      </w:pPr>
      <w:r>
        <w:rPr>
          <w:b/>
          <w:i w:val="0"/>
        </w:rPr>
        <w:t>LLM (Sonnet, images):</w:t>
      </w:r>
      <w:r>
        <w:rPr>
          <w:b w:val="0"/>
          <w:i w:val="0"/>
        </w:rPr>
        <w:t xml:space="preserve"> separately detects extensible/editable regions; a deterministic converter then drops any slot that lacks a structural signal (colour, unlocked, validation), with a safety-net that adds regions the LLM missed via a word-list.</w:t>
      </w:r>
    </w:p>
    <w:p>
      <w:pPr>
        <w:pStyle w:val="ListBullet"/>
        <w:spacing w:after="60"/>
      </w:pPr>
      <w:r>
        <w:rPr>
          <w:b/>
          <w:i w:val="0"/>
        </w:rPr>
        <w:t>LLM (Opus):</w:t>
      </w:r>
      <w:r>
        <w:rPr>
          <w:b w:val="0"/>
          <w:i w:val="0"/>
        </w:rPr>
        <w:t xml:space="preserve"> enriches each metric with canonical name, stock-vs-flow basis, and category — but its answers are only accepted inside a narrow whitelist, applied fill-only, and several are dropped as no-ops.</w:t>
      </w:r>
    </w:p>
    <w:p>
      <w:pPr>
        <w:pStyle w:val="ListBullet"/>
        <w:spacing w:after="60"/>
      </w:pPr>
      <w:r>
        <w:rPr>
          <w:b/>
          <w:i w:val="0"/>
        </w:rPr>
        <w:t>Deterministic derivation</w:t>
      </w:r>
      <w:r>
        <w:rPr>
          <w:b w:val="0"/>
          <w:i w:val="0"/>
        </w:rPr>
        <w:t xml:space="preserve"> (currently version 10) compiles all of this into the data model: per-cell category (data / sourced / computed / config / staging / exclude), scenario, basis, period identity. This is a large ordered cascade of label lexicons, section-type rules and precedence chains.</w:t>
      </w:r>
    </w:p>
    <w:p>
      <w:pPr>
        <w:pStyle w:val="Heading2"/>
      </w:pPr>
      <w:r>
        <w:t>Phase B — Source reading (per source file, cached)</w:t>
      </w:r>
    </w:p>
    <w:p>
      <w:pPr>
        <w:pStyle w:val="ListBullet"/>
        <w:spacing w:after="60"/>
      </w:pPr>
      <w:r>
        <w:rPr>
          <w:b w:val="0"/>
          <w:i w:val="0"/>
        </w:rPr>
        <w:t xml:space="preserve">The 8 densest sheets (by numeric-cell count) are sent to the </w:t>
      </w:r>
      <w:r>
        <w:rPr>
          <w:b/>
          <w:i w:val="0"/>
        </w:rPr>
        <w:t>LLM (Sonnet, images)</w:t>
      </w:r>
      <w:r>
        <w:rPr>
          <w:b w:val="0"/>
          <w:i w:val="0"/>
        </w:rPr>
        <w:t>, which reports structure only: which columns are periods (with dates and actual/budget tags) and which rows are data series (with labels and units).</w:t>
      </w:r>
    </w:p>
    <w:p>
      <w:pPr>
        <w:pStyle w:val="ListBullet"/>
        <w:spacing w:after="60"/>
      </w:pPr>
      <w:r>
        <w:rPr>
          <w:b w:val="0"/>
          <w:i w:val="0"/>
        </w:rPr>
        <w:t>Deterministic code then reads every actual value from the parsed workbook. The LLM never sees or reports numbers.</w:t>
      </w:r>
    </w:p>
    <w:p>
      <w:pPr>
        <w:pStyle w:val="ListBullet"/>
        <w:spacing w:after="60"/>
      </w:pPr>
      <w:r>
        <w:rPr>
          <w:b w:val="0"/>
          <w:i w:val="0"/>
        </w:rPr>
        <w:t>If understanding fails, a fully deterministic fallback detector takes over (it tags every column "actual" and derives units from formats alone).</w:t>
      </w:r>
    </w:p>
    <w:p>
      <w:pPr>
        <w:pStyle w:val="Heading2"/>
      </w:pPr>
      <w:r>
        <w:t>Phase C — Populate (per run)</w:t>
      </w:r>
    </w:p>
    <w:p>
      <w:pPr>
        <w:pStyle w:val="ListBullet"/>
        <w:spacing w:after="60"/>
      </w:pPr>
      <w:r>
        <w:rPr>
          <w:b w:val="0"/>
          <w:i w:val="0"/>
        </w:rPr>
        <w:t>Deterministic demand build: which template cells are fillable, which metrics they represent, how many periods per sheet. Several classes of cells are excluded here before any AI is involved.</w:t>
      </w:r>
    </w:p>
    <w:p>
      <w:pPr>
        <w:pStyle w:val="ListBullet"/>
        <w:spacing w:after="60"/>
      </w:pPr>
      <w:r>
        <w:rPr>
          <w:b/>
          <w:i w:val="0"/>
        </w:rPr>
        <w:t>LLM (Sonnet):</w:t>
      </w:r>
      <w:r>
        <w:rPr>
          <w:b w:val="0"/>
          <w:i w:val="0"/>
        </w:rPr>
        <w:t xml:space="preserve"> maps each template metric to a source series by financial meaning, choosing a status: direct / aggregate (sum of components) / reconcile (same amount, cut differently — filled provisionally with a stated assumption) / needs_decision (ask the user) / unavailable. Also declares sign and roll-up semantics.</w:t>
      </w:r>
    </w:p>
    <w:p>
      <w:pPr>
        <w:pStyle w:val="ListBullet"/>
        <w:spacing w:after="60"/>
      </w:pPr>
      <w:r>
        <w:rPr>
          <w:b/>
          <w:i w:val="0"/>
        </w:rPr>
        <w:t>LLM (Sonnet):</w:t>
      </w:r>
      <w:r>
        <w:rPr>
          <w:b w:val="0"/>
          <w:i w:val="0"/>
        </w:rPr>
        <w:t xml:space="preserve"> "rescue" agents give each unplaced metric a second, focused attempt.</w:t>
      </w:r>
    </w:p>
    <w:p>
      <w:pPr>
        <w:pStyle w:val="ListBullet"/>
        <w:spacing w:after="60"/>
      </w:pPr>
      <w:r>
        <w:rPr>
          <w:b/>
          <w:i w:val="0"/>
        </w:rPr>
        <w:t>Deterministic binding</w:t>
      </w:r>
      <w:r>
        <w:rPr>
          <w:b w:val="0"/>
          <w:i w:val="0"/>
        </w:rPr>
        <w:t xml:space="preserve"> — the decision layer: which source column feeds each template slot (by date bucket and grain), what scale to apply (by magnitude reconciliation), which sign (template evidence first), plus all the gates in Section 5.</w:t>
      </w:r>
    </w:p>
    <w:p>
      <w:pPr>
        <w:pStyle w:val="ListBullet"/>
        <w:spacing w:after="60"/>
      </w:pPr>
      <w:r>
        <w:rPr>
          <w:b/>
          <w:i w:val="0"/>
        </w:rPr>
        <w:t>Deterministic apply/write:</w:t>
      </w:r>
      <w:r>
        <w:rPr>
          <w:b w:val="0"/>
          <w:i w:val="0"/>
        </w:rPr>
        <w:t xml:space="preserve"> reads cited cells, sums or averages them, multiplies scale and sign, writes; then the workbook is recalculated and the template's own check cells are read; failures become review items.</w:t>
      </w:r>
    </w:p>
    <w:p>
      <w:pPr>
        <w:spacing w:after="120"/>
      </w:pPr>
      <w:r>
        <w:rPr>
          <w:b/>
          <w:i w:val="0"/>
        </w:rPr>
        <w:t>Notice the shape:</w:t>
      </w:r>
      <w:r>
        <w:rPr>
          <w:b w:val="0"/>
          <w:i w:val="0"/>
        </w:rPr>
        <w:t xml:space="preserve"> the LLM speaks at five moments; everything between and after is code that can silently second-guess it. The system is a determinism sandwich, and the bread has been getting thicker with every bug fix.</w:t>
      </w:r>
    </w:p>
    <w:p>
      <w:pPr>
        <w:pStyle w:val="Heading1"/>
      </w:pPr>
      <w:r>
        <w:t>3. What the LLM decides — and what happens to its answers</w:t>
      </w:r>
    </w:p>
    <w:p>
      <w:pPr>
        <w:spacing w:after="120"/>
      </w:pPr>
      <w:r>
        <w:rPr>
          <w:b w:val="0"/>
          <w:i w:val="0"/>
        </w:rPr>
        <w:t>All nine LLM decision points, and the fate of each answer:</w:t>
      </w:r>
    </w:p>
    <w:tbl>
      <w:tblPr>
        <w:tblStyle w:val="TableGrid"/>
        <w:tblW w:type="auto" w:w="0"/>
        <w:tblLook w:firstColumn="1" w:firstRow="1" w:lastColumn="0" w:lastRow="0" w:noHBand="0" w:noVBand="1" w:val="04A0"/>
      </w:tblPr>
      <w:tblGrid>
        <w:gridCol w:w="2880"/>
        <w:gridCol w:w="2880"/>
        <w:gridCol w:w="2880"/>
      </w:tblGrid>
      <w:tr>
        <w:tc>
          <w:tcPr>
            <w:tcW w:type="dxa" w:w="576"/>
          </w:tcPr>
          <w:p>
            <w:r>
              <w:rPr>
                <w:b/>
                <w:sz w:val="19"/>
              </w:rPr>
              <w:t>#</w:t>
            </w:r>
          </w:p>
        </w:tc>
        <w:tc>
          <w:tcPr>
            <w:tcW w:type="dxa" w:w="3744"/>
          </w:tcPr>
          <w:p>
            <w:r>
              <w:rPr>
                <w:b/>
                <w:sz w:val="19"/>
              </w:rPr>
              <w:t>LLM is asked to decide</w:t>
            </w:r>
          </w:p>
        </w:tc>
        <w:tc>
          <w:tcPr>
            <w:tcW w:type="dxa" w:w="5760"/>
          </w:tcPr>
          <w:p>
            <w:r>
              <w:rPr>
                <w:b/>
                <w:sz w:val="19"/>
              </w:rPr>
              <w:t>What happens to its answer</w:t>
            </w:r>
          </w:p>
        </w:tc>
      </w:tr>
      <w:tr>
        <w:tc>
          <w:tcPr>
            <w:tcW w:type="dxa" w:w="576"/>
          </w:tcPr>
          <w:p>
            <w:r>
              <w:rPr>
                <w:b w:val="0"/>
                <w:sz w:val="19"/>
              </w:rPr>
              <w:t>1</w:t>
            </w:r>
          </w:p>
        </w:tc>
        <w:tc>
          <w:tcPr>
            <w:tcW w:type="dxa" w:w="3744"/>
          </w:tcPr>
          <w:p>
            <w:r>
              <w:rPr>
                <w:b w:val="0"/>
                <w:sz w:val="19"/>
              </w:rPr>
              <w:t>Triage: is an ambiguous sheet worth deep reading?</w:t>
            </w:r>
          </w:p>
        </w:tc>
        <w:tc>
          <w:tcPr>
            <w:tcW w:type="dxa" w:w="5760"/>
          </w:tcPr>
          <w:p>
            <w:r>
              <w:rPr>
                <w:b w:val="0"/>
                <w:sz w:val="19"/>
              </w:rPr>
              <w:t>Only a "light" verdict does anything; any failure means deep. Reasonable.</w:t>
            </w:r>
          </w:p>
        </w:tc>
      </w:tr>
      <w:tr>
        <w:tc>
          <w:tcPr>
            <w:tcW w:type="dxa" w:w="576"/>
          </w:tcPr>
          <w:p>
            <w:r>
              <w:rPr>
                <w:b w:val="0"/>
                <w:sz w:val="19"/>
              </w:rPr>
              <w:t>2</w:t>
            </w:r>
          </w:p>
        </w:tc>
        <w:tc>
          <w:tcPr>
            <w:tcW w:type="dxa" w:w="3744"/>
          </w:tcPr>
          <w:p>
            <w:r>
              <w:rPr>
                <w:b w:val="0"/>
                <w:sz w:val="19"/>
              </w:rPr>
              <w:t>Per-sheet structure map (sections, metrics, periods, sign conventions, regions)</w:t>
            </w:r>
          </w:p>
        </w:tc>
        <w:tc>
          <w:tcPr>
            <w:tcW w:type="dxa" w:w="5760"/>
          </w:tcPr>
          <w:p>
            <w:r>
              <w:rPr>
                <w:b w:val="0"/>
                <w:sz w:val="19"/>
              </w:rPr>
              <w:t>Kept, but: period granularity is overridden by date-spacing maths; scenario rectangles are ignored on row-interleaved sheets; region claims are dropped without structural colour/lock signals; cited addresses are audited but hallucinated ones survive.</w:t>
            </w:r>
          </w:p>
        </w:tc>
      </w:tr>
      <w:tr>
        <w:tc>
          <w:tcPr>
            <w:tcW w:type="dxa" w:w="576"/>
          </w:tcPr>
          <w:p>
            <w:r>
              <w:rPr>
                <w:b w:val="0"/>
                <w:sz w:val="19"/>
              </w:rPr>
              <w:t>3</w:t>
            </w:r>
          </w:p>
        </w:tc>
        <w:tc>
          <w:tcPr>
            <w:tcW w:type="dxa" w:w="3744"/>
          </w:tcPr>
          <w:p>
            <w:r>
              <w:rPr>
                <w:b w:val="0"/>
                <w:sz w:val="19"/>
              </w:rPr>
              <w:t>Workbook synthesis (purpose, flows, impact chains)</w:t>
            </w:r>
          </w:p>
        </w:tc>
        <w:tc>
          <w:tcPr>
            <w:tcW w:type="dxa" w:w="5760"/>
          </w:tcPr>
          <w:p>
            <w:r>
              <w:rPr>
                <w:b w:val="0"/>
                <w:sz w:val="19"/>
              </w:rPr>
              <w:t>Every cross-sheet claim re-verified against the formula graph — unsupported ones flagged. Good pattern: verify, don't overrule.</w:t>
            </w:r>
          </w:p>
        </w:tc>
      </w:tr>
      <w:tr>
        <w:tc>
          <w:tcPr>
            <w:tcW w:type="dxa" w:w="576"/>
          </w:tcPr>
          <w:p>
            <w:r>
              <w:rPr>
                <w:b w:val="0"/>
                <w:sz w:val="19"/>
              </w:rPr>
              <w:t>4</w:t>
            </w:r>
          </w:p>
        </w:tc>
        <w:tc>
          <w:tcPr>
            <w:tcW w:type="dxa" w:w="3744"/>
          </w:tcPr>
          <w:p>
            <w:r>
              <w:rPr>
                <w:b w:val="0"/>
                <w:sz w:val="19"/>
              </w:rPr>
              <w:t>Extensible-region detection</w:t>
            </w:r>
          </w:p>
        </w:tc>
        <w:tc>
          <w:tcPr>
            <w:tcW w:type="dxa" w:w="5760"/>
          </w:tcPr>
          <w:p>
            <w:r>
              <w:rPr>
                <w:b w:val="0"/>
                <w:sz w:val="19"/>
              </w:rPr>
              <w:t>Row-by-row deterministic vetting; a word-list safety net ADDS regions the LLM missed.</w:t>
            </w:r>
          </w:p>
        </w:tc>
      </w:tr>
      <w:tr>
        <w:tc>
          <w:tcPr>
            <w:tcW w:type="dxa" w:w="576"/>
          </w:tcPr>
          <w:p>
            <w:r>
              <w:rPr>
                <w:b w:val="0"/>
                <w:sz w:val="19"/>
              </w:rPr>
              <w:t>5</w:t>
            </w:r>
          </w:p>
        </w:tc>
        <w:tc>
          <w:tcPr>
            <w:tcW w:type="dxa" w:w="3744"/>
          </w:tcPr>
          <w:p>
            <w:r>
              <w:rPr>
                <w:b w:val="0"/>
                <w:sz w:val="19"/>
              </w:rPr>
              <w:t>Metric enrichment (canonical name, stock-vs-flow, category)</w:t>
            </w:r>
          </w:p>
        </w:tc>
        <w:tc>
          <w:tcPr>
            <w:tcW w:type="dxa" w:w="5760"/>
          </w:tcPr>
          <w:p>
            <w:r>
              <w:rPr>
                <w:b w:val="0"/>
                <w:sz w:val="19"/>
              </w:rPr>
              <w:t>Whitelisted, fill-only; "unknown" and "data" answers dropped as no-ops; out-of-enum answers dropped.</w:t>
            </w:r>
          </w:p>
        </w:tc>
      </w:tr>
      <w:tr>
        <w:tc>
          <w:tcPr>
            <w:tcW w:type="dxa" w:w="576"/>
          </w:tcPr>
          <w:p>
            <w:r>
              <w:rPr>
                <w:b w:val="0"/>
                <w:sz w:val="19"/>
              </w:rPr>
              <w:t>6</w:t>
            </w:r>
          </w:p>
        </w:tc>
        <w:tc>
          <w:tcPr>
            <w:tcW w:type="dxa" w:w="3744"/>
          </w:tcPr>
          <w:p>
            <w:r>
              <w:rPr>
                <w:b w:val="0"/>
                <w:sz w:val="19"/>
              </w:rPr>
              <w:t>Source structure (period columns, data series, units, scenario tags)</w:t>
            </w:r>
          </w:p>
        </w:tc>
        <w:tc>
          <w:tcPr>
            <w:tcW w:type="dxa" w:w="5760"/>
          </w:tcPr>
          <w:p>
            <w:r>
              <w:rPr>
                <w:b w:val="0"/>
                <w:sz w:val="19"/>
              </w:rPr>
              <w:t>Column dates it couldn't read are repaired from cell values (good). But: its sign_flip answer is NEVER read by any code; its canonical_metric is only used as a display label; scale from its unit declaration was, until yesterday, deliberately flattened to 1.</w:t>
            </w:r>
          </w:p>
        </w:tc>
      </w:tr>
      <w:tr>
        <w:tc>
          <w:tcPr>
            <w:tcW w:type="dxa" w:w="576"/>
          </w:tcPr>
          <w:p>
            <w:r>
              <w:rPr>
                <w:b w:val="0"/>
                <w:sz w:val="19"/>
              </w:rPr>
              <w:t>7</w:t>
            </w:r>
          </w:p>
        </w:tc>
        <w:tc>
          <w:tcPr>
            <w:tcW w:type="dxa" w:w="3744"/>
          </w:tcPr>
          <w:p>
            <w:r>
              <w:rPr>
                <w:b w:val="0"/>
                <w:sz w:val="19"/>
              </w:rPr>
              <w:t>Metric→series mapping (the heart of populate)</w:t>
            </w:r>
          </w:p>
        </w:tc>
        <w:tc>
          <w:tcPr>
            <w:tcW w:type="dxa" w:w="5760"/>
          </w:tcPr>
          <w:p>
            <w:r>
              <w:rPr>
                <w:b w:val="0"/>
                <w:sz w:val="19"/>
              </w:rPr>
              <w:t>Survives only if it passes the 15-gate gauntlet (Section 5). Its sign answer is overridden by template evidence; its roll-up answer is overridden by statement-type rules; its confidence must clear a 0.6 floor (except reconciles, which bypass the floor entirely — a 0.1-confidence reconcile still writes a number).</w:t>
            </w:r>
          </w:p>
        </w:tc>
      </w:tr>
      <w:tr>
        <w:tc>
          <w:tcPr>
            <w:tcW w:type="dxa" w:w="576"/>
          </w:tcPr>
          <w:p>
            <w:r>
              <w:rPr>
                <w:b w:val="0"/>
                <w:sz w:val="19"/>
              </w:rPr>
              <w:t>8</w:t>
            </w:r>
          </w:p>
        </w:tc>
        <w:tc>
          <w:tcPr>
            <w:tcW w:type="dxa" w:w="3744"/>
          </w:tcPr>
          <w:p>
            <w:r>
              <w:rPr>
                <w:b w:val="0"/>
                <w:sz w:val="19"/>
              </w:rPr>
              <w:t>Rescue mapping (one agent per unplaced metric)</w:t>
            </w:r>
          </w:p>
        </w:tc>
        <w:tc>
          <w:tcPr>
            <w:tcW w:type="dxa" w:w="5760"/>
          </w:tcPr>
          <w:p>
            <w:r>
              <w:rPr>
                <w:b w:val="0"/>
                <w:sz w:val="19"/>
              </w:rPr>
              <w:t>Same gauntlet. Its echoed metric key is discarded and replaced (sensible).</w:t>
            </w:r>
          </w:p>
        </w:tc>
      </w:tr>
      <w:tr>
        <w:tc>
          <w:tcPr>
            <w:tcW w:type="dxa" w:w="576"/>
          </w:tcPr>
          <w:p>
            <w:r>
              <w:rPr>
                <w:b w:val="0"/>
                <w:sz w:val="19"/>
              </w:rPr>
              <w:t>9</w:t>
            </w:r>
          </w:p>
        </w:tc>
        <w:tc>
          <w:tcPr>
            <w:tcW w:type="dxa" w:w="3744"/>
          </w:tcPr>
          <w:p>
            <w:r>
              <w:rPr>
                <w:b w:val="0"/>
                <w:sz w:val="19"/>
              </w:rPr>
              <w:t>Roll-up semantics (sum / period-end / average) — added yesterday</w:t>
            </w:r>
          </w:p>
        </w:tc>
        <w:tc>
          <w:tcPr>
            <w:tcW w:type="dxa" w:w="5760"/>
          </w:tcPr>
          <w:p>
            <w:r>
              <w:rPr>
                <w:b w:val="0"/>
                <w:sz w:val="19"/>
              </w:rPr>
              <w:t>Consulted ONLY if the deterministic basis rules abstain; then unit/label heuristics can substitute for it.</w:t>
            </w:r>
          </w:p>
        </w:tc>
      </w:tr>
    </w:tbl>
    <w:p>
      <w:pPr>
        <w:spacing w:after="40"/>
      </w:pPr>
    </w:p>
    <w:p>
      <w:pPr>
        <w:pStyle w:val="Heading2"/>
      </w:pPr>
      <w:r>
        <w:t>Asked, then ignored</w:t>
      </w:r>
    </w:p>
    <w:p>
      <w:pPr>
        <w:spacing w:after="120"/>
      </w:pPr>
      <w:r>
        <w:rPr>
          <w:b w:val="0"/>
          <w:i w:val="0"/>
        </w:rPr>
        <w:t xml:space="preserve">Fourteen documented cases where the model is asked something and the answer is discarded, overruled or capped. The two worst offenders: the source-understanding prompt asks for a </w:t>
      </w:r>
      <w:r>
        <w:rPr>
          <w:b/>
          <w:i w:val="0"/>
        </w:rPr>
        <w:t>sign_flip</w:t>
      </w:r>
      <w:r>
        <w:rPr>
          <w:b w:val="0"/>
          <w:i w:val="0"/>
        </w:rPr>
        <w:t xml:space="preserve"> per series that no code ever reads, and asks for a </w:t>
      </w:r>
      <w:r>
        <w:rPr>
          <w:b/>
          <w:i w:val="0"/>
        </w:rPr>
        <w:t>canonical_metric</w:t>
      </w:r>
      <w:r>
        <w:rPr>
          <w:b w:val="0"/>
          <w:i w:val="0"/>
        </w:rPr>
        <w:t xml:space="preserve"> that plays no role in matching. We are paying tokens for answers we throw away — and, more importantly, when the LLM is right and the overriding rule is wrong, there is no path for its answer to win.</w:t>
      </w:r>
    </w:p>
    <w:p>
      <w:pPr>
        <w:pStyle w:val="Heading1"/>
      </w:pPr>
      <w:r>
        <w:t>4. What the deterministic code decides</w:t>
      </w:r>
    </w:p>
    <w:p>
      <w:pPr>
        <w:spacing w:after="120"/>
      </w:pPr>
      <w:r>
        <w:rPr>
          <w:b w:val="0"/>
          <w:i w:val="0"/>
        </w:rPr>
        <w:t>The ~380 rules fall into three very different kinds. Two of them are healthy. One is the problem.</w:t>
      </w:r>
    </w:p>
    <w:p>
      <w:pPr>
        <w:pStyle w:val="Heading2"/>
      </w:pPr>
      <w:r>
        <w:t>Kind 1 — Fact readers (healthy)</w:t>
      </w:r>
    </w:p>
    <w:p>
      <w:pPr>
        <w:spacing w:after="120"/>
      </w:pPr>
      <w:r>
        <w:rPr>
          <w:b w:val="0"/>
          <w:i w:val="0"/>
        </w:rPr>
        <w:t>Code that reads objective data: cell values, cached formula results, number formats, dates, the formula dependency graph. Examples: "prefer the computed value over formula text", "parse 2026-01 into a date", "a formula's precedents are these cells". These should stay exactly as they are.</w:t>
      </w:r>
    </w:p>
    <w:p>
      <w:pPr>
        <w:pStyle w:val="Heading2"/>
      </w:pPr>
      <w:r>
        <w:t>Kind 2 — Arithmetic and safety (healthy)</w:t>
      </w:r>
    </w:p>
    <w:p>
      <w:pPr>
        <w:spacing w:after="120"/>
      </w:pPr>
      <w:r>
        <w:rPr>
          <w:b w:val="0"/>
          <w:i w:val="0"/>
        </w:rPr>
        <w:t>Code that does maths or refuses to write bad data: never write a partial quarter-sum; never scale a percentage into money; never write into the template's own total rows; never double-count one source amount into the same total; never write a formula-error string; save the file before recalculating so connector formulas aren't destroyed. These encode hard-won trust guarantees and should also stay.</w:t>
      </w:r>
    </w:p>
    <w:p>
      <w:pPr>
        <w:pStyle w:val="Heading2"/>
      </w:pPr>
      <w:r>
        <w:t>Kind 3 — Encoded judgment (~140 rules — the problem layer)</w:t>
      </w:r>
    </w:p>
    <w:p>
      <w:pPr>
        <w:spacing w:after="120"/>
      </w:pPr>
      <w:r>
        <w:rPr>
          <w:b w:val="0"/>
          <w:i w:val="0"/>
        </w:rPr>
        <w:t>Hand-written rules that make MEANING decisions. Each one was written while debugging one specific file, and each one silently applies to every future file. A sample of the most consequential:</w:t>
      </w:r>
    </w:p>
    <w:tbl>
      <w:tblPr>
        <w:tblStyle w:val="TableGrid"/>
        <w:tblW w:type="auto" w:w="0"/>
        <w:tblLook w:firstColumn="1" w:firstRow="1" w:lastColumn="0" w:lastRow="0" w:noHBand="0" w:noVBand="1" w:val="04A0"/>
      </w:tblPr>
      <w:tblGrid>
        <w:gridCol w:w="4320"/>
        <w:gridCol w:w="4320"/>
      </w:tblGrid>
      <w:tr>
        <w:tc>
          <w:tcPr>
            <w:tcW w:type="dxa" w:w="4176"/>
          </w:tcPr>
          <w:p>
            <w:r>
              <w:rPr>
                <w:b/>
                <w:sz w:val="19"/>
              </w:rPr>
              <w:t>Judgment being made by a rule</w:t>
            </w:r>
          </w:p>
        </w:tc>
        <w:tc>
          <w:tcPr>
            <w:tcW w:type="dxa" w:w="5904"/>
          </w:tcPr>
          <w:p>
            <w:r>
              <w:rPr>
                <w:b/>
                <w:sz w:val="19"/>
              </w:rPr>
              <w:t>The rule</w:t>
            </w:r>
          </w:p>
        </w:tc>
      </w:tr>
      <w:tr>
        <w:tc>
          <w:tcPr>
            <w:tcW w:type="dxa" w:w="4176"/>
          </w:tcPr>
          <w:p>
            <w:r>
              <w:rPr>
                <w:b w:val="0"/>
                <w:sz w:val="19"/>
              </w:rPr>
              <w:t>What currencies exist in the world</w:t>
            </w:r>
          </w:p>
        </w:tc>
        <w:tc>
          <w:tcPr>
            <w:tcW w:type="dxa" w:w="5904"/>
          </w:tcPr>
          <w:p>
            <w:r>
              <w:rPr>
                <w:b w:val="0"/>
                <w:sz w:val="19"/>
              </w:rPr>
              <w:t>A 3-entry word list: USD, EUR, GBP. A CHF or SEK file has no currency.</w:t>
            </w:r>
          </w:p>
        </w:tc>
      </w:tr>
      <w:tr>
        <w:tc>
          <w:tcPr>
            <w:tcW w:type="dxa" w:w="4176"/>
          </w:tcPr>
          <w:p>
            <w:r>
              <w:rPr>
                <w:b w:val="0"/>
                <w:sz w:val="19"/>
              </w:rPr>
              <w:t>Whether a row is a headcount (never rescaled)</w:t>
            </w:r>
          </w:p>
        </w:tc>
        <w:tc>
          <w:tcPr>
            <w:tcW w:type="dxa" w:w="5904"/>
          </w:tcPr>
          <w:p>
            <w:r>
              <w:rPr>
                <w:b w:val="0"/>
                <w:sz w:val="19"/>
              </w:rPr>
              <w:t>Regex: headcount / fte / employees / staff — unless the label also says cost / salary / per.</w:t>
            </w:r>
          </w:p>
        </w:tc>
      </w:tr>
      <w:tr>
        <w:tc>
          <w:tcPr>
            <w:tcW w:type="dxa" w:w="4176"/>
          </w:tcPr>
          <w:p>
            <w:r>
              <w:rPr>
                <w:b w:val="0"/>
                <w:sz w:val="19"/>
              </w:rPr>
              <w:t>A row's sign convention</w:t>
            </w:r>
          </w:p>
        </w:tc>
        <w:tc>
          <w:tcPr>
            <w:tcW w:type="dxa" w:w="5904"/>
          </w:tcPr>
          <w:p>
            <w:r>
              <w:rPr>
                <w:b w:val="0"/>
                <w:sz w:val="19"/>
              </w:rPr>
              <w:t>If 70% of its existing values share a sign, that is the convention.</w:t>
            </w:r>
          </w:p>
        </w:tc>
      </w:tr>
      <w:tr>
        <w:tc>
          <w:tcPr>
            <w:tcW w:type="dxa" w:w="4176"/>
          </w:tcPr>
          <w:p>
            <w:r>
              <w:rPr>
                <w:b w:val="0"/>
                <w:sz w:val="19"/>
              </w:rPr>
              <w:t>What the template author meant by a sign-convention note</w:t>
            </w:r>
          </w:p>
        </w:tc>
        <w:tc>
          <w:tcPr>
            <w:tcW w:type="dxa" w:w="5904"/>
          </w:tcPr>
          <w:p>
            <w:r>
              <w:rPr>
                <w:b w:val="0"/>
                <w:sz w:val="19"/>
              </w:rPr>
              <w:t>"Leading word wins": prose starting with 'negative' means negative; later clauses ignored.</w:t>
            </w:r>
          </w:p>
        </w:tc>
      </w:tr>
      <w:tr>
        <w:tc>
          <w:tcPr>
            <w:tcW w:type="dxa" w:w="4176"/>
          </w:tcPr>
          <w:p>
            <w:r>
              <w:rPr>
                <w:b w:val="0"/>
                <w:sz w:val="19"/>
              </w:rPr>
              <w:t>Whether a mapping is trustworthy</w:t>
            </w:r>
          </w:p>
        </w:tc>
        <w:tc>
          <w:tcPr>
            <w:tcW w:type="dxa" w:w="5904"/>
          </w:tcPr>
          <w:p>
            <w:r>
              <w:rPr>
                <w:b w:val="0"/>
                <w:sz w:val="19"/>
              </w:rPr>
              <w:t>A fixed 0.6 confidence floor — but reconciles bypass it at any confidence.</w:t>
            </w:r>
          </w:p>
        </w:tc>
      </w:tr>
      <w:tr>
        <w:tc>
          <w:tcPr>
            <w:tcW w:type="dxa" w:w="4176"/>
          </w:tcPr>
          <w:p>
            <w:r>
              <w:rPr>
                <w:b w:val="0"/>
                <w:sz w:val="19"/>
              </w:rPr>
              <w:t>What an input cell looks like</w:t>
            </w:r>
          </w:p>
        </w:tc>
        <w:tc>
          <w:tcPr>
            <w:tcW w:type="dxa" w:w="5904"/>
          </w:tcPr>
          <w:p>
            <w:r>
              <w:rPr>
                <w:b w:val="0"/>
                <w:sz w:val="19"/>
              </w:rPr>
              <w:t>A curated palette of 11 hex colour codes. Any other colour convention is invisible.</w:t>
            </w:r>
          </w:p>
        </w:tc>
      </w:tr>
      <w:tr>
        <w:tc>
          <w:tcPr>
            <w:tcW w:type="dxa" w:w="4176"/>
          </w:tcPr>
          <w:p>
            <w:r>
              <w:rPr>
                <w:b w:val="0"/>
                <w:sz w:val="19"/>
              </w:rPr>
              <w:t>Stock vs flow (drives quarterly roll-up)</w:t>
            </w:r>
          </w:p>
        </w:tc>
        <w:tc>
          <w:tcPr>
            <w:tcW w:type="dxa" w:w="5904"/>
          </w:tcPr>
          <w:p>
            <w:r>
              <w:rPr>
                <w:b w:val="0"/>
                <w:sz w:val="19"/>
              </w:rPr>
              <w:t>The section type it sits in: balance sheet → stock; P&amp;L → flow; anything else → unknown.</w:t>
            </w:r>
          </w:p>
        </w:tc>
      </w:tr>
      <w:tr>
        <w:tc>
          <w:tcPr>
            <w:tcW w:type="dxa" w:w="4176"/>
          </w:tcPr>
          <w:p>
            <w:r>
              <w:rPr>
                <w:b w:val="0"/>
                <w:sz w:val="19"/>
              </w:rPr>
              <w:t>What counts as a quarter</w:t>
            </w:r>
          </w:p>
        </w:tc>
        <w:tc>
          <w:tcPr>
            <w:tcW w:type="dxa" w:w="5904"/>
          </w:tcPr>
          <w:p>
            <w:r>
              <w:rPr>
                <w:b w:val="0"/>
                <w:sz w:val="19"/>
              </w:rPr>
              <w:t>Exactly 3 month columns; 12 for a year. (Correct as safety, but no path to ask the user when it refuses.)</w:t>
            </w:r>
          </w:p>
        </w:tc>
      </w:tr>
      <w:tr>
        <w:tc>
          <w:tcPr>
            <w:tcW w:type="dxa" w:w="4176"/>
          </w:tcPr>
          <w:p>
            <w:r>
              <w:rPr>
                <w:b w:val="0"/>
                <w:sz w:val="19"/>
              </w:rPr>
              <w:t>Whether a block is an EBITDA-adjustment list</w:t>
            </w:r>
          </w:p>
        </w:tc>
        <w:tc>
          <w:tcPr>
            <w:tcW w:type="dxa" w:w="5904"/>
          </w:tcPr>
          <w:p>
            <w:r>
              <w:rPr>
                <w:b w:val="0"/>
                <w:sz w:val="19"/>
              </w:rPr>
              <w:t>An 18-term word list (add-back, one-off, exceptional, restructur…).</w:t>
            </w:r>
          </w:p>
        </w:tc>
      </w:tr>
      <w:tr>
        <w:tc>
          <w:tcPr>
            <w:tcW w:type="dxa" w:w="4176"/>
          </w:tcPr>
          <w:p>
            <w:r>
              <w:rPr>
                <w:b w:val="0"/>
                <w:sz w:val="19"/>
              </w:rPr>
              <w:t>Which row is the sheet's timeline</w:t>
            </w:r>
          </w:p>
        </w:tc>
        <w:tc>
          <w:tcPr>
            <w:tcW w:type="dxa" w:w="5904"/>
          </w:tcPr>
          <w:p>
            <w:r>
              <w:rPr>
                <w:b w:val="0"/>
                <w:sz w:val="19"/>
              </w:rPr>
              <w:t>The monotonically-increasing date row with ≥3 dates.</w:t>
            </w:r>
          </w:p>
        </w:tc>
      </w:tr>
      <w:tr>
        <w:tc>
          <w:tcPr>
            <w:tcW w:type="dxa" w:w="4176"/>
          </w:tcPr>
          <w:p>
            <w:r>
              <w:rPr>
                <w:b w:val="0"/>
                <w:sz w:val="19"/>
              </w:rPr>
              <w:t>Which source sheets are worth reading</w:t>
            </w:r>
          </w:p>
        </w:tc>
        <w:tc>
          <w:tcPr>
            <w:tcW w:type="dxa" w:w="5904"/>
          </w:tcPr>
          <w:p>
            <w:r>
              <w:rPr>
                <w:b w:val="0"/>
                <w:sz w:val="19"/>
              </w:rPr>
              <w:t>The 8 densest by numeric-cell count; a sparse but critical sheet is silently dropped.</w:t>
            </w:r>
          </w:p>
        </w:tc>
      </w:tr>
      <w:tr>
        <w:tc>
          <w:tcPr>
            <w:tcW w:type="dxa" w:w="4176"/>
          </w:tcPr>
          <w:p>
            <w:r>
              <w:rPr>
                <w:b w:val="0"/>
                <w:sz w:val="19"/>
              </w:rPr>
              <w:t>What a date is</w:t>
            </w:r>
          </w:p>
        </w:tc>
        <w:tc>
          <w:tcPr>
            <w:tcW w:type="dxa" w:w="5904"/>
          </w:tcPr>
          <w:p>
            <w:r>
              <w:rPr>
                <w:b w:val="0"/>
                <w:sz w:val="19"/>
              </w:rPr>
              <w:t>Regex banks for Jan-25 / Q1-26 / FY25 / serials in a magic window (29000–60000) — duplicated in three different files, each with slightly different behaviour.</w:t>
            </w:r>
          </w:p>
        </w:tc>
      </w:tr>
      <w:tr>
        <w:tc>
          <w:tcPr>
            <w:tcW w:type="dxa" w:w="4176"/>
          </w:tcPr>
          <w:p>
            <w:r>
              <w:rPr>
                <w:b w:val="0"/>
                <w:sz w:val="19"/>
              </w:rPr>
              <w:t>What a placeholder label looks like</w:t>
            </w:r>
          </w:p>
        </w:tc>
        <w:tc>
          <w:tcPr>
            <w:tcW w:type="dxa" w:w="5904"/>
          </w:tcPr>
          <w:p>
            <w:r>
              <w:rPr>
                <w:b w:val="0"/>
                <w:sz w:val="19"/>
              </w:rPr>
              <w:t>Two separate regex banks ('Custom KPI #3', 'TBD', trailing …) in two different modules.</w:t>
            </w:r>
          </w:p>
        </w:tc>
      </w:tr>
      <w:tr>
        <w:tc>
          <w:tcPr>
            <w:tcW w:type="dxa" w:w="4176"/>
          </w:tcPr>
          <w:p>
            <w:r>
              <w:rPr>
                <w:b w:val="0"/>
                <w:sz w:val="19"/>
              </w:rPr>
              <w:t>Whether a cell is 'empty' and needs a value</w:t>
            </w:r>
          </w:p>
        </w:tc>
        <w:tc>
          <w:tcPr>
            <w:tcW w:type="dxa" w:w="5904"/>
          </w:tcPr>
          <w:p>
            <w:r>
              <w:rPr>
                <w:b w:val="0"/>
                <w:sz w:val="19"/>
              </w:rPr>
              <w:t>One rule in the prompt (a literal 0 is NOT empty) and a CONTRADICTORY rule in the derivation code (0 counts as needing a value).</w:t>
            </w:r>
          </w:p>
        </w:tc>
      </w:tr>
    </w:tbl>
    <w:p>
      <w:pPr>
        <w:spacing w:after="40"/>
      </w:pPr>
    </w:p>
    <w:p>
      <w:pPr>
        <w:spacing w:after="120"/>
      </w:pPr>
      <w:r>
        <w:rPr>
          <w:b w:val="0"/>
          <w:i w:val="0"/>
        </w:rPr>
        <w:t>Every row in this table is a place where a new file with a slightly different convention will fail — and where the fix, historically, has been to widen the rule rather than ask the model or the user.</w:t>
      </w:r>
    </w:p>
    <w:p>
      <w:pPr>
        <w:pStyle w:val="Heading1"/>
      </w:pPr>
      <w:r>
        <w:t>5. The gauntlet: how a correct first attempt dies</w:t>
      </w:r>
    </w:p>
    <w:p>
      <w:pPr>
        <w:spacing w:after="120"/>
      </w:pPr>
      <w:r>
        <w:rPr>
          <w:b w:val="0"/>
          <w:i w:val="0"/>
        </w:rPr>
        <w:t>After the LLM maps a metric correctly, the value must still survive every one of these gates. Any single gate can turn the fill into a blank:</w:t>
      </w:r>
    </w:p>
    <w:tbl>
      <w:tblPr>
        <w:tblStyle w:val="TableGrid"/>
        <w:tblW w:type="auto" w:w="0"/>
        <w:tblLook w:firstColumn="1" w:firstRow="1" w:lastColumn="0" w:lastRow="0" w:noHBand="0" w:noVBand="1" w:val="04A0"/>
      </w:tblPr>
      <w:tblGrid>
        <w:gridCol w:w="4320"/>
        <w:gridCol w:w="4320"/>
      </w:tblGrid>
      <w:tr>
        <w:tc>
          <w:tcPr>
            <w:tcW w:type="dxa" w:w="2880"/>
          </w:tcPr>
          <w:p>
            <w:r>
              <w:rPr>
                <w:b/>
                <w:sz w:val="19"/>
              </w:rPr>
              <w:t>Stage</w:t>
            </w:r>
          </w:p>
        </w:tc>
        <w:tc>
          <w:tcPr>
            <w:tcW w:type="dxa" w:w="7200"/>
          </w:tcPr>
          <w:p>
            <w:r>
              <w:rPr>
                <w:b/>
                <w:sz w:val="19"/>
              </w:rPr>
              <w:t>Gates</w:t>
            </w:r>
          </w:p>
        </w:tc>
      </w:tr>
      <w:tr>
        <w:tc>
          <w:tcPr>
            <w:tcW w:type="dxa" w:w="2880"/>
          </w:tcPr>
          <w:p>
            <w:r>
              <w:rPr>
                <w:b w:val="0"/>
                <w:sz w:val="19"/>
              </w:rPr>
              <w:t>Before mapping (the metric may never be seen)</w:t>
            </w:r>
          </w:p>
        </w:tc>
        <w:tc>
          <w:tcPr>
            <w:tcW w:type="dxa" w:w="7200"/>
          </w:tcPr>
          <w:p>
            <w:r>
              <w:rPr>
                <w:b w:val="0"/>
                <w:sz w:val="19"/>
              </w:rPr>
              <w:t>category not data/sourced · total/subtotal/header rows excluded · positional 'row 25' labels stripped from demand · role-gated 'staging' cells excluded</w:t>
            </w:r>
          </w:p>
        </w:tc>
      </w:tr>
      <w:tr>
        <w:tc>
          <w:tcPr>
            <w:tcW w:type="dxa" w:w="2880"/>
          </w:tcPr>
          <w:p>
            <w:r>
              <w:rPr>
                <w:b w:val="0"/>
                <w:sz w:val="19"/>
              </w:rPr>
              <w:t>Binding</w:t>
            </w:r>
          </w:p>
        </w:tc>
        <w:tc>
          <w:tcPr>
            <w:tcW w:type="dxa" w:w="7200"/>
          </w:tcPr>
          <w:p>
            <w:r>
              <w:rPr>
                <w:b w:val="0"/>
                <w:sz w:val="19"/>
              </w:rPr>
              <w:t>value-role guard · no mapping · double-count guard · 0.6 confidence floor · hallucinated series id · scenario gate · period alignment (7 sub-checks: grain match, date bucket, roll-up semantics known, bucket complete, quarter-end month exists, positional range…) · avg-over-aggregate refusal · scale unresolved</w:t>
            </w:r>
          </w:p>
        </w:tc>
      </w:tr>
      <w:tr>
        <w:tc>
          <w:tcPr>
            <w:tcW w:type="dxa" w:w="2880"/>
          </w:tcPr>
          <w:p>
            <w:r>
              <w:rPr>
                <w:b w:val="0"/>
                <w:sz w:val="19"/>
              </w:rPr>
              <w:t>Apply</w:t>
            </w:r>
          </w:p>
        </w:tc>
        <w:tc>
          <w:tcPr>
            <w:tcW w:type="dxa" w:w="7200"/>
          </w:tcPr>
          <w:p>
            <w:r>
              <w:rPr>
                <w:b w:val="0"/>
                <w:sz w:val="19"/>
              </w:rPr>
              <w:t>unknown template cell · duplicate link (silent) · empty source cell · formula/error string · incomplete aggregation · residual no-match sweep</w:t>
            </w:r>
          </w:p>
        </w:tc>
      </w:tr>
      <w:tr>
        <w:tc>
          <w:tcPr>
            <w:tcW w:type="dxa" w:w="2880"/>
          </w:tcPr>
          <w:p>
            <w:r>
              <w:rPr>
                <w:b w:val="0"/>
                <w:sz w:val="19"/>
              </w:rPr>
              <w:t>Write</w:t>
            </w:r>
          </w:p>
        </w:tc>
        <w:tc>
          <w:tcPr>
            <w:tcW w:type="dxa" w:w="7200"/>
          </w:tcPr>
          <w:p>
            <w:r>
              <w:rPr>
                <w:b w:val="0"/>
                <w:sz w:val="19"/>
              </w:rPr>
              <w:t>sheet missing from workbook (SILENT — the value vanishes with no record) · render failure</w:t>
            </w:r>
          </w:p>
        </w:tc>
      </w:tr>
    </w:tbl>
    <w:p>
      <w:pPr>
        <w:spacing w:after="40"/>
      </w:pPr>
    </w:p>
    <w:p>
      <w:pPr>
        <w:spacing w:after="120"/>
      </w:pPr>
      <w:r>
        <w:rPr>
          <w:b/>
          <w:i w:val="0"/>
        </w:rPr>
        <w:t>Each gate is individually defensible. The problem is the architecture of the whole:</w:t>
      </w:r>
      <w:r>
        <w:rPr>
          <w:b w:val="0"/>
          <w:i w:val="0"/>
        </w:rPr>
        <w:t xml:space="preserve"> the gates are serial, most refusals are terminal, and only a minority produce a question. A first attempt that is 95% right at each of 15 gates has roughly a 46% chance of surviving all of them.</w:t>
      </w:r>
    </w:p>
    <w:p>
      <w:pPr>
        <w:pStyle w:val="Heading2"/>
      </w:pPr>
      <w:r>
        <w:t>Case study: the KPI dashboard (yesterday and today)</w:t>
      </w:r>
    </w:p>
    <w:p>
      <w:pPr>
        <w:pStyle w:val="ListBullet"/>
        <w:spacing w:after="60"/>
      </w:pPr>
      <w:r>
        <w:rPr>
          <w:b w:val="0"/>
          <w:i w:val="0"/>
        </w:rPr>
        <w:t>The source understanding correctly identified monthly ARR, Headcount and Churn. ✓ (LLM)</w:t>
      </w:r>
    </w:p>
    <w:p>
      <w:pPr>
        <w:pStyle w:val="ListBullet"/>
        <w:spacing w:after="60"/>
      </w:pPr>
      <w:r>
        <w:rPr>
          <w:b w:val="0"/>
          <w:i w:val="0"/>
        </w:rPr>
        <w:t>The mapper correctly mapped all three metrics. ✓ (LLM)</w:t>
      </w:r>
    </w:p>
    <w:p>
      <w:pPr>
        <w:pStyle w:val="ListBullet"/>
        <w:spacing w:after="60"/>
      </w:pPr>
      <w:r>
        <w:rPr>
          <w:b w:val="0"/>
          <w:i w:val="0"/>
        </w:rPr>
        <w:t>The period matcher demanded a QUARTERLY source column, found only monthly ones, and blanked all 12 cells. ✗ (rule)</w:t>
      </w:r>
    </w:p>
    <w:p>
      <w:pPr>
        <w:pStyle w:val="ListBullet"/>
        <w:spacing w:after="60"/>
      </w:pPr>
      <w:r>
        <w:rPr>
          <w:b w:val="0"/>
          <w:i w:val="0"/>
        </w:rPr>
        <w:t>The refusal produced the string "no source column for period_index (monthly)" in a JSON audit. No question was asked. ✗ (dead end)</w:t>
      </w:r>
    </w:p>
    <w:p>
      <w:pPr>
        <w:pStyle w:val="ListBullet"/>
        <w:spacing w:after="60"/>
      </w:pPr>
      <w:r>
        <w:rPr>
          <w:b w:val="0"/>
          <w:i w:val="0"/>
        </w:rPr>
        <w:t>Root-causing it took two sessions, partly because the audit trail pointed at the wrong template and the reason strings don't explain themselves.</w:t>
      </w:r>
    </w:p>
    <w:p>
      <w:pPr>
        <w:pStyle w:val="ListBullet"/>
        <w:spacing w:after="60"/>
      </w:pPr>
      <w:r>
        <w:rPr>
          <w:b w:val="0"/>
          <w:i w:val="0"/>
        </w:rPr>
        <w:t>The fix added: a roll-up capability (good — a real missing feature), an LLM seam for roll-up semantics (good), AND two more heuristics (percent→average, headcount→period-end) plus a month-name regex — i.e. even the fix that proved your point added more Kind-3 rules.</w:t>
      </w:r>
    </w:p>
    <w:p>
      <w:pPr>
        <w:pStyle w:val="Heading1"/>
      </w:pPr>
      <w:r>
        <w:t>6. Diagnosis: five root causes of the pain</w:t>
      </w:r>
    </w:p>
    <w:p>
      <w:pPr>
        <w:pStyle w:val="Heading2"/>
      </w:pPr>
      <w:r>
        <w:t>Root cause 1 — The LLM is kept on a leash it doesn't need</w:t>
      </w:r>
    </w:p>
    <w:p>
      <w:pPr>
        <w:spacing w:after="120"/>
      </w:pPr>
      <w:r>
        <w:rPr>
          <w:b w:val="0"/>
          <w:i w:val="0"/>
        </w:rPr>
        <w:t>The model is consulted nine times but overruled at fourteen points, and roughly 140 meaning-level judgments never reach it at all. When the overriding rule is right, nothing is gained (the model was probably right too); when the rule is wrong, the system fails in a way no amount of model intelligence can fix. The failures that have consumed whole debugging sessions — dateless balance sheets, FTE values scaled to 0.0005, empty KPI dashboards, thousands-scale values written 1000× too small — were ALL rule-layer failures, not model failures.</w:t>
      </w:r>
    </w:p>
    <w:p>
      <w:pPr>
        <w:pStyle w:val="Heading2"/>
      </w:pPr>
      <w:r>
        <w:t>Root cause 2 — Refusals are dead ends, not questions</w:t>
      </w:r>
    </w:p>
    <w:p>
      <w:pPr>
        <w:spacing w:after="120"/>
      </w:pPr>
      <w:r>
        <w:rPr>
          <w:b w:val="0"/>
          <w:i w:val="0"/>
        </w:rPr>
        <w:t xml:space="preserve">The Q&amp;A machinery you envisioned exists and is well built (durable review items, one-tap answers, answers feeding back as authoritative context on the next run). But it is only wired to a narrow slice: mapping ambiguity, sign violations, template check failures, region additions. The place where most fills actually die — the binder and its gates — files </w:t>
      </w:r>
      <w:r>
        <w:rPr>
          <w:b/>
          <w:i w:val="0"/>
        </w:rPr>
        <w:t>zero</w:t>
      </w:r>
      <w:r>
        <w:rPr>
          <w:b w:val="0"/>
          <w:i w:val="0"/>
        </w:rPr>
        <w:t xml:space="preserve"> questions. More than 35 failure paths end as strings like "unit/scale unresolved" in a JSON blob. Worse, some failures are fully silent: a duplicate link is dropped without a trace, cross-sheet aggregate components are quietly removed from sums, and a template sheet missing from the workbook makes the value disappear with no record anywhere. And when filing a review item itself fails, that failure is only logged — the question is lost.</w:t>
      </w:r>
    </w:p>
    <w:p>
      <w:pPr>
        <w:pStyle w:val="Heading2"/>
      </w:pPr>
      <w:r>
        <w:t>Root cause 3 — Rules are written from a sample size of one</w:t>
      </w:r>
    </w:p>
    <w:p>
      <w:pPr>
        <w:spacing w:after="120"/>
      </w:pPr>
      <w:r>
        <w:rPr>
          <w:b w:val="0"/>
          <w:i w:val="0"/>
        </w:rPr>
        <w:t>Every rule in Section 4 was born inside a debugging session on one file, then applied to all files forever. The history makes the treadmill visible:</w:t>
      </w:r>
    </w:p>
    <w:tbl>
      <w:tblPr>
        <w:tblStyle w:val="TableGrid"/>
        <w:tblW w:type="auto" w:w="0"/>
        <w:tblLook w:firstColumn="1" w:firstRow="1" w:lastColumn="0" w:lastRow="0" w:noHBand="0" w:noVBand="1" w:val="04A0"/>
      </w:tblPr>
      <w:tblGrid>
        <w:gridCol w:w="2880"/>
        <w:gridCol w:w="2880"/>
        <w:gridCol w:w="2880"/>
      </w:tblGrid>
      <w:tr>
        <w:tc>
          <w:tcPr>
            <w:tcW w:type="dxa" w:w="1296"/>
          </w:tcPr>
          <w:p>
            <w:r>
              <w:rPr>
                <w:b/>
                <w:sz w:val="19"/>
              </w:rPr>
              <w:t>Session</w:t>
            </w:r>
          </w:p>
        </w:tc>
        <w:tc>
          <w:tcPr>
            <w:tcW w:type="dxa" w:w="3744"/>
          </w:tcPr>
          <w:p>
            <w:r>
              <w:rPr>
                <w:b/>
                <w:sz w:val="19"/>
              </w:rPr>
              <w:t>What broke</w:t>
            </w:r>
          </w:p>
        </w:tc>
        <w:tc>
          <w:tcPr>
            <w:tcW w:type="dxa" w:w="5040"/>
          </w:tcPr>
          <w:p>
            <w:r>
              <w:rPr>
                <w:b/>
                <w:sz w:val="19"/>
              </w:rPr>
              <w:t>Rules added</w:t>
            </w:r>
          </w:p>
        </w:tc>
      </w:tr>
      <w:tr>
        <w:tc>
          <w:tcPr>
            <w:tcW w:type="dxa" w:w="1296"/>
          </w:tcPr>
          <w:p>
            <w:r>
              <w:rPr>
                <w:b w:val="0"/>
                <w:sz w:val="19"/>
              </w:rPr>
              <w:t>mid-June</w:t>
            </w:r>
          </w:p>
        </w:tc>
        <w:tc>
          <w:tcPr>
            <w:tcW w:type="dxa" w:w="3744"/>
          </w:tcPr>
          <w:p>
            <w:r>
              <w:rPr>
                <w:b w:val="0"/>
                <w:sz w:val="19"/>
              </w:rPr>
              <w:t>0 fills (formula cells read as text)</w:t>
            </w:r>
          </w:p>
        </w:tc>
        <w:tc>
          <w:tcPr>
            <w:tcW w:type="dxa" w:w="5040"/>
          </w:tcPr>
          <w:p>
            <w:r>
              <w:rPr>
                <w:b w:val="0"/>
                <w:sz w:val="19"/>
              </w:rPr>
              <w:t>cached-value reading; date-bucket alignment; serial windows</w:t>
            </w:r>
          </w:p>
        </w:tc>
      </w:tr>
      <w:tr>
        <w:tc>
          <w:tcPr>
            <w:tcW w:type="dxa" w:w="1296"/>
          </w:tcPr>
          <w:p>
            <w:r>
              <w:rPr>
                <w:b w:val="0"/>
                <w:sz w:val="19"/>
              </w:rPr>
              <w:t>Jul 8</w:t>
            </w:r>
          </w:p>
        </w:tc>
        <w:tc>
          <w:tcPr>
            <w:tcW w:type="dxa" w:w="3744"/>
          </w:tcPr>
          <w:p>
            <w:r>
              <w:rPr>
                <w:b w:val="0"/>
                <w:sz w:val="19"/>
              </w:rPr>
              <w:t>money rows read as %; wrong current period</w:t>
            </w:r>
          </w:p>
        </w:tc>
        <w:tc>
          <w:tcPr>
            <w:tcW w:type="dxa" w:w="5040"/>
          </w:tcPr>
          <w:p>
            <w:r>
              <w:rPr>
                <w:b w:val="0"/>
                <w:sz w:val="19"/>
              </w:rPr>
              <w:t>bare-% format rule; explicit-dates-only; timeline heuristics</w:t>
            </w:r>
          </w:p>
        </w:tc>
      </w:tr>
      <w:tr>
        <w:tc>
          <w:tcPr>
            <w:tcW w:type="dxa" w:w="1296"/>
          </w:tcPr>
          <w:p>
            <w:r>
              <w:rPr>
                <w:b w:val="0"/>
                <w:sz w:val="19"/>
              </w:rPr>
              <w:t>Jul 9</w:t>
            </w:r>
          </w:p>
        </w:tc>
        <w:tc>
          <w:tcPr>
            <w:tcW w:type="dxa" w:w="3744"/>
          </w:tcPr>
          <w:p>
            <w:r>
              <w:rPr>
                <w:b w:val="0"/>
                <w:sz w:val="19"/>
              </w:rPr>
              <w:t>budget columns dropped; splits misfilled</w:t>
            </w:r>
          </w:p>
        </w:tc>
        <w:tc>
          <w:tcPr>
            <w:tcW w:type="dxa" w:w="5040"/>
          </w:tcPr>
          <w:p>
            <w:r>
              <w:rPr>
                <w:b w:val="0"/>
                <w:sz w:val="19"/>
              </w:rPr>
              <w:t>scenario decoupling; variant-row attachment; 5-status mapping taxonomy</w:t>
            </w:r>
          </w:p>
        </w:tc>
      </w:tr>
      <w:tr>
        <w:tc>
          <w:tcPr>
            <w:tcW w:type="dxa" w:w="1296"/>
          </w:tcPr>
          <w:p>
            <w:r>
              <w:rPr>
                <w:b w:val="0"/>
                <w:sz w:val="19"/>
              </w:rPr>
              <w:t>Jul 10</w:t>
            </w:r>
          </w:p>
        </w:tc>
        <w:tc>
          <w:tcPr>
            <w:tcW w:type="dxa" w:w="3744"/>
          </w:tcPr>
          <w:p>
            <w:r>
              <w:rPr>
                <w:b w:val="0"/>
                <w:sz w:val="19"/>
              </w:rPr>
              <w:t>totals overwritten; wrong sheets written</w:t>
            </w:r>
          </w:p>
        </w:tc>
        <w:tc>
          <w:tcPr>
            <w:tcW w:type="dxa" w:w="5040"/>
          </w:tcPr>
          <w:p>
            <w:r>
              <w:rPr>
                <w:b w:val="0"/>
                <w:sz w:val="19"/>
              </w:rPr>
              <w:t>write gates; staging category; value-role guards; slot vetting</w:t>
            </w:r>
          </w:p>
        </w:tc>
      </w:tr>
      <w:tr>
        <w:tc>
          <w:tcPr>
            <w:tcW w:type="dxa" w:w="1296"/>
          </w:tcPr>
          <w:p>
            <w:r>
              <w:rPr>
                <w:b w:val="0"/>
                <w:sz w:val="19"/>
              </w:rPr>
              <w:t>Jul 13</w:t>
            </w:r>
          </w:p>
        </w:tc>
        <w:tc>
          <w:tcPr>
            <w:tcW w:type="dxa" w:w="3744"/>
          </w:tcPr>
          <w:p>
            <w:r>
              <w:rPr>
                <w:b w:val="0"/>
                <w:sz w:val="19"/>
              </w:rPr>
              <w:t>connector cells invisible (9 of 857 found)</w:t>
            </w:r>
          </w:p>
        </w:tc>
        <w:tc>
          <w:tcPr>
            <w:tcW w:type="dxa" w:w="5040"/>
          </w:tcPr>
          <w:p>
            <w:r>
              <w:rPr>
                <w:b w:val="0"/>
                <w:sz w:val="19"/>
              </w:rPr>
              <w:t>CX-formula self-description parsing; junk-label lexicons</w:t>
            </w:r>
          </w:p>
        </w:tc>
      </w:tr>
      <w:tr>
        <w:tc>
          <w:tcPr>
            <w:tcW w:type="dxa" w:w="1296"/>
          </w:tcPr>
          <w:p>
            <w:r>
              <w:rPr>
                <w:b w:val="0"/>
                <w:sz w:val="19"/>
              </w:rPr>
              <w:t>Aug 4–5</w:t>
            </w:r>
          </w:p>
        </w:tc>
        <w:tc>
          <w:tcPr>
            <w:tcW w:type="dxa" w:w="3744"/>
          </w:tcPr>
          <w:p>
            <w:r>
              <w:rPr>
                <w:b w:val="0"/>
                <w:sz w:val="19"/>
              </w:rPr>
              <w:t>KPI dashboard empty; BS values 1000× small</w:t>
            </w:r>
          </w:p>
        </w:tc>
        <w:tc>
          <w:tcPr>
            <w:tcW w:type="dxa" w:w="5040"/>
          </w:tcPr>
          <w:p>
            <w:r>
              <w:rPr>
                <w:b w:val="0"/>
                <w:sz w:val="19"/>
              </w:rPr>
              <w:t>cross-grain roll-up; month-name regex; count/percent heuristics; unit-base fix</w:t>
            </w:r>
          </w:p>
        </w:tc>
      </w:tr>
    </w:tbl>
    <w:p>
      <w:pPr>
        <w:spacing w:after="40"/>
      </w:pPr>
    </w:p>
    <w:p>
      <w:pPr>
        <w:spacing w:after="120"/>
      </w:pPr>
      <w:r>
        <w:rPr>
          <w:b w:val="0"/>
          <w:i w:val="0"/>
        </w:rPr>
        <w:t>Ten derivation versions and seven understanding-cache versions in five weeks is the same fact seen from another angle: the rules cannot converge, because each new file is a new distribution and the rules only ever saw the last one. The test suite (322 tests) increasingly exists to stop the rules from fighting each other — there are tests asserting that 'Margin-25' is not March and 'Qualify 25' is not a fiscal year, because earlier rules overmatched.</w:t>
      </w:r>
    </w:p>
    <w:p>
      <w:pPr>
        <w:pStyle w:val="Heading2"/>
      </w:pPr>
      <w:r>
        <w:t>Root cause 4 — Bloat and duplication</w:t>
      </w:r>
    </w:p>
    <w:p>
      <w:pPr>
        <w:spacing w:after="120"/>
      </w:pPr>
      <w:r>
        <w:rPr>
          <w:b w:val="0"/>
          <w:i w:val="0"/>
        </w:rPr>
        <w:t>~9,100 lines across the pipeline modules, with the same judgment implemented multiple times in different places, drifting independently:</w:t>
      </w:r>
    </w:p>
    <w:p>
      <w:pPr>
        <w:pStyle w:val="ListBullet"/>
        <w:spacing w:after="60"/>
      </w:pPr>
      <w:r>
        <w:rPr>
          <w:b/>
          <w:i w:val="0"/>
        </w:rPr>
        <w:t>Period/date parsing exists in three places</w:t>
      </w:r>
      <w:r>
        <w:rPr>
          <w:b w:val="0"/>
          <w:i w:val="0"/>
        </w:rPr>
        <w:t xml:space="preserve"> (structure analyzer, populate periods, derivation) with different regex banks — yesterday's 'Jan-25' bug was fixed in one of them.</w:t>
      </w:r>
    </w:p>
    <w:p>
      <w:pPr>
        <w:pStyle w:val="ListBullet"/>
        <w:spacing w:after="60"/>
      </w:pPr>
      <w:r>
        <w:rPr>
          <w:b/>
          <w:i w:val="0"/>
        </w:rPr>
        <w:t>Currency word-lists exist in four places.</w:t>
      </w:r>
      <w:r>
        <w:rPr>
          <w:b w:val="0"/>
          <w:i w:val="0"/>
        </w:rPr>
        <w:t xml:space="preserve"> Placeholder-label regexes in two. Adjustment word-lists in two. Headcount detection in two.</w:t>
      </w:r>
    </w:p>
    <w:p>
      <w:pPr>
        <w:pStyle w:val="ListBullet"/>
        <w:spacing w:after="60"/>
      </w:pPr>
      <w:r>
        <w:rPr>
          <w:b/>
          <w:i w:val="0"/>
        </w:rPr>
        <w:t>Period alignment is implemented twice</w:t>
      </w:r>
      <w:r>
        <w:rPr>
          <w:b w:val="0"/>
          <w:i w:val="0"/>
        </w:rPr>
        <w:t xml:space="preserve"> (the binder and the add-line authoring path) with different fallback behaviour.</w:t>
      </w:r>
    </w:p>
    <w:p>
      <w:pPr>
        <w:pStyle w:val="ListBullet"/>
        <w:spacing w:after="60"/>
      </w:pPr>
      <w:r>
        <w:rPr>
          <w:b/>
          <w:i w:val="0"/>
        </w:rPr>
        <w:t>Dead machinery:</w:t>
      </w:r>
      <w:r>
        <w:rPr>
          <w:b w:val="0"/>
          <w:i w:val="0"/>
        </w:rPr>
        <w:t xml:space="preserve"> a Haiku model tier that nothing uses; a sign_flip answer that is requested and never read; an env cap (TEMPO_MAX_DEEP_SHEETS) that can never trigger on the HTTP path because a hard-coded 16 overrides it.</w:t>
      </w:r>
    </w:p>
    <w:p>
      <w:pPr>
        <w:pStyle w:val="ListBullet"/>
        <w:spacing w:after="60"/>
      </w:pPr>
      <w:r>
        <w:rPr>
          <w:b/>
          <w:i w:val="0"/>
        </w:rPr>
        <w:t>The spend firewall is bypassed at three call sites</w:t>
      </w:r>
      <w:r>
        <w:rPr>
          <w:b w:val="0"/>
          <w:i w:val="0"/>
        </w:rPr>
        <w:t xml:space="preserve"> which re-implement it by hand; one triage path can swallow a spend-cap abort; the region detector arms the wrong cap (populate's $3, inside a $60 onboarding).</w:t>
      </w:r>
    </w:p>
    <w:p>
      <w:pPr>
        <w:pStyle w:val="ListBullet"/>
        <w:spacing w:after="60"/>
      </w:pPr>
      <w:r>
        <w:rPr>
          <w:b w:val="0"/>
          <w:i w:val="0"/>
        </w:rPr>
        <w:t>13 environment kill-switches and tunables, each one a memorial to an incident.</w:t>
      </w:r>
    </w:p>
    <w:p>
      <w:pPr>
        <w:pStyle w:val="Heading2"/>
      </w:pPr>
      <w:r>
        <w:t>Root cause 5 — The learning loop points the wrong way</w:t>
      </w:r>
    </w:p>
    <w:p>
      <w:pPr>
        <w:spacing w:after="120"/>
      </w:pPr>
      <w:r>
        <w:rPr>
          <w:b w:val="0"/>
          <w:i w:val="0"/>
        </w:rPr>
        <w:t>Your target architecture is: best first attempt → simple Q&amp;A → THEN crystallise what was learned into deterministic, per-template replay (the Template Contract). Today's loop is inverted: failures crystallise directly into GLOBAL engine rules without ever passing through a question, so the system never learns what the user actually wanted — it only learns what the last bug looked like. The contract machinery (fact_key-addressed corrections that survive re-derives, answered questions feeding the mapper) is the right foundation and already exists; it is simply starved, because the paths that should feed it terminate early as dead-end strings.</w:t>
      </w:r>
    </w:p>
    <w:p>
      <w:pPr>
        <w:pStyle w:val="Heading1"/>
      </w:pPr>
      <w:r>
        <w:t>7. Your gut feeling, point by point</w:t>
      </w:r>
    </w:p>
    <w:tbl>
      <w:tblPr>
        <w:tblStyle w:val="TableGrid"/>
        <w:tblW w:type="auto" w:w="0"/>
        <w:tblLook w:firstColumn="1" w:firstRow="1" w:lastColumn="0" w:lastRow="0" w:noHBand="0" w:noVBand="1" w:val="04A0"/>
      </w:tblPr>
      <w:tblGrid>
        <w:gridCol w:w="2880"/>
        <w:gridCol w:w="2880"/>
        <w:gridCol w:w="2880"/>
      </w:tblGrid>
      <w:tr>
        <w:tc>
          <w:tcPr>
            <w:tcW w:type="dxa" w:w="3456"/>
          </w:tcPr>
          <w:p>
            <w:r>
              <w:rPr>
                <w:b/>
                <w:sz w:val="19"/>
              </w:rPr>
              <w:t>Your statement</w:t>
            </w:r>
          </w:p>
        </w:tc>
        <w:tc>
          <w:tcPr>
            <w:tcW w:type="dxa" w:w="1872"/>
          </w:tcPr>
          <w:p>
            <w:r>
              <w:rPr>
                <w:b/>
                <w:sz w:val="19"/>
              </w:rPr>
              <w:t>Verdict</w:t>
            </w:r>
          </w:p>
        </w:tc>
        <w:tc>
          <w:tcPr>
            <w:tcW w:type="dxa" w:w="4752"/>
          </w:tcPr>
          <w:p>
            <w:r>
              <w:rPr>
                <w:b/>
                <w:sz w:val="19"/>
              </w:rPr>
              <w:t>Evidence</w:t>
            </w:r>
          </w:p>
        </w:tc>
      </w:tr>
      <w:tr>
        <w:tc>
          <w:tcPr>
            <w:tcW w:type="dxa" w:w="3456"/>
          </w:tcPr>
          <w:p>
            <w:r>
              <w:rPr>
                <w:b w:val="0"/>
                <w:sz w:val="19"/>
              </w:rPr>
              <w:t>"Every time we find an issue we build deterministic code to fix it"</w:t>
            </w:r>
          </w:p>
        </w:tc>
        <w:tc>
          <w:tcPr>
            <w:tcW w:type="dxa" w:w="1872"/>
          </w:tcPr>
          <w:p>
            <w:r>
              <w:rPr>
                <w:b/>
                <w:sz w:val="19"/>
              </w:rPr>
              <w:t>Confirmed</w:t>
            </w:r>
          </w:p>
        </w:tc>
        <w:tc>
          <w:tcPr>
            <w:tcW w:type="dxa" w:w="4752"/>
          </w:tcPr>
          <w:p>
            <w:r>
              <w:rPr>
                <w:b w:val="0"/>
                <w:sz w:val="19"/>
              </w:rPr>
              <w:t>Six sessions, six batches of rules; 10 derivation versions; 21 of 35 commits; even yesterday's fix added three new heuristics alongside the LLM seam.</w:t>
            </w:r>
          </w:p>
        </w:tc>
      </w:tr>
      <w:tr>
        <w:tc>
          <w:tcPr>
            <w:tcW w:type="dxa" w:w="3456"/>
          </w:tcPr>
          <w:p>
            <w:r>
              <w:rPr>
                <w:b w:val="0"/>
                <w:sz w:val="19"/>
              </w:rPr>
              <w:t>"We aren't relying on the LLM enough to intelligently do things"</w:t>
            </w:r>
          </w:p>
        </w:tc>
        <w:tc>
          <w:tcPr>
            <w:tcW w:type="dxa" w:w="1872"/>
          </w:tcPr>
          <w:p>
            <w:r>
              <w:rPr>
                <w:b/>
                <w:sz w:val="19"/>
              </w:rPr>
              <w:t>Confirmed, with precision</w:t>
            </w:r>
          </w:p>
        </w:tc>
        <w:tc>
          <w:tcPr>
            <w:tcW w:type="dxa" w:w="4752"/>
          </w:tcPr>
          <w:p>
            <w:r>
              <w:rPr>
                <w:b w:val="0"/>
                <w:sz w:val="19"/>
              </w:rPr>
              <w:t>It is not under-used — it is under-trusted. 9 call sites vs ~140 judgment rules; 14 overruled/ignored answers; the binder makes every period, scale and sign decision without it.</w:t>
            </w:r>
          </w:p>
        </w:tc>
      </w:tr>
      <w:tr>
        <w:tc>
          <w:tcPr>
            <w:tcW w:type="dxa" w:w="3456"/>
          </w:tcPr>
          <w:p>
            <w:r>
              <w:rPr>
                <w:b w:val="0"/>
                <w:sz w:val="19"/>
              </w:rPr>
              <w:t>"The deterministic rules and edge-case fixes keep breaking it"</w:t>
            </w:r>
          </w:p>
        </w:tc>
        <w:tc>
          <w:tcPr>
            <w:tcW w:type="dxa" w:w="1872"/>
          </w:tcPr>
          <w:p>
            <w:r>
              <w:rPr>
                <w:b/>
                <w:sz w:val="19"/>
              </w:rPr>
              <w:t>Confirmed</w:t>
            </w:r>
          </w:p>
        </w:tc>
        <w:tc>
          <w:tcPr>
            <w:tcW w:type="dxa" w:w="4752"/>
          </w:tcPr>
          <w:p>
            <w:r>
              <w:rPr>
                <w:b w:val="0"/>
                <w:sz w:val="19"/>
              </w:rPr>
              <w:t>Every major fill failure in the project's history was a rule misfiring, not the model misjudging. The 15-gate serial gauntlet makes partial failure the default outcome.</w:t>
            </w:r>
          </w:p>
        </w:tc>
      </w:tr>
      <w:tr>
        <w:tc>
          <w:tcPr>
            <w:tcW w:type="dxa" w:w="3456"/>
          </w:tcPr>
          <w:p>
            <w:r>
              <w:rPr>
                <w:b w:val="0"/>
                <w:sz w:val="19"/>
              </w:rPr>
              <w:t>"We are trying to get the best first attempt, then simple Q&amp;A, then build the deterministic base once we understand what the user wants"</w:t>
            </w:r>
          </w:p>
        </w:tc>
        <w:tc>
          <w:tcPr>
            <w:tcW w:type="dxa" w:w="1872"/>
          </w:tcPr>
          <w:p>
            <w:r>
              <w:rPr>
                <w:b/>
                <w:sz w:val="19"/>
              </w:rPr>
              <w:t>This is the right architecture — and it is half-built</w:t>
            </w:r>
          </w:p>
        </w:tc>
        <w:tc>
          <w:tcPr>
            <w:tcW w:type="dxa" w:w="4752"/>
          </w:tcPr>
          <w:p>
            <w:r>
              <w:rPr>
                <w:b w:val="0"/>
                <w:sz w:val="19"/>
              </w:rPr>
              <w:t>The Q&amp;A/contract loop exists and works; it is just not fed by the layer where fills die. The determinism you want (learned, per-template) is starved while the determinism you don't want (guessed, global) grows.</w:t>
            </w:r>
          </w:p>
        </w:tc>
      </w:tr>
      <w:tr>
        <w:tc>
          <w:tcPr>
            <w:tcW w:type="dxa" w:w="3456"/>
          </w:tcPr>
          <w:p>
            <w:r>
              <w:rPr>
                <w:b w:val="0"/>
                <w:sz w:val="19"/>
              </w:rPr>
              <w:t>"We have bloated the system"</w:t>
            </w:r>
          </w:p>
        </w:tc>
        <w:tc>
          <w:tcPr>
            <w:tcW w:type="dxa" w:w="1872"/>
          </w:tcPr>
          <w:p>
            <w:r>
              <w:rPr>
                <w:b/>
                <w:sz w:val="19"/>
              </w:rPr>
              <w:t>Confirmed</w:t>
            </w:r>
          </w:p>
        </w:tc>
        <w:tc>
          <w:tcPr>
            <w:tcW w:type="dxa" w:w="4752"/>
          </w:tcPr>
          <w:p>
            <w:r>
              <w:rPr>
                <w:b w:val="0"/>
                <w:sz w:val="19"/>
              </w:rPr>
              <w:t>~9,100 LOC; quadruplicated lexicons; two period-aligners; dead model tier; dead answers; contradictory emptiness rules; 13 kill-switches.</w:t>
            </w:r>
          </w:p>
        </w:tc>
      </w:tr>
    </w:tbl>
    <w:p>
      <w:pPr>
        <w:spacing w:after="40"/>
      </w:pPr>
    </w:p>
    <w:p>
      <w:pPr>
        <w:spacing w:after="120"/>
      </w:pPr>
      <w:r>
        <w:rPr>
          <w:b/>
          <w:i w:val="0"/>
        </w:rPr>
        <w:t>One boundary to keep, even in the LLM-first vision:</w:t>
      </w:r>
      <w:r>
        <w:rPr>
          <w:b w:val="0"/>
          <w:i w:val="0"/>
        </w:rPr>
        <w:t xml:space="preserve"> the model should make more of the DECISIONS, but it must never produce the NUMBERS. Values must always be read deterministically from cited cells. That floor is what separates "best first attempt" from the hallucinating vision-matcher this system replaced.</w:t>
      </w:r>
    </w:p>
    <w:p>
      <w:pPr>
        <w:pStyle w:val="Heading1"/>
      </w:pPr>
      <w:r>
        <w:t>8. What good looks like (direction only — nothing changed yet)</w:t>
      </w:r>
    </w:p>
    <w:p>
      <w:pPr>
        <w:spacing w:after="120"/>
      </w:pPr>
      <w:r>
        <w:rPr>
          <w:b w:val="0"/>
          <w:i w:val="0"/>
        </w:rPr>
        <w:t>This section is deliberately short. It is the direction the diagnosis points to, for discussion — not a plan that has been executed.</w:t>
      </w:r>
    </w:p>
    <w:p>
      <w:pPr>
        <w:pStyle w:val="ListBullet"/>
        <w:spacing w:after="60"/>
      </w:pPr>
      <w:r>
        <w:rPr>
          <w:b/>
          <w:i w:val="0"/>
        </w:rPr>
        <w:t>Invert the middle of the pipeline.</w:t>
      </w:r>
      <w:r>
        <w:rPr>
          <w:b w:val="0"/>
          <w:i w:val="0"/>
        </w:rPr>
        <w:t xml:space="preserve"> Today: LLM proposes a mapping, then rules decide period, scale, sign, roll-up — and kill on any doubt. Target: the LLM drafts the COMPLETE first attempt (which source cells feed which template cell, at what scale and sign, with what roll-up) grounded in the deterministic facts (real dates, real magnitudes, real formats); deterministic code VERIFIES the draft (does the arithmetic reconcile? are the cited cells real? is anything double-counted?) and CITES it, rather than pre-empting it.</w:t>
      </w:r>
    </w:p>
    <w:p>
      <w:pPr>
        <w:pStyle w:val="ListBullet"/>
        <w:spacing w:after="60"/>
      </w:pPr>
      <w:r>
        <w:rPr>
          <w:b/>
          <w:i w:val="0"/>
        </w:rPr>
        <w:t>Turn every kill into a question with a suggested answer.</w:t>
      </w:r>
      <w:r>
        <w:rPr>
          <w:b w:val="0"/>
          <w:i w:val="0"/>
        </w:rPr>
        <w:t xml:space="preserve"> The gates stay — but a refusal on a mapped metric should file a one-tap review item ("Q1-26 ARR: source is monthly; use the March value, 149.5? [yes / average / leave blank]") instead of a JSON string. The review-item infrastructure already supports this.</w:t>
      </w:r>
    </w:p>
    <w:p>
      <w:pPr>
        <w:pStyle w:val="ListBullet"/>
        <w:spacing w:after="60"/>
      </w:pPr>
      <w:r>
        <w:rPr>
          <w:b/>
          <w:i w:val="0"/>
        </w:rPr>
        <w:t>Let answers become the determinism.</w:t>
      </w:r>
      <w:r>
        <w:rPr>
          <w:b w:val="0"/>
          <w:i w:val="0"/>
        </w:rPr>
        <w:t xml:space="preserve"> Confirmed answers persist per fact_key in the Template Contract and replay deterministically on every future run — that is the deterministic codebase you actually want, built from evidence of user intent rather than from debugging sessions.</w:t>
      </w:r>
    </w:p>
    <w:p>
      <w:pPr>
        <w:pStyle w:val="ListBullet"/>
        <w:spacing w:after="60"/>
      </w:pPr>
      <w:r>
        <w:rPr>
          <w:b/>
          <w:i w:val="0"/>
        </w:rPr>
        <w:t>Freeze Kind-3 rule growth.</w:t>
      </w:r>
      <w:r>
        <w:rPr>
          <w:b w:val="0"/>
          <w:i w:val="0"/>
        </w:rPr>
        <w:t xml:space="preserve"> New failure → first ask "which LLM seam should have decided this, or what question should the user have been asked?" A new global rule should require evidence from multiple templates (i.e., repeated confirmed answers), not one bug.</w:t>
      </w:r>
    </w:p>
    <w:p>
      <w:pPr>
        <w:pStyle w:val="ListBullet"/>
        <w:spacing w:after="60"/>
      </w:pPr>
      <w:r>
        <w:rPr>
          <w:b/>
          <w:i w:val="0"/>
        </w:rPr>
        <w:t>Then shrink.</w:t>
      </w:r>
      <w:r>
        <w:rPr>
          <w:b w:val="0"/>
          <w:i w:val="0"/>
        </w:rPr>
        <w:t xml:space="preserve"> Collapse the duplicated lexicons and parsers into single implementations; delete the dead tier, the unread answers, the impossible cap; route the three firewall bypasses through the one guarded path; instrument the silent gates. This is cleanup, and it becomes much easier once the judgment rules stop being load-bearing.</w:t>
      </w:r>
    </w:p>
    <w:p>
      <w:r>
        <w:br w:type="page"/>
      </w:r>
    </w:p>
    <w:p>
      <w:pPr>
        <w:pStyle w:val="Heading1"/>
      </w:pPr>
      <w:r>
        <w:t>Appendix A — The nine LLM call sites</w:t>
      </w:r>
    </w:p>
    <w:tbl>
      <w:tblPr>
        <w:tblStyle w:val="TableGrid"/>
        <w:tblW w:type="auto" w:w="0"/>
        <w:tblLook w:firstColumn="1" w:firstRow="1" w:lastColumn="0" w:lastRow="0" w:noHBand="0" w:noVBand="1" w:val="04A0"/>
      </w:tblPr>
      <w:tblGrid>
        <w:gridCol w:w="2880"/>
        <w:gridCol w:w="2880"/>
        <w:gridCol w:w="2880"/>
      </w:tblGrid>
      <w:tr>
        <w:tc>
          <w:tcPr>
            <w:tcW w:type="dxa" w:w="4176"/>
          </w:tcPr>
          <w:p>
            <w:r>
              <w:rPr>
                <w:b/>
                <w:sz w:val="19"/>
              </w:rPr>
              <w:t>Step</w:t>
            </w:r>
          </w:p>
        </w:tc>
        <w:tc>
          <w:tcPr>
            <w:tcW w:type="dxa" w:w="3744"/>
          </w:tcPr>
          <w:p>
            <w:r>
              <w:rPr>
                <w:b/>
                <w:sz w:val="19"/>
              </w:rPr>
              <w:t>Model</w:t>
            </w:r>
          </w:p>
        </w:tc>
        <w:tc>
          <w:tcPr>
            <w:tcW w:type="dxa" w:w="2160"/>
          </w:tcPr>
          <w:p>
            <w:r>
              <w:rPr>
                <w:b/>
                <w:sz w:val="19"/>
              </w:rPr>
              <w:t>Cached?</w:t>
            </w:r>
          </w:p>
        </w:tc>
      </w:tr>
      <w:tr>
        <w:tc>
          <w:tcPr>
            <w:tcW w:type="dxa" w:w="4176"/>
          </w:tcPr>
          <w:p>
            <w:r>
              <w:rPr>
                <w:b w:val="0"/>
                <w:sz w:val="19"/>
              </w:rPr>
              <w:t>Sheet triage (deep vs light)</w:t>
            </w:r>
          </w:p>
        </w:tc>
        <w:tc>
          <w:tcPr>
            <w:tcW w:type="dxa" w:w="3744"/>
          </w:tcPr>
          <w:p>
            <w:r>
              <w:rPr>
                <w:b w:val="0"/>
                <w:sz w:val="19"/>
              </w:rPr>
              <w:t>Sonnet</w:t>
            </w:r>
          </w:p>
        </w:tc>
        <w:tc>
          <w:tcPr>
            <w:tcW w:type="dxa" w:w="2160"/>
          </w:tcPr>
          <w:p>
            <w:r>
              <w:rPr>
                <w:b w:val="0"/>
                <w:sz w:val="19"/>
              </w:rPr>
              <w:t>No</w:t>
            </w:r>
          </w:p>
        </w:tc>
      </w:tr>
      <w:tr>
        <w:tc>
          <w:tcPr>
            <w:tcW w:type="dxa" w:w="4176"/>
          </w:tcPr>
          <w:p>
            <w:r>
              <w:rPr>
                <w:b w:val="0"/>
                <w:sz w:val="19"/>
              </w:rPr>
              <w:t>Per-sheet template understanding</w:t>
            </w:r>
          </w:p>
        </w:tc>
        <w:tc>
          <w:tcPr>
            <w:tcW w:type="dxa" w:w="3744"/>
          </w:tcPr>
          <w:p>
            <w:r>
              <w:rPr>
                <w:b w:val="0"/>
                <w:sz w:val="19"/>
              </w:rPr>
              <w:t>Opus (deep, with images) / Sonnet (light)</w:t>
            </w:r>
          </w:p>
        </w:tc>
        <w:tc>
          <w:tcPr>
            <w:tcW w:type="dxa" w:w="2160"/>
          </w:tcPr>
          <w:p>
            <w:r>
              <w:rPr>
                <w:b w:val="0"/>
                <w:sz w:val="19"/>
              </w:rPr>
              <w:t>Yes — per template version, cache v7</w:t>
            </w:r>
          </w:p>
        </w:tc>
      </w:tr>
      <w:tr>
        <w:tc>
          <w:tcPr>
            <w:tcW w:type="dxa" w:w="4176"/>
          </w:tcPr>
          <w:p>
            <w:r>
              <w:rPr>
                <w:b w:val="0"/>
                <w:sz w:val="19"/>
              </w:rPr>
              <w:t>Workbook synthesis</w:t>
            </w:r>
          </w:p>
        </w:tc>
        <w:tc>
          <w:tcPr>
            <w:tcW w:type="dxa" w:w="3744"/>
          </w:tcPr>
          <w:p>
            <w:r>
              <w:rPr>
                <w:b w:val="0"/>
                <w:sz w:val="19"/>
              </w:rPr>
              <w:t>Opus</w:t>
            </w:r>
          </w:p>
        </w:tc>
        <w:tc>
          <w:tcPr>
            <w:tcW w:type="dxa" w:w="2160"/>
          </w:tcPr>
          <w:p>
            <w:r>
              <w:rPr>
                <w:b w:val="0"/>
                <w:sz w:val="19"/>
              </w:rPr>
              <w:t>No</w:t>
            </w:r>
          </w:p>
        </w:tc>
      </w:tr>
      <w:tr>
        <w:tc>
          <w:tcPr>
            <w:tcW w:type="dxa" w:w="4176"/>
          </w:tcPr>
          <w:p>
            <w:r>
              <w:rPr>
                <w:b w:val="0"/>
                <w:sz w:val="19"/>
              </w:rPr>
              <w:t>Extensible-region detection</w:t>
            </w:r>
          </w:p>
        </w:tc>
        <w:tc>
          <w:tcPr>
            <w:tcW w:type="dxa" w:w="3744"/>
          </w:tcPr>
          <w:p>
            <w:r>
              <w:rPr>
                <w:b w:val="0"/>
                <w:sz w:val="19"/>
              </w:rPr>
              <w:t>Sonnet + images</w:t>
            </w:r>
          </w:p>
        </w:tc>
        <w:tc>
          <w:tcPr>
            <w:tcW w:type="dxa" w:w="2160"/>
          </w:tcPr>
          <w:p>
            <w:r>
              <w:rPr>
                <w:b w:val="0"/>
                <w:sz w:val="19"/>
              </w:rPr>
              <w:t>Persisted per template version</w:t>
            </w:r>
          </w:p>
        </w:tc>
      </w:tr>
      <w:tr>
        <w:tc>
          <w:tcPr>
            <w:tcW w:type="dxa" w:w="4176"/>
          </w:tcPr>
          <w:p>
            <w:r>
              <w:rPr>
                <w:b w:val="0"/>
                <w:sz w:val="19"/>
              </w:rPr>
              <w:t>Metric dimension enrichment</w:t>
            </w:r>
          </w:p>
        </w:tc>
        <w:tc>
          <w:tcPr>
            <w:tcW w:type="dxa" w:w="3744"/>
          </w:tcPr>
          <w:p>
            <w:r>
              <w:rPr>
                <w:b w:val="0"/>
                <w:sz w:val="19"/>
              </w:rPr>
              <w:t>Opus</w:t>
            </w:r>
          </w:p>
        </w:tc>
        <w:tc>
          <w:tcPr>
            <w:tcW w:type="dxa" w:w="2160"/>
          </w:tcPr>
          <w:p>
            <w:r>
              <w:rPr>
                <w:b w:val="0"/>
                <w:sz w:val="19"/>
              </w:rPr>
              <w:t>Persisted as corrections</w:t>
            </w:r>
          </w:p>
        </w:tc>
      </w:tr>
      <w:tr>
        <w:tc>
          <w:tcPr>
            <w:tcW w:type="dxa" w:w="4176"/>
          </w:tcPr>
          <w:p>
            <w:r>
              <w:rPr>
                <w:b w:val="0"/>
                <w:sz w:val="19"/>
              </w:rPr>
              <w:t>Source structure understanding</w:t>
            </w:r>
          </w:p>
        </w:tc>
        <w:tc>
          <w:tcPr>
            <w:tcW w:type="dxa" w:w="3744"/>
          </w:tcPr>
          <w:p>
            <w:r>
              <w:rPr>
                <w:b w:val="0"/>
                <w:sz w:val="19"/>
              </w:rPr>
              <w:t>Sonnet + images</w:t>
            </w:r>
          </w:p>
        </w:tc>
        <w:tc>
          <w:tcPr>
            <w:tcW w:type="dxa" w:w="2160"/>
          </w:tcPr>
          <w:p>
            <w:r>
              <w:rPr>
                <w:b w:val="0"/>
                <w:sz w:val="19"/>
              </w:rPr>
              <w:t>Yes — by file hash, cache v3</w:t>
            </w:r>
          </w:p>
        </w:tc>
      </w:tr>
      <w:tr>
        <w:tc>
          <w:tcPr>
            <w:tcW w:type="dxa" w:w="4176"/>
          </w:tcPr>
          <w:p>
            <w:r>
              <w:rPr>
                <w:b w:val="0"/>
                <w:sz w:val="19"/>
              </w:rPr>
              <w:t>Metric→series mapping</w:t>
            </w:r>
          </w:p>
        </w:tc>
        <w:tc>
          <w:tcPr>
            <w:tcW w:type="dxa" w:w="3744"/>
          </w:tcPr>
          <w:p>
            <w:r>
              <w:rPr>
                <w:b w:val="0"/>
                <w:sz w:val="19"/>
              </w:rPr>
              <w:t>Sonnet, 25 metrics/batch</w:t>
            </w:r>
          </w:p>
        </w:tc>
        <w:tc>
          <w:tcPr>
            <w:tcW w:type="dxa" w:w="2160"/>
          </w:tcPr>
          <w:p>
            <w:r>
              <w:rPr>
                <w:b w:val="0"/>
                <w:sz w:val="19"/>
              </w:rPr>
              <w:t>No — re-runs every populate</w:t>
            </w:r>
          </w:p>
        </w:tc>
      </w:tr>
      <w:tr>
        <w:tc>
          <w:tcPr>
            <w:tcW w:type="dxa" w:w="4176"/>
          </w:tcPr>
          <w:p>
            <w:r>
              <w:rPr>
                <w:b w:val="0"/>
                <w:sz w:val="19"/>
              </w:rPr>
              <w:t>Per-metric rescue</w:t>
            </w:r>
          </w:p>
        </w:tc>
        <w:tc>
          <w:tcPr>
            <w:tcW w:type="dxa" w:w="3744"/>
          </w:tcPr>
          <w:p>
            <w:r>
              <w:rPr>
                <w:b w:val="0"/>
                <w:sz w:val="19"/>
              </w:rPr>
              <w:t>Sonnet, parallel</w:t>
            </w:r>
          </w:p>
        </w:tc>
        <w:tc>
          <w:tcPr>
            <w:tcW w:type="dxa" w:w="2160"/>
          </w:tcPr>
          <w:p>
            <w:r>
              <w:rPr>
                <w:b w:val="0"/>
                <w:sz w:val="19"/>
              </w:rPr>
              <w:t>No</w:t>
            </w:r>
          </w:p>
        </w:tc>
      </w:tr>
      <w:tr>
        <w:tc>
          <w:tcPr>
            <w:tcW w:type="dxa" w:w="4176"/>
          </w:tcPr>
          <w:p>
            <w:r>
              <w:rPr>
                <w:b w:val="0"/>
                <w:sz w:val="19"/>
              </w:rPr>
              <w:t>(Inside mapping) roll-up semantics</w:t>
            </w:r>
          </w:p>
        </w:tc>
        <w:tc>
          <w:tcPr>
            <w:tcW w:type="dxa" w:w="3744"/>
          </w:tcPr>
          <w:p>
            <w:r>
              <w:rPr>
                <w:b w:val="0"/>
                <w:sz w:val="19"/>
              </w:rPr>
              <w:t>Sonnet</w:t>
            </w:r>
          </w:p>
        </w:tc>
        <w:tc>
          <w:tcPr>
            <w:tcW w:type="dxa" w:w="2160"/>
          </w:tcPr>
          <w:p>
            <w:r>
              <w:rPr>
                <w:b w:val="0"/>
                <w:sz w:val="19"/>
              </w:rPr>
              <w:t>No</w:t>
            </w:r>
          </w:p>
        </w:tc>
      </w:tr>
    </w:tbl>
    <w:p>
      <w:pPr>
        <w:spacing w:after="40"/>
      </w:pPr>
    </w:p>
    <w:p>
      <w:pPr>
        <w:pStyle w:val="Heading1"/>
      </w:pPr>
      <w:r>
        <w:t>Appendix B — Failure paths that DO become questions</w:t>
      </w:r>
    </w:p>
    <w:p>
      <w:pPr>
        <w:pStyle w:val="ListBullet"/>
        <w:spacing w:after="60"/>
      </w:pPr>
      <w:r>
        <w:rPr>
          <w:b w:val="0"/>
          <w:i w:val="0"/>
        </w:rPr>
        <w:t>A mapping batch failed after retry (metrics named)</w:t>
      </w:r>
    </w:p>
    <w:p>
      <w:pPr>
        <w:pStyle w:val="ListBullet"/>
        <w:spacing w:after="60"/>
      </w:pPr>
      <w:r>
        <w:rPr>
          <w:b w:val="0"/>
          <w:i w:val="0"/>
        </w:rPr>
        <w:t>A written value contradicts the template's sign convention</w:t>
      </w:r>
    </w:p>
    <w:p>
      <w:pPr>
        <w:pStyle w:val="ListBullet"/>
        <w:spacing w:after="60"/>
      </w:pPr>
      <w:r>
        <w:rPr>
          <w:b w:val="0"/>
          <w:i w:val="0"/>
        </w:rPr>
        <w:t>A reconcile fill (provisional assumption stated, user confirms)</w:t>
      </w:r>
    </w:p>
    <w:p>
      <w:pPr>
        <w:pStyle w:val="ListBullet"/>
        <w:spacing w:after="60"/>
      </w:pPr>
      <w:r>
        <w:rPr>
          <w:b w:val="0"/>
          <w:i w:val="0"/>
        </w:rPr>
        <w:t>A needs_decision mapping (asked, never filled)</w:t>
      </w:r>
    </w:p>
    <w:p>
      <w:pPr>
        <w:pStyle w:val="ListBullet"/>
        <w:spacing w:after="60"/>
      </w:pPr>
      <w:r>
        <w:rPr>
          <w:b w:val="0"/>
          <w:i w:val="0"/>
        </w:rPr>
        <w:t>A template check cell reads FAIL after recalculation</w:t>
      </w:r>
    </w:p>
    <w:p>
      <w:pPr>
        <w:pStyle w:val="ListBullet"/>
        <w:spacing w:after="60"/>
      </w:pPr>
      <w:r>
        <w:rPr>
          <w:b w:val="0"/>
          <w:i w:val="0"/>
        </w:rPr>
        <w:t>A new line written into an extensible region ("keep it?")</w:t>
      </w:r>
    </w:p>
    <w:p>
      <w:pPr>
        <w:pStyle w:val="ListBullet"/>
        <w:spacing w:after="60"/>
      </w:pPr>
      <w:r>
        <w:rPr>
          <w:b w:val="0"/>
          <w:i w:val="0"/>
        </w:rPr>
        <w:t>An occupied-label overwrite pending approval</w:t>
      </w:r>
    </w:p>
    <w:p>
      <w:pPr>
        <w:pStyle w:val="ListBullet"/>
        <w:spacing w:after="60"/>
      </w:pPr>
      <w:r>
        <w:rPr>
          <w:b w:val="0"/>
          <w:i w:val="0"/>
        </w:rPr>
        <w:t>Understanding doubts (review flags)</w:t>
      </w:r>
    </w:p>
    <w:p>
      <w:pPr>
        <w:pStyle w:val="ListBullet"/>
        <w:spacing w:after="60"/>
      </w:pPr>
      <w:r>
        <w:rPr>
          <w:b w:val="0"/>
          <w:i w:val="0"/>
        </w:rPr>
        <w:t>Impact chains / data flows the formula graph does not support</w:t>
      </w:r>
    </w:p>
    <w:p>
      <w:pPr>
        <w:pStyle w:val="ListBullet"/>
        <w:spacing w:after="60"/>
      </w:pPr>
      <w:r>
        <w:rPr>
          <w:b w:val="0"/>
          <w:i w:val="0"/>
        </w:rPr>
        <w:t>Any sheet downgraded to a light/skip reading (vetoable)</w:t>
      </w:r>
    </w:p>
    <w:p>
      <w:pPr>
        <w:pStyle w:val="Heading1"/>
      </w:pPr>
      <w:r>
        <w:t>Appendix C — Failure paths that die silently (selection)</w:t>
      </w:r>
    </w:p>
    <w:p>
      <w:pPr>
        <w:pStyle w:val="ListBullet"/>
        <w:spacing w:after="60"/>
      </w:pPr>
      <w:r>
        <w:rPr>
          <w:b w:val="0"/>
          <w:i w:val="0"/>
        </w:rPr>
        <w:t>All ten binder refusals (no mapping, double-count, confidence floor, scenario, period, scale…) — reason strings only</w:t>
      </w:r>
    </w:p>
    <w:p>
      <w:pPr>
        <w:pStyle w:val="ListBullet"/>
        <w:spacing w:after="60"/>
      </w:pPr>
      <w:r>
        <w:rPr>
          <w:b w:val="0"/>
          <w:i w:val="0"/>
        </w:rPr>
        <w:t>All five apply refusals (empty cell, formula string, incomplete aggregation…)</w:t>
      </w:r>
    </w:p>
    <w:p>
      <w:pPr>
        <w:pStyle w:val="ListBullet"/>
        <w:spacing w:after="60"/>
      </w:pPr>
      <w:r>
        <w:rPr>
          <w:b w:val="0"/>
          <w:i w:val="0"/>
        </w:rPr>
        <w:t>Unused source series (the under-counting signal) — listed, never asked about</w:t>
      </w:r>
    </w:p>
    <w:p>
      <w:pPr>
        <w:pStyle w:val="ListBullet"/>
        <w:spacing w:after="60"/>
      </w:pPr>
      <w:r>
        <w:rPr>
          <w:b w:val="0"/>
          <w:i w:val="0"/>
        </w:rPr>
        <w:t>Data-model review flags (orphan cells, role-gated cells, config counts) — stored, never converted to questions</w:t>
      </w:r>
    </w:p>
    <w:p>
      <w:pPr>
        <w:pStyle w:val="ListBullet"/>
        <w:spacing w:after="60"/>
      </w:pPr>
      <w:r>
        <w:rPr>
          <w:b w:val="0"/>
          <w:i w:val="0"/>
        </w:rPr>
        <w:t>A duplicate link, a cross-sheet aggregate component, a missing template sheet — no record at all</w:t>
      </w:r>
    </w:p>
    <w:p>
      <w:pPr>
        <w:pStyle w:val="ListBullet"/>
        <w:spacing w:after="60"/>
      </w:pPr>
      <w:r>
        <w:rPr>
          <w:b w:val="0"/>
          <w:i w:val="0"/>
        </w:rPr>
        <w:t>A failure to FILE a review item is itself only logged — the question is lost</w:t>
      </w:r>
    </w:p>
    <w:p>
      <w:pPr>
        <w:pStyle w:val="Heading1"/>
      </w:pPr>
      <w:r>
        <w:t>Appendix D — Numbers dashboard</w:t>
      </w:r>
    </w:p>
    <w:tbl>
      <w:tblPr>
        <w:tblStyle w:val="TableGrid"/>
        <w:tblW w:type="auto" w:w="0"/>
        <w:tblLook w:firstColumn="1" w:firstRow="1" w:lastColumn="0" w:lastRow="0" w:noHBand="0" w:noVBand="1" w:val="04A0"/>
      </w:tblPr>
      <w:tblGrid>
        <w:gridCol w:w="4320"/>
        <w:gridCol w:w="4320"/>
      </w:tblGrid>
      <w:tr>
        <w:tc>
          <w:tcPr>
            <w:tcW w:type="dxa" w:w="6624"/>
          </w:tcPr>
          <w:p>
            <w:r>
              <w:rPr>
                <w:b/>
                <w:sz w:val="19"/>
              </w:rPr>
              <w:t>Metric</w:t>
            </w:r>
          </w:p>
        </w:tc>
        <w:tc>
          <w:tcPr>
            <w:tcW w:type="dxa" w:w="3456"/>
          </w:tcPr>
          <w:p>
            <w:r>
              <w:rPr>
                <w:b/>
                <w:sz w:val="19"/>
              </w:rPr>
              <w:t>Value</w:t>
            </w:r>
          </w:p>
        </w:tc>
      </w:tr>
      <w:tr>
        <w:tc>
          <w:tcPr>
            <w:tcW w:type="dxa" w:w="6624"/>
          </w:tcPr>
          <w:p>
            <w:r>
              <w:rPr>
                <w:b w:val="0"/>
                <w:sz w:val="19"/>
              </w:rPr>
              <w:t>Lines of code (population + datamodel + structure + understanding)</w:t>
            </w:r>
          </w:p>
        </w:tc>
        <w:tc>
          <w:tcPr>
            <w:tcW w:type="dxa" w:w="3456"/>
          </w:tcPr>
          <w:p>
            <w:r>
              <w:rPr>
                <w:b w:val="0"/>
                <w:sz w:val="19"/>
              </w:rPr>
              <w:t>~9,100</w:t>
            </w:r>
          </w:p>
        </w:tc>
      </w:tr>
      <w:tr>
        <w:tc>
          <w:tcPr>
            <w:tcW w:type="dxa" w:w="6624"/>
          </w:tcPr>
          <w:p>
            <w:r>
              <w:rPr>
                <w:b w:val="0"/>
                <w:sz w:val="19"/>
              </w:rPr>
              <w:t>Deterministic rules catalogued</w:t>
            </w:r>
          </w:p>
        </w:tc>
        <w:tc>
          <w:tcPr>
            <w:tcW w:type="dxa" w:w="3456"/>
          </w:tcPr>
          <w:p>
            <w:r>
              <w:rPr>
                <w:b w:val="0"/>
                <w:sz w:val="19"/>
              </w:rPr>
              <w:t>~380 (≈140 encoded judgment)</w:t>
            </w:r>
          </w:p>
        </w:tc>
      </w:tr>
      <w:tr>
        <w:tc>
          <w:tcPr>
            <w:tcW w:type="dxa" w:w="6624"/>
          </w:tcPr>
          <w:p>
            <w:r>
              <w:rPr>
                <w:b w:val="0"/>
                <w:sz w:val="19"/>
              </w:rPr>
              <w:t>Regex compilations in population + datamodel alone</w:t>
            </w:r>
          </w:p>
        </w:tc>
        <w:tc>
          <w:tcPr>
            <w:tcW w:type="dxa" w:w="3456"/>
          </w:tcPr>
          <w:p>
            <w:r>
              <w:rPr>
                <w:b w:val="0"/>
                <w:sz w:val="19"/>
              </w:rPr>
              <w:t>56</w:t>
            </w:r>
          </w:p>
        </w:tc>
      </w:tr>
      <w:tr>
        <w:tc>
          <w:tcPr>
            <w:tcW w:type="dxa" w:w="6624"/>
          </w:tcPr>
          <w:p>
            <w:r>
              <w:rPr>
                <w:b w:val="0"/>
                <w:sz w:val="19"/>
              </w:rPr>
              <w:t>Environment kill-switches / tunables</w:t>
            </w:r>
          </w:p>
        </w:tc>
        <w:tc>
          <w:tcPr>
            <w:tcW w:type="dxa" w:w="3456"/>
          </w:tcPr>
          <w:p>
            <w:r>
              <w:rPr>
                <w:b w:val="0"/>
                <w:sz w:val="19"/>
              </w:rPr>
              <w:t>13</w:t>
            </w:r>
          </w:p>
        </w:tc>
      </w:tr>
      <w:tr>
        <w:tc>
          <w:tcPr>
            <w:tcW w:type="dxa" w:w="6624"/>
          </w:tcPr>
          <w:p>
            <w:r>
              <w:rPr>
                <w:b w:val="0"/>
                <w:sz w:val="19"/>
              </w:rPr>
              <w:t>Derivation rule versions in 5 weeks</w:t>
            </w:r>
          </w:p>
        </w:tc>
        <w:tc>
          <w:tcPr>
            <w:tcW w:type="dxa" w:w="3456"/>
          </w:tcPr>
          <w:p>
            <w:r>
              <w:rPr>
                <w:b w:val="0"/>
                <w:sz w:val="19"/>
              </w:rPr>
              <w:t>10</w:t>
            </w:r>
          </w:p>
        </w:tc>
      </w:tr>
      <w:tr>
        <w:tc>
          <w:tcPr>
            <w:tcW w:type="dxa" w:w="6624"/>
          </w:tcPr>
          <w:p>
            <w:r>
              <w:rPr>
                <w:b w:val="0"/>
                <w:sz w:val="19"/>
              </w:rPr>
              <w:t>Understanding cache versions</w:t>
            </w:r>
          </w:p>
        </w:tc>
        <w:tc>
          <w:tcPr>
            <w:tcW w:type="dxa" w:w="3456"/>
          </w:tcPr>
          <w:p>
            <w:r>
              <w:rPr>
                <w:b w:val="0"/>
                <w:sz w:val="19"/>
              </w:rPr>
              <w:t>7 (template) / 3 (source)</w:t>
            </w:r>
          </w:p>
        </w:tc>
      </w:tr>
      <w:tr>
        <w:tc>
          <w:tcPr>
            <w:tcW w:type="dxa" w:w="6624"/>
          </w:tcPr>
          <w:p>
            <w:r>
              <w:rPr>
                <w:b w:val="0"/>
                <w:sz w:val="19"/>
              </w:rPr>
              <w:t>Commits touching populate since 1 July</w:t>
            </w:r>
          </w:p>
        </w:tc>
        <w:tc>
          <w:tcPr>
            <w:tcW w:type="dxa" w:w="3456"/>
          </w:tcPr>
          <w:p>
            <w:r>
              <w:rPr>
                <w:b w:val="0"/>
                <w:sz w:val="19"/>
              </w:rPr>
              <w:t>21 of 35</w:t>
            </w:r>
          </w:p>
        </w:tc>
      </w:tr>
      <w:tr>
        <w:tc>
          <w:tcPr>
            <w:tcW w:type="dxa" w:w="6624"/>
          </w:tcPr>
          <w:p>
            <w:r>
              <w:rPr>
                <w:b w:val="0"/>
                <w:sz w:val="19"/>
              </w:rPr>
              <w:t>Offline tests (largely protecting rules from each other)</w:t>
            </w:r>
          </w:p>
        </w:tc>
        <w:tc>
          <w:tcPr>
            <w:tcW w:type="dxa" w:w="3456"/>
          </w:tcPr>
          <w:p>
            <w:r>
              <w:rPr>
                <w:b w:val="0"/>
                <w:sz w:val="19"/>
              </w:rPr>
              <w:t>322</w:t>
            </w:r>
          </w:p>
        </w:tc>
      </w:tr>
      <w:tr>
        <w:tc>
          <w:tcPr>
            <w:tcW w:type="dxa" w:w="6624"/>
          </w:tcPr>
          <w:p>
            <w:r>
              <w:rPr>
                <w:b w:val="0"/>
                <w:sz w:val="19"/>
              </w:rPr>
              <w:t>Hard gates from mapping to written cell</w:t>
            </w:r>
          </w:p>
        </w:tc>
        <w:tc>
          <w:tcPr>
            <w:tcW w:type="dxa" w:w="3456"/>
          </w:tcPr>
          <w:p>
            <w:r>
              <w:rPr>
                <w:b w:val="0"/>
                <w:sz w:val="19"/>
              </w:rPr>
              <w:t>15 (+7 period sub-checks, +3 write path)</w:t>
            </w:r>
          </w:p>
        </w:tc>
      </w:tr>
      <w:tr>
        <w:tc>
          <w:tcPr>
            <w:tcW w:type="dxa" w:w="6624"/>
          </w:tcPr>
          <w:p>
            <w:r>
              <w:rPr>
                <w:b w:val="0"/>
                <w:sz w:val="19"/>
              </w:rPr>
              <w:t>LLM answers requested but never read</w:t>
            </w:r>
          </w:p>
        </w:tc>
        <w:tc>
          <w:tcPr>
            <w:tcW w:type="dxa" w:w="3456"/>
          </w:tcPr>
          <w:p>
            <w:r>
              <w:rPr>
                <w:b w:val="0"/>
                <w:sz w:val="19"/>
              </w:rPr>
              <w:t>2 (source sign_flip, canonical_metric-for-matching)</w:t>
            </w:r>
          </w:p>
        </w:tc>
      </w:tr>
      <w:tr>
        <w:tc>
          <w:tcPr>
            <w:tcW w:type="dxa" w:w="6624"/>
          </w:tcPr>
          <w:p>
            <w:r>
              <w:rPr>
                <w:b w:val="0"/>
                <w:sz w:val="19"/>
              </w:rPr>
              <w:t>Question-producing vs dead-end failure paths</w:t>
            </w:r>
          </w:p>
        </w:tc>
        <w:tc>
          <w:tcPr>
            <w:tcW w:type="dxa" w:w="3456"/>
          </w:tcPr>
          <w:p>
            <w:r>
              <w:rPr>
                <w:b w:val="0"/>
                <w:sz w:val="19"/>
              </w:rPr>
              <w:t>11 vs 35+</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B5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B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B5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