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8"/>
        </w:rPr>
        <w:t>Tempo — Business Overview</w:t>
      </w:r>
    </w:p>
    <w:p>
      <w:r>
        <w:rPr>
          <w:color w:val="6B6660"/>
        </w:rPr>
        <w:t>Context for candidate introductions · prepared for recruiting partners · August 2026 · Please treat the founder's identity and current employment with discretion.</w:t>
      </w:r>
    </w:p>
    <w:p>
      <w:r>
        <w:rPr>
          <w:b/>
          <w:sz w:val="26"/>
        </w:rPr>
        <w:t>What Tempo is, in one paragraph</w:t>
      </w:r>
    </w:p>
    <w:p>
      <w:r>
        <w:t>Tempo is an AI platform that automates the most manual workflow in private equity: filling the Excel reporting templates that flow every month between sponsors and their portfolio companies. Tempo reads a sponsor's template once and understands it the way its author does — every input, every formula, every convention. From then on, any portfolio company's data pack fills it automatically, from the web or from a task pane inside Excel itself, with every number traceable to its source and every judgment call surfaced as a one-tap question whose answer is remembered permanently. The category anchor: what Harvey and Legora are to legal work, Tempo is to portfolio reporting.</w:t>
      </w:r>
    </w:p>
    <w:p>
      <w:r>
        <w:rPr>
          <w:b/>
          <w:sz w:val="26"/>
        </w:rPr>
        <w:t>The founder</w:t>
      </w:r>
    </w:p>
    <w:p>
      <w:r>
        <w:t>The founder is currently at CVC, one of the world's largest private equity firms [role/team — founder to complete], and is building Tempo out of direct, daily exposure to the problem: templates designed on the sponsor side, filled — by hand — on the portfolio-company side, and chased, checked and re-keyed by monitoring and finance teams in between. This is founder-market fit in its strongest form: the buyer, the user and the distribution channel are all people the founder already works with. The engineering hire will work directly with the founder as the platform's interim technical owner.</w:t>
      </w:r>
    </w:p>
    <w:p>
      <w:r>
        <w:rPr>
          <w:b/>
          <w:sz w:val="26"/>
        </w:rPr>
        <w:t>The problem</w:t>
      </w:r>
    </w:p>
    <w:p>
      <w:r>
        <w:t>Every month, roughly 33,000 private-equity-backed companies worldwide close their books and report to their owners.¹ The near-universal medium is the Excel template: a flash pack, KPI dashboard or board pack designed by the sponsor, filled in by each portfolio company's finance team, and consolidated by the sponsor's monitoring function. In practice that means finance teams re-keying numbers from their management accounts into someone else's spreadsheet under deadline; monitoring teams chasing, validating and correcting; and errors that surface at the worst possible moment — in front of an investment committee or an LP. Multiply one template by a portfolio of 50–100 companies, twelve times a year, and reporting becomes one of the largest hidden operating costs in the asset class — hundreds of thousands of template fills a year in buyout alone, each consuming days of skilled finance time.</w:t>
      </w:r>
    </w:p>
    <w:p>
      <w:r>
        <w:t>The pressure is rising, not falling: 52% of buyout-backed companies have now been held for more than four years — a record — meaning more reporting cycles per asset,¹ and ILPA's 2025 reporting and performance templates (effective for qualifying funds from Q1 2026) materially raise the granularity LPs expect from sponsors, which flows straight downhill into portfolio-company reporting demands.²</w:t>
      </w:r>
    </w:p>
    <w:p>
      <w:r>
        <w:rPr>
          <w:b/>
          <w:sz w:val="26"/>
        </w:rPr>
        <w:t>Why existing tools haven't solved it</w:t>
      </w:r>
    </w:p>
    <w:p>
      <w:r>
        <w:t>A well-funded category of portfolio-monitoring platforms exists — iLEVEL (S&amp;P Global), Chronograph, Allvue, 73 Strings, Standard Metrics, Canoe and others.³ They are aggregation layers: they centralise data once it has been collected, and the AI-native entrants are strong at extracting figures from documents. But none of them own the template itself — the artefact sponsors actually run their portfolios on. Their implicit ask is that the sponsor abandon its templates and standardise into the vendor's schema; sponsors largely refuse, because the template IS the institutional knowledge — the definitions, adjustments and conventions the partnership trusts. So the last mile stays manual, and Excel remains the system of record. Tempo takes the opposite bet: keep the sponsor's template exactly as it is, and make it fill itself. That is only newly possible — genuinely understanding an arbitrary financial template (not parsing cells, but understanding intent) required frontier-model reasoning that did not exist two years ago.</w:t>
      </w:r>
    </w:p>
    <w:p>
      <w:r>
        <w:rPr>
          <w:b/>
          <w:sz w:val="26"/>
        </w:rPr>
        <w:t>The market</w:t>
      </w:r>
    </w:p>
    <w:p>
      <w:pPr>
        <w:pStyle w:val="ListBullet"/>
      </w:pPr>
      <w:r>
        <w:rPr>
          <w:b/>
        </w:rPr>
        <w:t xml:space="preserve">Asset base: </w:t>
      </w:r>
      <w:r>
        <w:t>Private equity fund assets reached a record US$10.6 trillion in 2025, up 17.8% year on year; global PE AUM is forecast to reach roughly $12 trillion by 2029.⁴</w:t>
      </w:r>
    </w:p>
    <w:p>
      <w:pPr>
        <w:pStyle w:val="ListBullet"/>
      </w:pPr>
      <w:r>
        <w:rPr>
          <w:b/>
        </w:rPr>
        <w:t xml:space="preserve">Reporting units: </w:t>
      </w:r>
      <w:r>
        <w:t>~33,000 PE-backed portfolio companies globally, each reporting monthly or quarterly — the direct workflow Tempo automates.¹</w:t>
      </w:r>
    </w:p>
    <w:p>
      <w:pPr>
        <w:pStyle w:val="ListBullet"/>
      </w:pPr>
      <w:r>
        <w:rPr>
          <w:b/>
        </w:rPr>
        <w:t xml:space="preserve">Expansion: </w:t>
      </w:r>
      <w:r>
        <w:t>The wedge is the sponsor↔portco monthly pack; the same engine extends to private credit monitoring, fund administrators, LP/ILPA reporting, transaction services (FDD data packs) and consolidation — anywhere a known template must be filled from heterogeneous source data.</w:t>
      </w:r>
    </w:p>
    <w:p>
      <w:pPr>
        <w:pStyle w:val="ListBullet"/>
      </w:pPr>
      <w:r>
        <w:rPr>
          <w:b/>
        </w:rPr>
        <w:t xml:space="preserve">Distribution leverage: </w:t>
      </w:r>
      <w:r>
        <w:t>One sponsor deployment cascades to every portfolio company in the book: a single enterprise sale distributes the product to 50–100 finance teams, each of which then holds templates of its own (lender packs, board packs) to onboard.</w:t>
      </w:r>
    </w:p>
    <w:p>
      <w:r>
        <w:rPr>
          <w:b/>
          <w:sz w:val="26"/>
        </w:rPr>
        <w:t>The evergreen shift — Tempo's ultimate target</w:t>
      </w:r>
    </w:p>
    <w:p>
      <w:r>
        <w:t>The structural change that turns this from painful to impossible-without-automation is the rise of evergreen and semi-liquid funds. Evergreen AUM grew over 25% in 2025 to roughly $535 billion, is projected to pass $1 trillion by 2028–29, with some projections reaching $4.1 trillion by 2030 as private markets open to the wealth channel; the five largest listed managers already hold $1.5 trillion in perpetual capital — about 40% of their AUM — on a path toward roughly $5 trillion by 2030.⁶ Evergreen vehicles change the operating physics of reporting: NAVs must be struck monthly, subscriptions and redemptions run continuously, and wealth-channel distribution brings retail-grade regulatory scrutiny. Portfolio reporting stops being a quarterly close ritual and becomes a monthly production line across every asset in the book — a cadence the manual template workflow simply cannot sustain. The firms scaling evergreen vehicles are exactly the firms that must industrialise the sponsor–portco reporting pipeline, and that is the pipeline Tempo automates.</w:t>
      </w:r>
    </w:p>
    <w:p>
      <w:r>
        <w:rPr>
          <w:b/>
          <w:sz w:val="26"/>
        </w:rPr>
        <w:t>The capital already flowing into the PE middle office</w:t>
      </w:r>
    </w:p>
    <w:p>
      <w:r>
        <w:t>The market is actively funding this modernisation — and, tellingly, the investors are the industry itself. 73 Strings raised a $55M Series B in February 2025 led by Goldman Sachs, with Blackstone and Fidelity as earlier backers; Canoe Intelligence raised a Goldman-led Series C at a 3x valuation step-up; Arch raised $52M as platform assets doubled past $250 billion.⁷ When Blackstone, Goldman and Fidelity fund their own tooling stack, the demand signal is not speculative — the buyers are underwriting the category. Yet all of that capital has gone into the aggregation and extraction layers. The template layer — where the numbers are actually produced and consumed — remains unautomated. Tempo sits in the one seat in the value chain the funded incumbents structurally cannot occupy without asking sponsors to abandon their own templates.</w:t>
      </w:r>
    </w:p>
    <w:p>
      <w:r>
        <w:rPr>
          <w:b/>
          <w:sz w:val="26"/>
        </w:rPr>
        <w:t>Why now — and the comparable outcomes</w:t>
      </w:r>
    </w:p>
    <w:p>
      <w:r>
        <w:t>Two curves crossed. First, frontier LLMs became capable of reading a financial workbook the way a person does — but unverified AI cannot be trusted with numbers that go to an investment committee, which is why generic AI tools have not penetrated this workflow. Tempo's architecture is built for exactly that trust gap: the LLM proposes meaning; deterministic code verifies and executes every write; nothing plausible-but-wrong reaches the workbook; a ground-truth evaluation suite scores every engine change against expert-labelled templates. Second, the market has now proven that trusted vertical AI in conservative professional domains is the fastest value-creation category in software: Harvey reached an $11bn valuation on ~$190M ARR in March 2026 with most of the AmLaw 100 on platform, and Legora reached $5.6bn weeks later.⁵ Finance's equivalent workflow — the reporting template — is larger, more repetitive, and still unowned.</w:t>
      </w:r>
    </w:p>
    <w:p>
      <w:r>
        <w:rPr>
          <w:b/>
          <w:sz w:val="26"/>
        </w:rPr>
        <w:t>Why the foundation models won't do this</w:t>
      </w:r>
    </w:p>
    <w:p>
      <w:r>
        <w:t>The question every candidate asks of a vertical AI company: won't OpenAI or Anthropic just do this? The legal market has already answered it — Harvey is built on frontier models, OpenAI invested in Harvey rather than competing with it, and every major law firm buys Harvey on top of its existing model subscriptions. The labs sell horizontal intelligence; they do not build vertical systems of record, and their economics push the other way. Tempo's specific defensibility runs deeper than that precedent:</w:t>
      </w:r>
    </w:p>
    <w:p>
      <w:pPr>
        <w:pStyle w:val="ListBullet"/>
      </w:pPr>
      <w:r>
        <w:rPr>
          <w:b/>
        </w:rPr>
        <w:t xml:space="preserve">Verification, not generation. </w:t>
      </w:r>
      <w:r>
        <w:t>A model call cannot be trusted with an IC pack; a verified system can. Tempo's value is not the LLM read — it is the deterministic verification and execution layer around it, cell-level source attribution, and accuracy measured against expert-labelled ground truth. A generic agent given a template produces a plausible fill; in this domain, plausible-but-wrong is disqualifying. That trust architecture is a product, not a prompt.</w:t>
      </w:r>
    </w:p>
    <w:p>
      <w:pPr>
        <w:pStyle w:val="ListBullet"/>
      </w:pPr>
      <w:r>
        <w:rPr>
          <w:b/>
        </w:rPr>
        <w:t xml:space="preserve">A moat that compounds per customer: </w:t>
      </w:r>
      <w:r>
        <w:t>Every onboarded template and every user correction persists as scoped, learned decisions — the Template Contract. The system gets measurably better at each sponsor's specific conventions with every cycle, none of that accrues to a foundation model, and switching costs compound monthly.</w:t>
      </w:r>
    </w:p>
    <w:p>
      <w:pPr>
        <w:pStyle w:val="ListBullet"/>
      </w:pPr>
      <w:r>
        <w:rPr>
          <w:b/>
        </w:rPr>
        <w:t xml:space="preserve">Excel is the moat's terrain: </w:t>
      </w:r>
      <w:r>
        <w:t>The hard engineering is the unglamorous last mile — formula semantics, hidden staging sheets, cross-sheet topologies, connector patterns, Excel-native rendering and an add-in inside the user's actual workflow. This is thousands of hours of domain depth that raw intelligence does not substitute for.</w:t>
      </w:r>
    </w:p>
    <w:p>
      <w:pPr>
        <w:pStyle w:val="ListBullet"/>
      </w:pPr>
      <w:r>
        <w:rPr>
          <w:b/>
        </w:rPr>
        <w:t xml:space="preserve">Model progress is a tailwind, not a threat: </w:t>
      </w:r>
      <w:r>
        <w:t>Better and cheaper frontier models make Tempo faster and higher-margin, not obsolete — the platform is model-agnostic by design, routing each task to whichever model wins on cost and quality.</w:t>
      </w:r>
    </w:p>
    <w:p>
      <w:pPr>
        <w:pStyle w:val="ListBullet"/>
      </w:pPr>
      <w:r>
        <w:rPr>
          <w:b/>
        </w:rPr>
        <w:t xml:space="preserve">Trust and procurement: </w:t>
      </w:r>
      <w:r>
        <w:t>PE firms will not pipe portfolio financials through a general-purpose assistant without auditability, tenancy guarantees and a counterparty built for their compliance posture — and the founder sits inside the buyer's world.</w:t>
      </w:r>
    </w:p>
    <w:p>
      <w:r>
        <w:rPr>
          <w:b/>
          <w:sz w:val="26"/>
        </w:rPr>
        <w:t>Where the product is today</w:t>
      </w:r>
    </w:p>
    <w:p>
      <w:pPr>
        <w:pStyle w:val="ListBullet"/>
      </w:pPr>
      <w:r>
        <w:t>Working end-to-end engine: real sponsor templates onboard, real data packs fill them — including a production-grade PE flash collection template with thousands of classified cells.</w:t>
      </w:r>
    </w:p>
    <w:p>
      <w:pPr>
        <w:pStyle w:val="ListBullet"/>
      </w:pPr>
      <w:r>
        <w:t>Template understanding + a durable 'Template Contract': the system's read of every input, reviewable by the user, with corrections remembered per template.</w:t>
      </w:r>
    </w:p>
    <w:p>
      <w:pPr>
        <w:pStyle w:val="ListBullet"/>
      </w:pPr>
      <w:r>
        <w:t>Fill engine with deterministic verification, source attribution on every number, and one-tap review questions whose answers persist and improve every future run.</w:t>
      </w:r>
    </w:p>
    <w:p>
      <w:pPr>
        <w:pStyle w:val="ListBullet"/>
      </w:pPr>
      <w:r>
        <w:t>Excel add-in: users open their data in Excel, pick a template from a task pane, and receive the filled workbook — live today in development.</w:t>
      </w:r>
    </w:p>
    <w:p>
      <w:pPr>
        <w:pStyle w:val="ListBullet"/>
      </w:pPr>
      <w:r>
        <w:t>Evaluation infrastructure: owner-labelled ground-truth workbooks scored cell by cell — accuracy is measured, not asserted.</w:t>
      </w:r>
    </w:p>
    <w:p>
      <w:pPr>
        <w:pStyle w:val="ListBullet"/>
      </w:pPr>
      <w:r>
        <w:t>Full LLM observability (LangSmith), spend caps per run, and a 350+ test suite.</w:t>
      </w:r>
    </w:p>
    <w:p>
      <w:r>
        <w:rPr>
          <w:b/>
          <w:sz w:val="26"/>
        </w:rPr>
        <w:t>The engagement, for candidates</w:t>
      </w:r>
    </w:p>
    <w:p>
      <w:r>
        <w:t>Tempo is hiring an interim founding engineer for an initial three months (detail in the accompanying JD): production deployment, multi-tenancy, the queue/worker architecture for long runs, CI-gated evals, and first sponsor pilots — working daily with the founder, with the possibility of extending or converting to a permanent founding role. The candidate joins at the moment the platform goes from working system to product in customers' hands, in a category with proven multi-billion-dollar outcomes and a founder who sits inside the buyer.</w:t>
      </w:r>
    </w:p>
    <w:p/>
    <w:p>
      <w:r>
        <w:rPr>
          <w:color w:val="6B6660"/>
          <w:sz w:val="17"/>
        </w:rPr>
        <w:t>Sources</w:t>
      </w:r>
    </w:p>
    <w:p>
      <w:r>
        <w:rPr>
          <w:color w:val="6B6660"/>
          <w:sz w:val="17"/>
        </w:rPr>
        <w:t>¹ McKinsey Global Private Markets Report 2026 (~33,000 PE portfolio companies as of March 2026; 52% of buyout-backed inventory held &gt;4 years).</w:t>
      </w:r>
    </w:p>
    <w:p>
      <w:r>
        <w:rPr>
          <w:color w:val="6B6660"/>
          <w:sz w:val="17"/>
        </w:rPr>
        <w:t>² ILPA Reporting Template v2.0 and Performance Template, released January 2025, effective for qualifying funds from Q1 2026 (ilpa.org).</w:t>
      </w:r>
    </w:p>
    <w:p>
      <w:r>
        <w:rPr>
          <w:color w:val="6B6660"/>
          <w:sz w:val="17"/>
        </w:rPr>
        <w:t>³ Portfolio-monitoring landscape: iLEVEL/S&amp;P Global, Chronograph, Allvue, Cobalt, 73 Strings, Standard Metrics, Canoe (vendor materials and market guides, 2026).</w:t>
      </w:r>
    </w:p>
    <w:p>
      <w:r>
        <w:rPr>
          <w:color w:val="6B6660"/>
          <w:sz w:val="17"/>
        </w:rPr>
        <w:t>⁴ Asset Servicing Times (global PE fund asset values, 2025); Moonfare PE market size (AUM forecast to ~$12tn by 2029).</w:t>
      </w:r>
    </w:p>
    <w:p>
      <w:r>
        <w:rPr>
          <w:color w:val="6B6660"/>
          <w:sz w:val="17"/>
        </w:rPr>
        <w:t>⁵ CNBC, March 2026 (Harvey $200M raise at $11bn); TechCrunch, April 2026 (Legora at $5.6bn); PYMNTS 2026 (Harvey revenue &gt;$350M annualised reports).</w:t>
      </w:r>
    </w:p>
    <w:p>
      <w:r>
        <w:rPr>
          <w:color w:val="6B6660"/>
          <w:sz w:val="17"/>
        </w:rPr>
        <w:t>⁶ Morningstar/WealthManagement.com (evergreen AUM $534.6bn end-2025, +25%; &gt;$1tn projected by 2028–29); MSCI and IQ-EQ (evergreen structures and $4.1tn 2030 projection); With Intelligence (top-5 listed managers: $1.5tn perpetual capital, ~40% of AUM).</w:t>
      </w:r>
    </w:p>
    <w:p>
      <w:r>
        <w:rPr>
          <w:color w:val="6B6660"/>
          <w:sz w:val="17"/>
        </w:rPr>
        <w:t>⁷ Tracxn/BusinessWire (73 Strings $55M Series B, Feb 2025, Goldman-led; Blackstone/Fidelity Series A); Canoe Intelligence Series C (Goldman Sachs Growth Equity, 3x step-up); Modus/Oak HC-FT (Arch $52M, $250bn+ platform assets).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