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R3 observed outcome ablation</w:t>
      </w:r>
    </w:p>
    <w:p>
      <w:pPr>
        <w:pStyle w:val="Subtitle"/>
      </w:pPr>
      <w:r>
        <w:t>Scientific report   3 October 2026</w:t>
      </w:r>
    </w:p>
    <w:p>
      <w:r>
        <w:rPr>
          <w:b/>
        </w:rPr>
        <w:t>Centered signed teaching retained the demonstrated gain within the preregistered five percentage point tolerance for the causal old teaching effect.</w:t>
      </w:r>
      <w:r>
        <w:t xml:space="preserve"> This supports removing learned prediction p from private teaching in the observed exact cue-to-outcome retention assay.</w:t>
      </w:r>
    </w:p>
    <w:p>
      <w:r>
        <w:t>The estimated R3 advantage over centered teaching was 1.4648 percentage points (pp), with a nominal simultaneous 95% confidence interval of [-0.6104, 3.5401] pp. Its upper bound was below 5 pp, and all required retention and acquisition gates passed. A strictly positive contribution of learned p was not established; the interval does not prove equality or zero contribution.</w:t>
      </w:r>
    </w:p>
    <w:p>
      <w:r>
        <w:t>Independent audit accepted all 192 science receipts across the fixed 64 matched worlds, with zero missing receipts and zero missing worlds. Every primary estimate, interval and decision was independently reproduced.</w:t>
      </w:r>
    </w:p>
    <w:p>
      <w:pPr>
        <w:pStyle w:val="Heading1"/>
      </w:pPr>
      <w:r>
        <w:t>Experimental design</w:t>
      </w:r>
    </w:p>
    <w:p>
      <w:r>
        <w:t>The assay compared three private teaching rules. R3 uses the learned shared prediction p minus the observed one-hot outcome y. R_center substitutes the uniform prediction of one quarter for p. Both set the native update coefficient c to zero. R0_signed is the original-gain reference, with c equal to one and signed teaching equal to one minus y. The native signed update, four independent Full151 stores in each bank, sensory routes and readout scales remained fixed.</w:t>
      </w:r>
    </w:p>
    <w:p>
      <w:r>
        <w:t>Each independent world assigned balanced arbitrary outcomes from ASCII 0123 to 16 old and 16 new twelve-byte cues. Each cue appeared 12 times in shuffled order. The learner predicted before the actual outcome byte arrived and formed y only after observing that byte. It received no hidden mapping, evaluator target, world number or task identifier. Record timing and the outcome alphabet were fixed environmental assumptions.</w:t>
      </w:r>
    </w:p>
    <w:p>
      <w:r>
        <w:t>The old block contained 192 teaching events, followed by 86,400 seconds without teaching. The 192-event new block and a second 86,400-second interval followed. Final probes scored all 16 old and all 16 new cues. The operative output always combined the scaled shared and private readouts.</w:t>
      </w:r>
    </w:p>
    <w:p>
      <w:pPr>
        <w:pStyle w:val="Heading1"/>
      </w:pPr>
      <w:r>
        <w:t>Causal effects and the unit of inference</w:t>
      </w:r>
    </w:p>
    <w:p>
      <w:r>
        <w:t>Within each arm and world, three identically initialized branches received identical bytes and times. W wrote all events; N_old had value writes externally clamped during old teaching; N_new had them clamped during new teaching. Sensory and nonplastic histories continued in every branch. These evaluator interventions did not supply a learner routing signal.</w:t>
      </w:r>
    </w:p>
    <w:p>
      <w:r>
        <w:t>O denotes final old accuracy in W minus final old accuracy in N_old. A denotes final new accuracy in W minus final new accuracy in N_new. These are causal teaching effects under the specified write intervention. Raw W accuracy is a different quantity. Worlds were the independent units; cues, repetitions and branches were not extra replicates.</w:t>
      </w:r>
    </w:p>
    <w:p>
      <w:pPr>
        <w:pStyle w:val="Heading1"/>
        <w:pageBreakBefore/>
      </w:pPr>
      <w:r>
        <w:t>Primary results and preregistered decisions</w:t>
      </w:r>
    </w:p>
    <w:p>
      <w:pPr>
        <w:pStyle w:val="Caption"/>
      </w:pPr>
      <w:r>
        <w:t>Table 1. All seven primary contrasts, in percentage points. Decisions used unrounded values.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11"/>
        <w:gridCol w:w="1440"/>
        <w:gridCol w:w="3629"/>
      </w:tblGrid>
      <w:tr>
        <w:trPr>
          <w:cantSplit/>
          <w:tblHeader/>
        </w:trPr>
        <w:tc>
          <w:tcPr>
            <w:tcW w:type="dxa" w:w="5011"/>
            <w:vAlign w:val="center"/>
            <w:shd w:fill="333F48"/>
            <w:tcMar>
              <w:top w:w="95" w:type="dxa"/>
              <w:bottom w:w="95" w:type="dxa"/>
              <w:left w:w="105" w:type="dxa"/>
              <w:right w:w="105" w:type="dxa"/>
            </w:tcMar>
          </w:tcPr>
          <w:p>
            <w:pPr>
              <w:spacing w:after="0" w:line="252" w:lineRule="auto"/>
              <w:jc w:val="left"/>
            </w:pPr>
            <w:r>
              <w:rPr>
                <w:rFonts w:ascii="Liberation Sans" w:hAnsi="Liberation Sans"/>
                <w:b/>
                <w:color w:val="FFFFFF"/>
                <w:sz w:val="20"/>
              </w:rPr>
              <w:t>Contrast</w:t>
            </w:r>
          </w:p>
        </w:tc>
        <w:tc>
          <w:tcPr>
            <w:tcW w:type="dxa" w:w="1440"/>
            <w:vAlign w:val="center"/>
            <w:shd w:fill="333F48"/>
            <w:tcMar>
              <w:top w:w="95" w:type="dxa"/>
              <w:bottom w:w="95" w:type="dxa"/>
              <w:left w:w="105" w:type="dxa"/>
              <w:right w:w="105" w:type="dxa"/>
            </w:tcMar>
          </w:tcPr>
          <w:p>
            <w:pPr>
              <w:spacing w:after="0" w:line="252" w:lineRule="auto"/>
              <w:jc w:val="center"/>
            </w:pPr>
            <w:r>
              <w:rPr>
                <w:rFonts w:ascii="Liberation Sans" w:hAnsi="Liberation Sans"/>
                <w:b/>
                <w:color w:val="FFFFFF"/>
                <w:sz w:val="20"/>
              </w:rPr>
              <w:t>Estimate</w:t>
              <w:br/>
              <w:t>pp</w:t>
            </w:r>
          </w:p>
        </w:tc>
        <w:tc>
          <w:tcPr>
            <w:tcW w:type="dxa" w:w="3629"/>
            <w:vAlign w:val="center"/>
            <w:shd w:fill="333F48"/>
            <w:tcMar>
              <w:top w:w="95" w:type="dxa"/>
              <w:bottom w:w="95" w:type="dxa"/>
              <w:left w:w="105" w:type="dxa"/>
              <w:right w:w="105" w:type="dxa"/>
            </w:tcMar>
          </w:tcPr>
          <w:p>
            <w:pPr>
              <w:spacing w:after="0" w:line="252" w:lineRule="auto"/>
              <w:jc w:val="center"/>
            </w:pPr>
            <w:r>
              <w:rPr>
                <w:rFonts w:ascii="Liberation Sans" w:hAnsi="Liberation Sans"/>
                <w:b/>
                <w:color w:val="FFFFFF"/>
                <w:sz w:val="20"/>
              </w:rPr>
              <w:t>Nominal simultaneous</w:t>
              <w:br/>
              <w:t>95% interval in pp</w:t>
            </w:r>
          </w:p>
        </w:tc>
      </w:tr>
      <w:tr>
        <w:trPr>
          <w:cantSplit/>
        </w:trPr>
        <w:tc>
          <w:tcPr>
            <w:tcW w:type="dxa" w:w="5011"/>
            <w:vAlign w:val="center"/>
            <w:shd w:fill="F4F5F6"/>
            <w:tcMar>
              <w:top w:w="95" w:type="dxa"/>
              <w:bottom w:w="95" w:type="dxa"/>
              <w:left w:w="105" w:type="dxa"/>
              <w:right w:w="105" w:type="dxa"/>
            </w:tcMar>
          </w:tcPr>
          <w:p>
            <w:pPr>
              <w:spacing w:after="0" w:line="252" w:lineRule="auto"/>
              <w:jc w:val="left"/>
            </w:pPr>
            <w:r>
              <w:rPr>
                <w:rFonts w:ascii="Liberation Sans" w:hAnsi="Liberation Sans"/>
                <w:b w:val="0"/>
                <w:color w:val="000000"/>
                <w:sz w:val="20"/>
              </w:rPr>
              <w:t>D  R3 minus centered old effect</w:t>
            </w:r>
          </w:p>
        </w:tc>
        <w:tc>
          <w:tcPr>
            <w:tcW w:type="dxa" w:w="1440"/>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1.4648</w:t>
            </w:r>
          </w:p>
        </w:tc>
        <w:tc>
          <w:tcPr>
            <w:tcW w:type="dxa" w:w="3629"/>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[-0.6104, 3.5401]</w:t>
            </w:r>
          </w:p>
        </w:tc>
      </w:tr>
      <w:tr>
        <w:trPr>
          <w:cantSplit/>
        </w:trPr>
        <w:tc>
          <w:tcPr>
            <w:tcW w:type="dxa" w:w="5011"/>
            <w:vAlign w:val="center"/>
            <w:shd w:fill="FFFFFF"/>
            <w:tcMar>
              <w:top w:w="95" w:type="dxa"/>
              <w:bottom w:w="95" w:type="dxa"/>
              <w:left w:w="105" w:type="dxa"/>
              <w:right w:w="105" w:type="dxa"/>
            </w:tcMar>
          </w:tcPr>
          <w:p>
            <w:pPr>
              <w:spacing w:after="0" w:line="252" w:lineRule="auto"/>
              <w:jc w:val="left"/>
            </w:pPr>
            <w:r>
              <w:rPr>
                <w:rFonts w:ascii="Liberation Sans" w:hAnsi="Liberation Sans"/>
                <w:b w:val="0"/>
                <w:color w:val="000000"/>
                <w:sz w:val="20"/>
              </w:rPr>
              <w:t>G  R3 minus reference old effect</w:t>
            </w:r>
          </w:p>
        </w:tc>
        <w:tc>
          <w:tcPr>
            <w:tcW w:type="dxa" w:w="1440"/>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10.9375</w:t>
            </w:r>
          </w:p>
        </w:tc>
        <w:tc>
          <w:tcPr>
            <w:tcW w:type="dxa" w:w="3629"/>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[7.3479, 14.5271]</w:t>
            </w:r>
          </w:p>
        </w:tc>
      </w:tr>
      <w:tr>
        <w:trPr>
          <w:cantSplit/>
        </w:trPr>
        <w:tc>
          <w:tcPr>
            <w:tcW w:type="dxa" w:w="5011"/>
            <w:vAlign w:val="center"/>
            <w:shd w:fill="F4F5F6"/>
            <w:tcMar>
              <w:top w:w="95" w:type="dxa"/>
              <w:bottom w:w="95" w:type="dxa"/>
              <w:left w:w="105" w:type="dxa"/>
              <w:right w:w="105" w:type="dxa"/>
            </w:tcMar>
          </w:tcPr>
          <w:p>
            <w:pPr>
              <w:spacing w:after="0" w:line="252" w:lineRule="auto"/>
              <w:jc w:val="left"/>
            </w:pPr>
            <w:r>
              <w:rPr>
                <w:rFonts w:ascii="Liberation Sans" w:hAnsi="Liberation Sans"/>
                <w:b w:val="0"/>
                <w:color w:val="000000"/>
                <w:sz w:val="20"/>
              </w:rPr>
              <w:t>H  Centered minus reference old effect</w:t>
            </w:r>
          </w:p>
        </w:tc>
        <w:tc>
          <w:tcPr>
            <w:tcW w:type="dxa" w:w="1440"/>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9.4727</w:t>
            </w:r>
          </w:p>
        </w:tc>
        <w:tc>
          <w:tcPr>
            <w:tcW w:type="dxa" w:w="3629"/>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[6.6284, 12.3169]</w:t>
            </w:r>
          </w:p>
        </w:tc>
      </w:tr>
      <w:tr>
        <w:trPr>
          <w:cantSplit/>
        </w:trPr>
        <w:tc>
          <w:tcPr>
            <w:tcW w:type="dxa" w:w="5011"/>
            <w:vAlign w:val="center"/>
            <w:shd w:fill="FFFFFF"/>
            <w:tcMar>
              <w:top w:w="95" w:type="dxa"/>
              <w:bottom w:w="95" w:type="dxa"/>
              <w:left w:w="105" w:type="dxa"/>
              <w:right w:w="105" w:type="dxa"/>
            </w:tcMar>
          </w:tcPr>
          <w:p>
            <w:pPr>
              <w:spacing w:after="0" w:line="252" w:lineRule="auto"/>
              <w:jc w:val="left"/>
            </w:pPr>
            <w:r>
              <w:rPr>
                <w:rFonts w:ascii="Liberation Sans" w:hAnsi="Liberation Sans"/>
                <w:b w:val="0"/>
                <w:color w:val="000000"/>
                <w:sz w:val="20"/>
              </w:rPr>
              <w:t>O_R3  R3 old teaching effect</w:t>
            </w:r>
          </w:p>
        </w:tc>
        <w:tc>
          <w:tcPr>
            <w:tcW w:type="dxa" w:w="1440"/>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74.0234</w:t>
            </w:r>
          </w:p>
        </w:tc>
        <w:tc>
          <w:tcPr>
            <w:tcW w:type="dxa" w:w="3629"/>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[70.9215, 77.1254]</w:t>
            </w:r>
          </w:p>
        </w:tc>
      </w:tr>
      <w:tr>
        <w:trPr>
          <w:cantSplit/>
        </w:trPr>
        <w:tc>
          <w:tcPr>
            <w:tcW w:type="dxa" w:w="5011"/>
            <w:vAlign w:val="center"/>
            <w:shd w:fill="F4F5F6"/>
            <w:tcMar>
              <w:top w:w="95" w:type="dxa"/>
              <w:bottom w:w="95" w:type="dxa"/>
              <w:left w:w="105" w:type="dxa"/>
              <w:right w:w="105" w:type="dxa"/>
            </w:tcMar>
          </w:tcPr>
          <w:p>
            <w:pPr>
              <w:spacing w:after="0" w:line="252" w:lineRule="auto"/>
              <w:jc w:val="left"/>
            </w:pPr>
            <w:r>
              <w:rPr>
                <w:rFonts w:ascii="Liberation Sans" w:hAnsi="Liberation Sans"/>
                <w:b w:val="0"/>
                <w:color w:val="000000"/>
                <w:sz w:val="20"/>
              </w:rPr>
              <w:t>O_center  Centered old teaching effect</w:t>
            </w:r>
          </w:p>
        </w:tc>
        <w:tc>
          <w:tcPr>
            <w:tcW w:type="dxa" w:w="1440"/>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72.5586</w:t>
            </w:r>
          </w:p>
        </w:tc>
        <w:tc>
          <w:tcPr>
            <w:tcW w:type="dxa" w:w="3629"/>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[69.5201, 75.5971]</w:t>
            </w:r>
          </w:p>
        </w:tc>
      </w:tr>
      <w:tr>
        <w:trPr>
          <w:cantSplit/>
        </w:trPr>
        <w:tc>
          <w:tcPr>
            <w:tcW w:type="dxa" w:w="5011"/>
            <w:vAlign w:val="center"/>
            <w:shd w:fill="FFFFFF"/>
            <w:tcMar>
              <w:top w:w="95" w:type="dxa"/>
              <w:bottom w:w="95" w:type="dxa"/>
              <w:left w:w="105" w:type="dxa"/>
              <w:right w:w="105" w:type="dxa"/>
            </w:tcMar>
          </w:tcPr>
          <w:p>
            <w:pPr>
              <w:spacing w:after="0" w:line="252" w:lineRule="auto"/>
              <w:jc w:val="left"/>
            </w:pPr>
            <w:r>
              <w:rPr>
                <w:rFonts w:ascii="Liberation Sans" w:hAnsi="Liberation Sans"/>
                <w:b w:val="0"/>
                <w:color w:val="000000"/>
                <w:sz w:val="20"/>
              </w:rPr>
              <w:t>A_R3  R3 new acquisition effect</w:t>
            </w:r>
          </w:p>
        </w:tc>
        <w:tc>
          <w:tcPr>
            <w:tcW w:type="dxa" w:w="1440"/>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71.5820</w:t>
            </w:r>
          </w:p>
        </w:tc>
        <w:tc>
          <w:tcPr>
            <w:tcW w:type="dxa" w:w="3629"/>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[67.8506, 75.3135]</w:t>
            </w:r>
          </w:p>
        </w:tc>
      </w:tr>
      <w:tr>
        <w:trPr>
          <w:cantSplit/>
        </w:trPr>
        <w:tc>
          <w:tcPr>
            <w:tcW w:type="dxa" w:w="5011"/>
            <w:vAlign w:val="center"/>
            <w:shd w:fill="F4F5F6"/>
            <w:tcMar>
              <w:top w:w="95" w:type="dxa"/>
              <w:bottom w:w="95" w:type="dxa"/>
              <w:left w:w="105" w:type="dxa"/>
              <w:right w:w="105" w:type="dxa"/>
            </w:tcMar>
          </w:tcPr>
          <w:p>
            <w:pPr>
              <w:spacing w:after="0" w:line="252" w:lineRule="auto"/>
              <w:jc w:val="left"/>
            </w:pPr>
            <w:r>
              <w:rPr>
                <w:rFonts w:ascii="Liberation Sans" w:hAnsi="Liberation Sans"/>
                <w:b w:val="0"/>
                <w:color w:val="000000"/>
                <w:sz w:val="20"/>
              </w:rPr>
              <w:t>A_center  Centered new acquisition effect</w:t>
            </w:r>
          </w:p>
        </w:tc>
        <w:tc>
          <w:tcPr>
            <w:tcW w:type="dxa" w:w="1440"/>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69.7266</w:t>
            </w:r>
          </w:p>
        </w:tc>
        <w:tc>
          <w:tcPr>
            <w:tcW w:type="dxa" w:w="3629"/>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[65.8515, 73.6016]</w:t>
            </w:r>
          </w:p>
        </w:tc>
      </w:tr>
    </w:tbl>
    <w:p>
      <w:pPr>
        <w:spacing w:after="0" w:before="0" w:line="120" w:lineRule="auto"/>
      </w:pPr>
      <w:r>
        <w:rPr>
          <w:sz w:val="8"/>
        </w:rPr>
      </w:r>
    </w:p>
    <w:p>
      <w:pPr>
        <w:pStyle w:val="Heading1"/>
      </w:pPr>
      <w:r>
        <w:t>Frozen decision rules</w:t>
      </w:r>
    </w:p>
    <w:p>
      <w:r>
        <w:rPr>
          <w:b/>
        </w:rPr>
        <w:t>Directional gain replication passed.</w:t>
      </w:r>
      <w:r>
        <w:t xml:space="preserve"> Lower bounds for G, O_R3 and A_R3 were positive; both R3 raw W means exceeded 25% in this fixed sample. This is direction-only replication in the new assay, not replication of the historical 34.77 pp magnitude or a prespecified minimum useful gain.</w:t>
      </w:r>
    </w:p>
    <w:p>
      <w:r>
        <w:rPr>
          <w:b/>
        </w:rPr>
        <w:t>A positive learned p contribution was not established.</w:t>
      </w:r>
      <w:r>
        <w:t xml:space="preserve"> Replication passed, but the lower bound for D was −0.6104 pp, rather than positive. Small positive contributions remain compatible with the interval.</w:t>
      </w:r>
    </w:p>
    <w:p>
      <w:r>
        <w:rPr>
          <w:b/>
        </w:rPr>
        <w:t>Centered teaching retained the gain within tolerance.</w:t>
      </w:r>
      <w:r>
        <w:t xml:space="preserve"> Replication passed and the upper bound for D was 3.5401 pp, strictly below 5 pp. Lower bounds for H, O_center and A_center were positive; both centered raw W means exceeded 25% in this fixed sample. Thus both arms passed their positive acquisition gates.</w:t>
      </w:r>
    </w:p>
    <w:p>
      <w:r>
        <w:t>Both mechanistic decisions could have passed for a precise small positive D. They were evaluated independently; non-significance alone was not treated as equivalence.</w:t>
      </w:r>
    </w:p>
    <w:p>
      <w:pPr>
        <w:pStyle w:val="Heading1"/>
      </w:pPr>
      <w:r>
        <w:t>Tolerance and interval interpretation</w:t>
      </w:r>
    </w:p>
    <w:p>
      <w:r>
        <w:t>The 5 pp tolerance was fixed before outcomes for loss in the causal old teaching effect. It is less than one cue out of sixteen per world and one sixth of the historical gain. It is a scientific tolerance, not power-derived, and does not bound raw W accuracy loss or new acquisition loss.</w:t>
      </w:r>
    </w:p>
    <w:p>
      <w:r>
        <w:t>The fixed sample was 64 worlds, without outcome-based stopping or added worlds. Paired world-level Student-t intervals used 63 degrees of freedom and Bonferroni adjustment over seven contrasts: 99.285714% individual confidence and nominal 95% simultaneous coverage. Coverage is approximate for bounded discrete outcomes. All observed variances were nonzero. The preregistered zero-variance Hoeffding fallback was unused and does not make the hybrid uniformly finite-sample exact.</w:t>
      </w:r>
    </w:p>
    <w:p>
      <w:pPr>
        <w:pStyle w:val="Heading1"/>
        <w:pageBreakBefore/>
      </w:pPr>
      <w:r>
        <w:t>Absolute accuracy and limits of the finding</w:t>
      </w:r>
    </w:p>
    <w:p>
      <w:pPr>
        <w:pStyle w:val="Caption"/>
      </w:pPr>
      <w:r>
        <w:t>Table 2. Final W accuracy across 64 worlds, in percent correct. Combined was the sole frozen operative readout; bank-specific scores describe the same saved probe vectors.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131"/>
        <w:gridCol w:w="1037"/>
        <w:gridCol w:w="2304"/>
        <w:gridCol w:w="2304"/>
        <w:gridCol w:w="2304"/>
      </w:tblGrid>
      <w:tr>
        <w:trPr>
          <w:cantSplit/>
          <w:tblHeader/>
        </w:trPr>
        <w:tc>
          <w:tcPr>
            <w:tcW w:type="dxa" w:w="2131"/>
            <w:vAlign w:val="center"/>
            <w:shd w:fill="333F48"/>
            <w:tcMar>
              <w:top w:w="95" w:type="dxa"/>
              <w:bottom w:w="95" w:type="dxa"/>
              <w:left w:w="105" w:type="dxa"/>
              <w:right w:w="105" w:type="dxa"/>
            </w:tcMar>
          </w:tcPr>
          <w:p>
            <w:pPr>
              <w:spacing w:after="0" w:line="252" w:lineRule="auto"/>
              <w:jc w:val="left"/>
            </w:pPr>
            <w:r>
              <w:rPr>
                <w:rFonts w:ascii="Liberation Sans" w:hAnsi="Liberation Sans"/>
                <w:b/>
                <w:color w:val="FFFFFF"/>
                <w:sz w:val="20"/>
              </w:rPr>
              <w:t>Arm</w:t>
            </w:r>
          </w:p>
        </w:tc>
        <w:tc>
          <w:tcPr>
            <w:tcW w:type="dxa" w:w="1037"/>
            <w:vAlign w:val="center"/>
            <w:shd w:fill="333F48"/>
            <w:tcMar>
              <w:top w:w="95" w:type="dxa"/>
              <w:bottom w:w="95" w:type="dxa"/>
              <w:left w:w="105" w:type="dxa"/>
              <w:right w:w="105" w:type="dxa"/>
            </w:tcMar>
          </w:tcPr>
          <w:p>
            <w:pPr>
              <w:spacing w:after="0" w:line="252" w:lineRule="auto"/>
              <w:jc w:val="center"/>
            </w:pPr>
            <w:r>
              <w:rPr>
                <w:rFonts w:ascii="Liberation Sans" w:hAnsi="Liberation Sans"/>
                <w:b/>
                <w:color w:val="FFFFFF"/>
                <w:sz w:val="20"/>
              </w:rPr>
              <w:t>Cues</w:t>
            </w:r>
          </w:p>
        </w:tc>
        <w:tc>
          <w:tcPr>
            <w:tcW w:type="dxa" w:w="2304"/>
            <w:vAlign w:val="center"/>
            <w:shd w:fill="333F48"/>
            <w:tcMar>
              <w:top w:w="95" w:type="dxa"/>
              <w:bottom w:w="95" w:type="dxa"/>
              <w:left w:w="105" w:type="dxa"/>
              <w:right w:w="105" w:type="dxa"/>
            </w:tcMar>
          </w:tcPr>
          <w:p>
            <w:pPr>
              <w:spacing w:after="0" w:line="252" w:lineRule="auto"/>
              <w:jc w:val="center"/>
            </w:pPr>
            <w:r>
              <w:rPr>
                <w:rFonts w:ascii="Liberation Sans" w:hAnsi="Liberation Sans"/>
                <w:b/>
                <w:color w:val="FFFFFF"/>
                <w:sz w:val="20"/>
              </w:rPr>
              <w:t>Combined</w:t>
              <w:br/>
              <w:t>%</w:t>
            </w:r>
          </w:p>
        </w:tc>
        <w:tc>
          <w:tcPr>
            <w:tcW w:type="dxa" w:w="2304"/>
            <w:vAlign w:val="center"/>
            <w:shd w:fill="333F48"/>
            <w:tcMar>
              <w:top w:w="95" w:type="dxa"/>
              <w:bottom w:w="95" w:type="dxa"/>
              <w:left w:w="105" w:type="dxa"/>
              <w:right w:w="105" w:type="dxa"/>
            </w:tcMar>
          </w:tcPr>
          <w:p>
            <w:pPr>
              <w:spacing w:after="0" w:line="252" w:lineRule="auto"/>
              <w:jc w:val="center"/>
            </w:pPr>
            <w:r>
              <w:rPr>
                <w:rFonts w:ascii="Liberation Sans" w:hAnsi="Liberation Sans"/>
                <w:b/>
                <w:color w:val="FFFFFF"/>
                <w:sz w:val="20"/>
              </w:rPr>
              <w:t>Shared only</w:t>
              <w:br/>
              <w:t>%</w:t>
            </w:r>
          </w:p>
        </w:tc>
        <w:tc>
          <w:tcPr>
            <w:tcW w:type="dxa" w:w="2304"/>
            <w:vAlign w:val="center"/>
            <w:shd w:fill="333F48"/>
            <w:tcMar>
              <w:top w:w="95" w:type="dxa"/>
              <w:bottom w:w="95" w:type="dxa"/>
              <w:left w:w="105" w:type="dxa"/>
              <w:right w:w="105" w:type="dxa"/>
            </w:tcMar>
          </w:tcPr>
          <w:p>
            <w:pPr>
              <w:spacing w:after="0" w:line="252" w:lineRule="auto"/>
              <w:jc w:val="center"/>
            </w:pPr>
            <w:r>
              <w:rPr>
                <w:rFonts w:ascii="Liberation Sans" w:hAnsi="Liberation Sans"/>
                <w:b/>
                <w:color w:val="FFFFFF"/>
                <w:sz w:val="20"/>
              </w:rPr>
              <w:t>Private only</w:t>
              <w:br/>
              <w:t>%</w:t>
            </w:r>
          </w:p>
        </w:tc>
      </w:tr>
      <w:tr>
        <w:trPr>
          <w:cantSplit/>
        </w:trPr>
        <w:tc>
          <w:tcPr>
            <w:tcW w:type="dxa" w:w="2131"/>
            <w:vAlign w:val="center"/>
            <w:shd w:fill="F4F5F6"/>
            <w:tcMar>
              <w:top w:w="95" w:type="dxa"/>
              <w:bottom w:w="95" w:type="dxa"/>
              <w:left w:w="105" w:type="dxa"/>
              <w:right w:w="105" w:type="dxa"/>
            </w:tcMar>
          </w:tcPr>
          <w:p>
            <w:pPr>
              <w:spacing w:after="0" w:line="252" w:lineRule="auto"/>
              <w:jc w:val="left"/>
            </w:pPr>
            <w:r>
              <w:rPr>
                <w:rFonts w:ascii="Liberation Sans" w:hAnsi="Liberation Sans"/>
                <w:b w:val="0"/>
                <w:color w:val="000000"/>
                <w:sz w:val="20"/>
              </w:rPr>
              <w:t>R3</w:t>
            </w:r>
          </w:p>
        </w:tc>
        <w:tc>
          <w:tcPr>
            <w:tcW w:type="dxa" w:w="1037"/>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Old</w:t>
            </w:r>
          </w:p>
        </w:tc>
        <w:tc>
          <w:tcPr>
            <w:tcW w:type="dxa" w:w="2304"/>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97.3633</w:t>
            </w:r>
          </w:p>
        </w:tc>
        <w:tc>
          <w:tcPr>
            <w:tcW w:type="dxa" w:w="2304"/>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43.3594</w:t>
            </w:r>
          </w:p>
        </w:tc>
        <w:tc>
          <w:tcPr>
            <w:tcW w:type="dxa" w:w="2304"/>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98.8281</w:t>
            </w:r>
          </w:p>
        </w:tc>
      </w:tr>
      <w:tr>
        <w:trPr>
          <w:cantSplit/>
        </w:trPr>
        <w:tc>
          <w:tcPr>
            <w:tcW w:type="dxa" w:w="2131"/>
            <w:vAlign w:val="center"/>
            <w:shd w:fill="FFFFFF"/>
            <w:tcMar>
              <w:top w:w="95" w:type="dxa"/>
              <w:bottom w:w="95" w:type="dxa"/>
              <w:left w:w="105" w:type="dxa"/>
              <w:right w:w="105" w:type="dxa"/>
            </w:tcMar>
          </w:tcPr>
          <w:p>
            <w:pPr>
              <w:spacing w:after="0" w:line="252" w:lineRule="auto"/>
              <w:jc w:val="left"/>
            </w:pPr>
            <w:r>
              <w:rPr>
                <w:rFonts w:ascii="Liberation Sans" w:hAnsi="Liberation Sans"/>
                <w:b w:val="0"/>
                <w:color w:val="000000"/>
                <w:sz w:val="20"/>
              </w:rPr>
              <w:t>R3</w:t>
            </w:r>
          </w:p>
        </w:tc>
        <w:tc>
          <w:tcPr>
            <w:tcW w:type="dxa" w:w="1037"/>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New</w:t>
            </w:r>
          </w:p>
        </w:tc>
        <w:tc>
          <w:tcPr>
            <w:tcW w:type="dxa" w:w="2304"/>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97.4609</w:t>
            </w:r>
          </w:p>
        </w:tc>
        <w:tc>
          <w:tcPr>
            <w:tcW w:type="dxa" w:w="2304"/>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38.0859</w:t>
            </w:r>
          </w:p>
        </w:tc>
        <w:tc>
          <w:tcPr>
            <w:tcW w:type="dxa" w:w="2304"/>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99.8047</w:t>
            </w:r>
          </w:p>
        </w:tc>
      </w:tr>
      <w:tr>
        <w:trPr>
          <w:cantSplit/>
        </w:trPr>
        <w:tc>
          <w:tcPr>
            <w:tcW w:type="dxa" w:w="2131"/>
            <w:vAlign w:val="center"/>
            <w:shd w:fill="F4F5F6"/>
            <w:tcMar>
              <w:top w:w="95" w:type="dxa"/>
              <w:bottom w:w="95" w:type="dxa"/>
              <w:left w:w="105" w:type="dxa"/>
              <w:right w:w="105" w:type="dxa"/>
            </w:tcMar>
          </w:tcPr>
          <w:p>
            <w:pPr>
              <w:spacing w:after="0" w:line="252" w:lineRule="auto"/>
              <w:jc w:val="left"/>
            </w:pPr>
            <w:r>
              <w:rPr>
                <w:rFonts w:ascii="Liberation Sans" w:hAnsi="Liberation Sans"/>
                <w:b w:val="0"/>
                <w:color w:val="000000"/>
                <w:sz w:val="20"/>
              </w:rPr>
              <w:t>R_center</w:t>
            </w:r>
          </w:p>
        </w:tc>
        <w:tc>
          <w:tcPr>
            <w:tcW w:type="dxa" w:w="1037"/>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Old</w:t>
            </w:r>
          </w:p>
        </w:tc>
        <w:tc>
          <w:tcPr>
            <w:tcW w:type="dxa" w:w="2304"/>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96.0938</w:t>
            </w:r>
          </w:p>
        </w:tc>
        <w:tc>
          <w:tcPr>
            <w:tcW w:type="dxa" w:w="2304"/>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43.3594</w:t>
            </w:r>
          </w:p>
        </w:tc>
        <w:tc>
          <w:tcPr>
            <w:tcW w:type="dxa" w:w="2304"/>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99.5117</w:t>
            </w:r>
          </w:p>
        </w:tc>
      </w:tr>
      <w:tr>
        <w:trPr>
          <w:cantSplit/>
        </w:trPr>
        <w:tc>
          <w:tcPr>
            <w:tcW w:type="dxa" w:w="2131"/>
            <w:vAlign w:val="center"/>
            <w:shd w:fill="FFFFFF"/>
            <w:tcMar>
              <w:top w:w="95" w:type="dxa"/>
              <w:bottom w:w="95" w:type="dxa"/>
              <w:left w:w="105" w:type="dxa"/>
              <w:right w:w="105" w:type="dxa"/>
            </w:tcMar>
          </w:tcPr>
          <w:p>
            <w:pPr>
              <w:spacing w:after="0" w:line="252" w:lineRule="auto"/>
              <w:jc w:val="left"/>
            </w:pPr>
            <w:r>
              <w:rPr>
                <w:rFonts w:ascii="Liberation Sans" w:hAnsi="Liberation Sans"/>
                <w:b w:val="0"/>
                <w:color w:val="000000"/>
                <w:sz w:val="20"/>
              </w:rPr>
              <w:t>R_center</w:t>
            </w:r>
          </w:p>
        </w:tc>
        <w:tc>
          <w:tcPr>
            <w:tcW w:type="dxa" w:w="1037"/>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New</w:t>
            </w:r>
          </w:p>
        </w:tc>
        <w:tc>
          <w:tcPr>
            <w:tcW w:type="dxa" w:w="2304"/>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94.8242</w:t>
            </w:r>
          </w:p>
        </w:tc>
        <w:tc>
          <w:tcPr>
            <w:tcW w:type="dxa" w:w="2304"/>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38.0859</w:t>
            </w:r>
          </w:p>
        </w:tc>
        <w:tc>
          <w:tcPr>
            <w:tcW w:type="dxa" w:w="2304"/>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100.0000</w:t>
            </w:r>
          </w:p>
        </w:tc>
      </w:tr>
      <w:tr>
        <w:trPr>
          <w:cantSplit/>
        </w:trPr>
        <w:tc>
          <w:tcPr>
            <w:tcW w:type="dxa" w:w="2131"/>
            <w:vAlign w:val="center"/>
            <w:shd w:fill="F4F5F6"/>
            <w:tcMar>
              <w:top w:w="95" w:type="dxa"/>
              <w:bottom w:w="95" w:type="dxa"/>
              <w:left w:w="105" w:type="dxa"/>
              <w:right w:w="105" w:type="dxa"/>
            </w:tcMar>
          </w:tcPr>
          <w:p>
            <w:pPr>
              <w:spacing w:after="0" w:line="252" w:lineRule="auto"/>
              <w:jc w:val="left"/>
            </w:pPr>
            <w:r>
              <w:rPr>
                <w:rFonts w:ascii="Liberation Sans" w:hAnsi="Liberation Sans"/>
                <w:b w:val="0"/>
                <w:color w:val="000000"/>
                <w:sz w:val="20"/>
              </w:rPr>
              <w:t>R0_signed</w:t>
            </w:r>
          </w:p>
        </w:tc>
        <w:tc>
          <w:tcPr>
            <w:tcW w:type="dxa" w:w="1037"/>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Old</w:t>
            </w:r>
          </w:p>
        </w:tc>
        <w:tc>
          <w:tcPr>
            <w:tcW w:type="dxa" w:w="2304"/>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87.3047</w:t>
            </w:r>
          </w:p>
        </w:tc>
        <w:tc>
          <w:tcPr>
            <w:tcW w:type="dxa" w:w="2304"/>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43.3594</w:t>
            </w:r>
          </w:p>
        </w:tc>
        <w:tc>
          <w:tcPr>
            <w:tcW w:type="dxa" w:w="2304"/>
            <w:vAlign w:val="center"/>
            <w:shd w:fill="F4F5F6"/>
            <w:tcMar>
              <w:top w:w="95" w:type="dxa"/>
              <w:bottom w:w="95" w:type="dxa"/>
              <w:left w:w="105" w:type="dxa"/>
              <w:right w:w="105" w:type="dxa"/>
            </w:tcMar>
          </w:tcPr>
          <w:p>
            <w:pPr>
              <w:spacing w:after="0" w:line="252" w:lineRule="auto"/>
              <w:jc w:val="center"/>
            </w:pPr>
            <w:r>
              <w:rPr>
                <w:rFonts w:ascii="Liberation Sans" w:hAnsi="Liberation Sans"/>
                <w:b w:val="0"/>
                <w:color w:val="000000"/>
                <w:sz w:val="20"/>
              </w:rPr>
              <w:t>99.2188</w:t>
            </w:r>
          </w:p>
        </w:tc>
      </w:tr>
      <w:tr>
        <w:trPr>
          <w:cantSplit/>
        </w:trPr>
        <w:tc>
          <w:tcPr>
            <w:tcW w:type="dxa" w:w="2131"/>
            <w:vAlign w:val="center"/>
            <w:shd w:fill="FFFFFF"/>
            <w:tcMar>
              <w:top w:w="95" w:type="dxa"/>
              <w:bottom w:w="95" w:type="dxa"/>
              <w:left w:w="105" w:type="dxa"/>
              <w:right w:w="105" w:type="dxa"/>
            </w:tcMar>
          </w:tcPr>
          <w:p>
            <w:pPr>
              <w:spacing w:after="0" w:line="252" w:lineRule="auto"/>
              <w:jc w:val="left"/>
            </w:pPr>
            <w:r>
              <w:rPr>
                <w:rFonts w:ascii="Liberation Sans" w:hAnsi="Liberation Sans"/>
                <w:b w:val="0"/>
                <w:color w:val="000000"/>
                <w:sz w:val="20"/>
              </w:rPr>
              <w:t>R0_signed</w:t>
            </w:r>
          </w:p>
        </w:tc>
        <w:tc>
          <w:tcPr>
            <w:tcW w:type="dxa" w:w="1037"/>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New</w:t>
            </w:r>
          </w:p>
        </w:tc>
        <w:tc>
          <w:tcPr>
            <w:tcW w:type="dxa" w:w="2304"/>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87.1094</w:t>
            </w:r>
          </w:p>
        </w:tc>
        <w:tc>
          <w:tcPr>
            <w:tcW w:type="dxa" w:w="2304"/>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38.0859</w:t>
            </w:r>
          </w:p>
        </w:tc>
        <w:tc>
          <w:tcPr>
            <w:tcW w:type="dxa" w:w="2304"/>
            <w:vAlign w:val="center"/>
            <w:shd w:fill="FFFFFF"/>
            <w:tcMar>
              <w:top w:w="95" w:type="dxa"/>
              <w:bottom w:w="95" w:type="dxa"/>
              <w:left w:w="105" w:type="dxa"/>
              <w:right w:w="105" w:type="dxa"/>
            </w:tcMar>
          </w:tcPr>
          <w:p>
            <w:pPr>
              <w:spacing w:after="0" w:line="252" w:lineRule="auto"/>
              <w:jc w:val="center"/>
            </w:pPr>
            <w:r>
              <w:rPr>
                <w:rFonts w:ascii="Liberation Sans" w:hAnsi="Liberation Sans"/>
                <w:b w:val="0"/>
                <w:color w:val="000000"/>
                <w:sz w:val="20"/>
              </w:rPr>
              <w:t>99.8047</w:t>
            </w:r>
          </w:p>
        </w:tc>
      </w:tr>
    </w:tbl>
    <w:p>
      <w:pPr>
        <w:spacing w:after="0" w:before="0" w:line="120" w:lineRule="auto"/>
      </w:pPr>
      <w:r>
        <w:rPr>
          <w:sz w:val="8"/>
        </w:rPr>
      </w:r>
    </w:p>
    <w:p>
      <w:r>
        <w:t>R3 and centered old and new raw W means were above 25% in this fixed sample. These were descriptive necessary guards, with no separate inferential above-chance test. Raw W accuracy must not be substituted for the causal effects in Table 1.</w:t>
      </w:r>
    </w:p>
    <w:p>
      <w:pPr>
        <w:pStyle w:val="Heading1"/>
      </w:pPr>
      <w:r>
        <w:t>Supported simplification</w:t>
      </w:r>
    </w:p>
    <w:p>
      <w:r>
        <w:t>The supported deletion is learned-p dependence from private teaching within the five-point causal old-effect tolerance. The shared bank remains active in learning and combined readout. High private-only descriptive scores do not establish that the shared bank can be removed or that capacity or runtime can be reduced.</w:t>
      </w:r>
    </w:p>
    <w:p>
      <w:pPr>
        <w:pStyle w:val="Heading1"/>
      </w:pPr>
      <w:r>
        <w:t>Scientific scope</w:t>
      </w:r>
    </w:p>
    <w:p>
      <w:r>
        <w:t>The evidence concerns observed exact cue-to-outcome retention under the fixed alphabet, cues, timing, repetitions, architecture and readout. Generalization beyond this assay, relation learning, E3 performance and autonomous learning remain untested. External write clamps are experimental interventions, not autonomous identification of important records.</w:t>
      </w:r>
    </w:p>
    <w:p>
      <w:r>
        <w:t>The result does not establish zero value for learned p elsewhere. Historical results supply context, not extra matched observations. The ablation ends under its frozen plan without additional worlds, tolerance changes or readout selection.</w:t>
      </w:r>
    </w:p>
    <w:p>
      <w:pPr>
        <w:pStyle w:val="Heading1"/>
      </w:pPr>
      <w:r>
        <w:t>Evidence and audit</w:t>
      </w:r>
    </w:p>
    <w:p>
      <w:r>
        <w:t>The independent review authenticated all 192 receipts and 64 cross-arm comparisons, rescored saved readout vectors, and reproduced the primary results without the primary contrast, interval or decision functions. Unit and pilot runs were excluded. The primary analysis and successful independent audit passed their measured resource limits.</w:t>
      </w:r>
    </w:p>
    <w:p>
      <w:r>
        <w:t>Three interrupted science attempts were retained and exactly retried; their unobserved resource peaks remain unknown. An aborted metadata-only audit also lacked final resource measurements. These operational limits do not represent missing scientific outcomes in the accepted cohort.</w:t>
      </w:r>
    </w:p>
    <w:p>
      <w:pPr>
        <w:pStyle w:val="Caption"/>
      </w:pPr>
      <w:r>
        <w:t>Sources: outcome-blind preregistration; locked primary analysis and resource attestation; independent final review and acceptance dated 3 October 2026. Full-precision values remain in the accepted analysis; display rounding does not alter decisions.</w:t>
      </w:r>
    </w:p>
    <w:sectPr w:rsidR="00FC693F" w:rsidRPr="0006063C" w:rsidSect="00034616">
      <w:footerReference w:type="default" r:id="rId9"/>
      <w:pgSz w:w="12240" w:h="15840"/>
      <w:pgMar w:top="979" w:right="1080" w:bottom="979" w:left="1080"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sz w:val="16"/>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Liberation Sans" w:hAnsi="Liberation San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Liberation Sans" w:hAnsi="Liberation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Liberation Sans" w:hAnsi="Liberation Sans"/>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Liberation Sans" w:hAnsi="Liberation Sans"/>
      <w:b w:val="0"/>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Liberation Sans" w:hAnsi="Liberation Sans"/>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R3 observed outcome ablation</dc:title>
  <dc:subject>Scientific report of the preregistered learned prediction deletion ablation</dc:subject>
  <dc:creator/>
  <cp:keywords/>
  <dc:description/>
  <cp:lastModifiedBy/>
  <cp:revision>1</cp:revision>
  <dcterms:created xsi:type="dcterms:W3CDTF">2013-12-23T23:15:00Z</dcterms:created>
  <dcterms:modified xsi:type="dcterms:W3CDTF">2013-12-23T23:15:00Z</dcterms:modified>
  <cp:category/>
</cp:coreProperties>
</file>