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4A1A" w14:textId="77777777" w:rsidR="00A74ABA" w:rsidRDefault="00000000">
      <w:pPr>
        <w:pStyle w:val="Heading1"/>
      </w:pPr>
      <w:r>
        <w:t>1. How to Use This Document</w:t>
      </w:r>
    </w:p>
    <w:p w14:paraId="091EC39B" w14:textId="77777777" w:rsidR="00A74ABA" w:rsidRDefault="00000000">
      <w:r>
        <w:t xml:space="preserve">This document collects published and authoritative sources that back the central claim of the research: that a </w:t>
      </w:r>
      <w:proofErr w:type="gramStart"/>
      <w:r>
        <w:t>clinically-aware</w:t>
      </w:r>
      <w:proofErr w:type="gramEnd"/>
      <w:r>
        <w:t>, context-driven alert score (CAS) prioritises IoMT security alerts more accurately than CVSS-equivalent, context-blind scoring. Sources are grouped by exactly which part of the argument they support, so each can be slotted directly into the corresponding presentation slide or thesis section. A quick-reference table (Section 8) and a ready-to-paste IEEE-format reference list (Section 9) are provided at the end.</w:t>
      </w:r>
    </w:p>
    <w:p w14:paraId="7C42C408" w14:textId="77777777" w:rsidR="00A74ABA" w:rsidRDefault="00000000">
      <w:pPr>
        <w:pStyle w:val="Heading1"/>
      </w:pPr>
      <w:r>
        <w:t>2. CVSS Is Context-Blind — General Critique</w:t>
      </w:r>
    </w:p>
    <w:p w14:paraId="286765FD" w14:textId="77777777" w:rsidR="00A74ABA" w:rsidRDefault="00000000">
      <w:r>
        <w:rPr>
          <w:i/>
          <w:color w:val="555555"/>
        </w:rPr>
        <w:t>These two peer-reviewed sources establish, independently of your own findings, that CVSS's context-blindness is a documented, measurable problem in the security literature — not just an assertion CAS is making about itself.</w:t>
      </w:r>
    </w:p>
    <w:p w14:paraId="21C050C9" w14:textId="77777777" w:rsidR="00A74ABA" w:rsidRDefault="00000000">
      <w:pPr>
        <w:pStyle w:val="Heading2"/>
      </w:pPr>
      <w:r>
        <w:t>2.1  Howland (2023) — CVSS: Ubiquitous and Broken</w:t>
      </w:r>
    </w:p>
    <w:p w14:paraId="69E7F97F" w14:textId="77777777" w:rsidR="00A74ABA" w:rsidRDefault="00000000">
      <w:r>
        <w:t xml:space="preserve">H. Howland, “CVSS: Ubiquitous and Broken,” </w:t>
      </w:r>
      <w:r>
        <w:rPr>
          <w:i/>
        </w:rPr>
        <w:t>Digital Threats: Research and Practice</w:t>
      </w:r>
      <w:r>
        <w:t>, vol. 4, no. 1, Art. 1, Mar. 2023.</w:t>
      </w:r>
    </w:p>
    <w:p w14:paraId="035B6C1C" w14:textId="77777777" w:rsidR="00A74ABA" w:rsidRDefault="00000000">
      <w:hyperlink r:id="rId6">
        <w:r>
          <w:rPr>
            <w:color w:val="1F335A"/>
            <w:sz w:val="20"/>
            <w:u w:val="single"/>
          </w:rPr>
          <w:t>https://dl.acm.org/doi/10.1145/3491263</w:t>
        </w:r>
      </w:hyperlink>
    </w:p>
    <w:p w14:paraId="654F2205" w14:textId="77777777" w:rsidR="00A74ABA" w:rsidRDefault="00000000">
      <w:r>
        <w:rPr>
          <w:b/>
          <w:sz w:val="20"/>
        </w:rPr>
        <w:t xml:space="preserve">Peer-reviewed: </w:t>
      </w:r>
      <w:r>
        <w:rPr>
          <w:sz w:val="20"/>
        </w:rPr>
        <w:t>Yes — ACM journal</w:t>
      </w:r>
    </w:p>
    <w:p w14:paraId="27D90E55" w14:textId="77777777" w:rsidR="00A74ABA" w:rsidRDefault="00000000">
      <w:r>
        <w:rPr>
          <w:b/>
        </w:rPr>
        <w:t xml:space="preserve">Why this backs your thesis: </w:t>
      </w:r>
      <w:r>
        <w:t>Peer-reviewed critique of CVSS's internal inconsistency and inability to reflect real-world risk. Use this to open the argument: “even the security community's own literature documents CVSS as broken.”</w:t>
      </w:r>
    </w:p>
    <w:p w14:paraId="4D0797AA" w14:textId="77777777" w:rsidR="00A74ABA" w:rsidRDefault="00000000">
      <w:pPr>
        <w:pStyle w:val="Heading2"/>
      </w:pPr>
      <w:r>
        <w:t>2.2  Coutinho et al. (2024) — How Context Impacts Vulnerability Severity</w:t>
      </w:r>
    </w:p>
    <w:p w14:paraId="375224DB" w14:textId="77777777" w:rsidR="00A74ABA" w:rsidRDefault="00000000">
      <w:r>
        <w:t xml:space="preserve">L. S. Coutinho et al., “How Context Impacts Vulnerability Severity: An Analysis of Product-Specific CVSS Scores,” </w:t>
      </w:r>
      <w:r>
        <w:rPr>
          <w:i/>
        </w:rPr>
        <w:t>Proc. 13th Latin-American Symp. Dependable and Secure Computing (LADC 2024)</w:t>
      </w:r>
      <w:r>
        <w:t>, Recife, Brazil, 2024.</w:t>
      </w:r>
    </w:p>
    <w:p w14:paraId="655CC610" w14:textId="77777777" w:rsidR="00A74ABA" w:rsidRDefault="00000000">
      <w:hyperlink r:id="rId7">
        <w:r>
          <w:rPr>
            <w:color w:val="1F335A"/>
            <w:sz w:val="20"/>
            <w:u w:val="single"/>
          </w:rPr>
          <w:t>https://dl.acm.org/doi/10.1145/3697090.3697109</w:t>
        </w:r>
      </w:hyperlink>
    </w:p>
    <w:p w14:paraId="33275238" w14:textId="77777777" w:rsidR="00A74ABA" w:rsidRDefault="00000000">
      <w:r>
        <w:rPr>
          <w:b/>
          <w:sz w:val="20"/>
        </w:rPr>
        <w:t xml:space="preserve">Peer-reviewed: </w:t>
      </w:r>
      <w:r>
        <w:rPr>
          <w:sz w:val="20"/>
        </w:rPr>
        <w:t>Yes — ACM conference</w:t>
      </w:r>
    </w:p>
    <w:p w14:paraId="0689F23C" w14:textId="77777777" w:rsidR="00A74ABA" w:rsidRDefault="00000000">
      <w:r>
        <w:rPr>
          <w:b/>
        </w:rPr>
        <w:t xml:space="preserve">Why this backs your thesis: </w:t>
      </w:r>
      <w:r>
        <w:t>Empirically shows asset context and exposure cause rank defects in CVSS even for vulnerabilities with identical technical scores — directly supports why your Alert Ranking Accuracy (ARA) metric is the right way to expose CVSS's blind spot.</w:t>
      </w:r>
    </w:p>
    <w:p w14:paraId="751E8AA3" w14:textId="77777777" w:rsidR="00A74ABA" w:rsidRDefault="00000000">
      <w:pPr>
        <w:pStyle w:val="Heading1"/>
      </w:pPr>
      <w:r>
        <w:t>3. Context-Aware Alternatives to CVSS Already Exist</w:t>
      </w:r>
    </w:p>
    <w:p w14:paraId="2FB97AD0" w14:textId="77777777" w:rsidR="00A74ABA" w:rsidRDefault="00000000">
      <w:r>
        <w:rPr>
          <w:i/>
          <w:color w:val="555555"/>
        </w:rPr>
        <w:t>Precedent that building a weighted, context-driven alternative to raw CVSS is an accepted research direction with an existing, officially-adopted example.</w:t>
      </w:r>
    </w:p>
    <w:p w14:paraId="79A9511B" w14:textId="77777777" w:rsidR="00A74ABA" w:rsidRDefault="00000000">
      <w:pPr>
        <w:pStyle w:val="Heading2"/>
      </w:pPr>
      <w:r>
        <w:t>3.1  Spring et al. (2021) — Stakeholder-Specific Vulnerability Categorization (SSVC)</w:t>
      </w:r>
    </w:p>
    <w:p w14:paraId="6F9966F3" w14:textId="77777777" w:rsidR="00A74ABA" w:rsidRDefault="00000000">
      <w:r>
        <w:t xml:space="preserve">J. M. Spring, A. Householder, E. Hatleback, A. Manion, M. Oliver, V. Sarvapalli, L. Tyzenhaus, and C. Yarbrough, “Prioritizing Vulnerability Response: A Stakeholder-Specific Vulnerability Categorization,” </w:t>
      </w:r>
      <w:r>
        <w:rPr>
          <w:i/>
        </w:rPr>
        <w:t>Version 2.0</w:t>
      </w:r>
      <w:r>
        <w:t>, Carnegie Mellon Univ. Software Engineering Institute, 2021. Adopted operationally by CISA.</w:t>
      </w:r>
    </w:p>
    <w:p w14:paraId="6B0F7914" w14:textId="77777777" w:rsidR="00A74ABA" w:rsidRDefault="00000000">
      <w:hyperlink r:id="rId8">
        <w:r>
          <w:rPr>
            <w:color w:val="1F335A"/>
            <w:sz w:val="20"/>
            <w:u w:val="single"/>
          </w:rPr>
          <w:t>https://www.cisa.gov/stakeholder-specific-vulnerability-categorization-ssvc</w:t>
        </w:r>
      </w:hyperlink>
    </w:p>
    <w:p w14:paraId="4BA4D765" w14:textId="77777777" w:rsidR="00A74ABA" w:rsidRDefault="00000000">
      <w:r>
        <w:rPr>
          <w:b/>
          <w:sz w:val="20"/>
        </w:rPr>
        <w:t xml:space="preserve">Peer-reviewed: </w:t>
      </w:r>
      <w:r>
        <w:rPr>
          <w:sz w:val="20"/>
        </w:rPr>
        <w:t>Guidance — CMU SEI / CISA (not peer-reviewed, but the official U.S. federal standard)</w:t>
      </w:r>
    </w:p>
    <w:p w14:paraId="0DE82386" w14:textId="77777777" w:rsidR="00A74ABA" w:rsidRDefault="00000000">
      <w:r>
        <w:rPr>
          <w:b/>
        </w:rPr>
        <w:lastRenderedPageBreak/>
        <w:t xml:space="preserve">Why this backs your thesis: </w:t>
      </w:r>
      <w:r>
        <w:t>SSVC adds a “public well-being / safety impact” decision point on top of technical severity, and is officially used by CISA. This is your strongest precedent that a weighted, context-driven alternative to raw CVSS is an accepted, legitimate research direction — not a novelty for its own sake.</w:t>
      </w:r>
    </w:p>
    <w:p w14:paraId="1DA77963" w14:textId="77777777" w:rsidR="00A74ABA" w:rsidRDefault="00000000">
      <w:pPr>
        <w:pStyle w:val="Heading1"/>
      </w:pPr>
      <w:r>
        <w:t>4. Medical-Device-Specific Evidence: CVSS Fails Clinical Context</w:t>
      </w:r>
    </w:p>
    <w:p w14:paraId="3CE89D29" w14:textId="77777777" w:rsidR="00A74ABA" w:rsidRDefault="00000000">
      <w:r>
        <w:rPr>
          <w:i/>
          <w:color w:val="555555"/>
        </w:rPr>
        <w:t>The core cluster for your presentation. These sources show, from FDA/MITRE/AAMI/peer-reviewed-journal authority, that CVSS was never designed for clinical environments and that multiple independent efforts (regulatory, academic, and industry) have already tried to patch this gap — which is exactly the gap CAS is built to close.</w:t>
      </w:r>
    </w:p>
    <w:p w14:paraId="42E211B3" w14:textId="77777777" w:rsidR="00A74ABA" w:rsidRDefault="00000000">
      <w:pPr>
        <w:pStyle w:val="Heading2"/>
      </w:pPr>
      <w:r>
        <w:t>4.1  MITRE Corporation (2019, FDA-qualified 2020) — Rubric for Applying CVSS to Medical Devices</w:t>
      </w:r>
    </w:p>
    <w:p w14:paraId="75CDD7C4" w14:textId="77777777" w:rsidR="00A74ABA" w:rsidRDefault="00000000">
      <w:r>
        <w:t xml:space="preserve">MITRE Corporation, prepared under contract to the U.S. Food and Drug Administration, “Rubric for Applying CVSS to Medical Devices,” </w:t>
      </w:r>
      <w:r>
        <w:rPr>
          <w:i/>
        </w:rPr>
        <w:t>2019</w:t>
      </w:r>
      <w:r>
        <w:t xml:space="preserve"> (qualified by FDA as a Medical Device Development Tool, Oct. 2020).</w:t>
      </w:r>
    </w:p>
    <w:p w14:paraId="74DB6EF0" w14:textId="77777777" w:rsidR="00A74ABA" w:rsidRDefault="00000000">
      <w:hyperlink r:id="rId9">
        <w:r>
          <w:rPr>
            <w:color w:val="1F335A"/>
            <w:sz w:val="20"/>
            <w:u w:val="single"/>
          </w:rPr>
          <w:t>https://www.mitre.org/news-insights/publication/rubric-applying-cvss-medical-devices</w:t>
        </w:r>
      </w:hyperlink>
    </w:p>
    <w:p w14:paraId="213BED64" w14:textId="77777777" w:rsidR="00A74ABA" w:rsidRDefault="00000000">
      <w:r>
        <w:rPr>
          <w:b/>
          <w:sz w:val="20"/>
        </w:rPr>
        <w:t xml:space="preserve">Peer-reviewed: </w:t>
      </w:r>
      <w:r>
        <w:rPr>
          <w:sz w:val="20"/>
        </w:rPr>
        <w:t>Authoritative — FDA-qualified tool (not peer-reviewed academic literature)</w:t>
      </w:r>
    </w:p>
    <w:p w14:paraId="130EE714" w14:textId="77777777" w:rsidR="00A74ABA" w:rsidRDefault="00000000">
      <w:r>
        <w:rPr>
          <w:b/>
        </w:rPr>
        <w:t xml:space="preserve">Why this backs your thesis: </w:t>
      </w:r>
      <w:r>
        <w:t>Directly citable quote: CVSS “was developed for enterprise information technology systems and does not adequately reflect the clinical environment and potential patient safety impacts.” This is the single best line to put on your motivation slide — it is FDA-endorsed, not just your own claim.</w:t>
      </w:r>
    </w:p>
    <w:p w14:paraId="3DC3A443" w14:textId="77777777" w:rsidR="00A74ABA" w:rsidRDefault="00000000">
      <w:pPr>
        <w:pStyle w:val="Heading2"/>
      </w:pPr>
      <w:r>
        <w:t>4.2  Bracciale et al. (2025) — Quantifying Medical Device Cybersecurity Risk with CVSS-BTE</w:t>
      </w:r>
    </w:p>
    <w:p w14:paraId="15816872" w14:textId="77777777" w:rsidR="00A74ABA" w:rsidRDefault="00000000">
      <w:r>
        <w:t xml:space="preserve">L. Bracciale, S. Riozzi, G. Panico, E. Raso, G. Bianchi, and P. Loreti, “Quantifying medical device cybersecurity risk with CVSS-BTE,” </w:t>
      </w:r>
      <w:r>
        <w:rPr>
          <w:i/>
        </w:rPr>
        <w:t>Scientific Reports</w:t>
      </w:r>
      <w:r>
        <w:t>, vol. 15, 2025.</w:t>
      </w:r>
    </w:p>
    <w:p w14:paraId="2090A98B" w14:textId="77777777" w:rsidR="00A74ABA" w:rsidRDefault="00000000">
      <w:hyperlink r:id="rId10">
        <w:r>
          <w:rPr>
            <w:color w:val="1F335A"/>
            <w:sz w:val="20"/>
            <w:u w:val="single"/>
          </w:rPr>
          <w:t>https://www.nature.com/articles/s41598-025-26898-x</w:t>
        </w:r>
      </w:hyperlink>
    </w:p>
    <w:p w14:paraId="68C501F3" w14:textId="77777777" w:rsidR="00A74ABA" w:rsidRDefault="00000000">
      <w:r>
        <w:rPr>
          <w:b/>
          <w:sz w:val="20"/>
        </w:rPr>
        <w:t xml:space="preserve">Peer-reviewed: </w:t>
      </w:r>
      <w:r>
        <w:rPr>
          <w:sz w:val="20"/>
        </w:rPr>
        <w:t>Yes — Springer Nature journal</w:t>
      </w:r>
    </w:p>
    <w:p w14:paraId="68E8B9EA" w14:textId="77777777" w:rsidR="00A74ABA" w:rsidRDefault="00000000">
      <w:r>
        <w:rPr>
          <w:b/>
        </w:rPr>
        <w:t xml:space="preserve">Why this backs your thesis: </w:t>
      </w:r>
      <w:r>
        <w:t>The closest published prior art to CAS: adds a Safety environmental metric to CVSS v4.0 for medical devices and finds 36.8% of vulnerabilities shift priority tier once clinical/environmental context is added. Position CAS explicitly against this: they bolt a safety parameter onto CVSS's existing structure; CAS instead replaces the whole formula with a purpose-built, AHP-weighted, clinically-aware model.</w:t>
      </w:r>
    </w:p>
    <w:p w14:paraId="433142C3" w14:textId="77777777" w:rsidR="00A74ABA" w:rsidRDefault="00000000">
      <w:pPr>
        <w:pStyle w:val="Heading2"/>
      </w:pPr>
      <w:r>
        <w:t>4.3  U.S. FDA (2023) — Premarket Cybersecurity Guidance</w:t>
      </w:r>
    </w:p>
    <w:p w14:paraId="53DB1D3D" w14:textId="77777777" w:rsidR="00A74ABA" w:rsidRDefault="00000000">
      <w:r>
        <w:t xml:space="preserve">U.S. Food and Drug Administration, “Cybersecurity in Medical Devices: Quality System Considerations and Content of Premarket Submissions,” </w:t>
      </w:r>
      <w:r>
        <w:rPr>
          <w:i/>
        </w:rPr>
        <w:t>Guidance for Industry and FDA Staff</w:t>
      </w:r>
      <w:r>
        <w:t>, Sept. 27, 2023.</w:t>
      </w:r>
    </w:p>
    <w:p w14:paraId="17FD844E" w14:textId="77777777" w:rsidR="00A74ABA" w:rsidRDefault="00000000">
      <w:hyperlink r:id="rId11">
        <w:r>
          <w:rPr>
            <w:color w:val="1F335A"/>
            <w:sz w:val="20"/>
            <w:u w:val="single"/>
          </w:rPr>
          <w:t>https://www.federalregister.gov/documents/2023/09/27/2023-20955</w:t>
        </w:r>
      </w:hyperlink>
    </w:p>
    <w:p w14:paraId="73C96153" w14:textId="77777777" w:rsidR="00A74ABA" w:rsidRDefault="00000000">
      <w:r>
        <w:rPr>
          <w:b/>
          <w:sz w:val="20"/>
        </w:rPr>
        <w:t xml:space="preserve">Peer-reviewed: </w:t>
      </w:r>
      <w:r>
        <w:rPr>
          <w:sz w:val="20"/>
        </w:rPr>
        <w:t>Regulatory guidance — U.S. federal agency (not peer-reviewed)</w:t>
      </w:r>
    </w:p>
    <w:p w14:paraId="0FA7A7D0" w14:textId="77777777" w:rsidR="00A74ABA" w:rsidRDefault="00000000">
      <w:r>
        <w:rPr>
          <w:b/>
        </w:rPr>
        <w:t xml:space="preserve">Why this backs your thesis: </w:t>
      </w:r>
      <w:r>
        <w:t>Official regulatory text requiring that risk analysis weigh patient-safety impact separately from data-security impact — regulatory backing for treating clinical criticality (CAS's CC dimension) as a first-class, independently-weighted factor rather than folding it into a generic “impact” score the way CVSS does.</w:t>
      </w:r>
    </w:p>
    <w:p w14:paraId="2DDD9760" w14:textId="77777777" w:rsidR="00A74ABA" w:rsidRDefault="00000000">
      <w:pPr>
        <w:pStyle w:val="Heading2"/>
      </w:pPr>
      <w:r>
        <w:t>4.4  AAMI TIR57:2016/(R)2023 — Principles for Medical Device Security — Risk Management</w:t>
      </w:r>
    </w:p>
    <w:p w14:paraId="29051C49" w14:textId="77777777" w:rsidR="00A74ABA" w:rsidRDefault="00000000">
      <w:r>
        <w:t xml:space="preserve">Association for the Advancement of Medical Instrumentation, </w:t>
      </w:r>
      <w:r>
        <w:rPr>
          <w:i/>
        </w:rPr>
        <w:t>AAMI TIR57:2016/(R)2023 — Principles for Medical Device Security — Risk Management</w:t>
      </w:r>
      <w:r>
        <w:t>, 2023.</w:t>
      </w:r>
    </w:p>
    <w:p w14:paraId="441AF143" w14:textId="77777777" w:rsidR="00A74ABA" w:rsidRDefault="00000000">
      <w:hyperlink r:id="rId12">
        <w:r>
          <w:rPr>
            <w:color w:val="1F335A"/>
            <w:sz w:val="20"/>
            <w:u w:val="single"/>
          </w:rPr>
          <w:t>https://webstore.ansi.org/standards/aami/aamitir572016r2023</w:t>
        </w:r>
      </w:hyperlink>
    </w:p>
    <w:p w14:paraId="58A681E3" w14:textId="77777777" w:rsidR="00A74ABA" w:rsidRDefault="00000000">
      <w:r>
        <w:rPr>
          <w:b/>
          <w:sz w:val="20"/>
        </w:rPr>
        <w:t xml:space="preserve">Peer-reviewed: </w:t>
      </w:r>
      <w:r>
        <w:rPr>
          <w:sz w:val="20"/>
        </w:rPr>
        <w:t>Industry standard — AAMI Technical Information Report</w:t>
      </w:r>
    </w:p>
    <w:p w14:paraId="06D1C68C" w14:textId="77777777" w:rsidR="00A74ABA" w:rsidRDefault="00000000">
      <w:r>
        <w:rPr>
          <w:b/>
        </w:rPr>
        <w:t xml:space="preserve">Why this backs your thesis: </w:t>
      </w:r>
      <w:r>
        <w:t>Formally ties security-risk scoring to the ISO 14971 clinical safety-risk process. Supports treating patient-dependency/device-criticality as inseparable from safety risk, not a bolt-on — the same premise underlying CAS's CC and TC dimensions.</w:t>
      </w:r>
    </w:p>
    <w:p w14:paraId="38BA9D9C" w14:textId="77777777" w:rsidR="00A74ABA" w:rsidRDefault="00000000">
      <w:pPr>
        <w:pStyle w:val="Heading2"/>
      </w:pPr>
      <w:r>
        <w:t>4.5  Stine, Rice, Dunlap &amp; Pecarina (2017) — A Cyber Risk Scoring System for Medical Devices</w:t>
      </w:r>
    </w:p>
    <w:p w14:paraId="6A3D3EB7" w14:textId="77777777" w:rsidR="00A74ABA" w:rsidRDefault="00000000">
      <w:r>
        <w:t xml:space="preserve">I. Stine, M. Rice, S. Dunlap, and J. Pecarina, “A cyber risk scoring system for medical devices,” </w:t>
      </w:r>
      <w:r>
        <w:rPr>
          <w:i/>
        </w:rPr>
        <w:t>International Journal of Critical Infrastructure Protection</w:t>
      </w:r>
      <w:r>
        <w:t>, vol. 19, pp. 32–46, 2017.</w:t>
      </w:r>
    </w:p>
    <w:p w14:paraId="4A9BD28A" w14:textId="77777777" w:rsidR="00A74ABA" w:rsidRDefault="00000000">
      <w:hyperlink r:id="rId13">
        <w:r>
          <w:rPr>
            <w:color w:val="1F335A"/>
            <w:sz w:val="20"/>
            <w:u w:val="single"/>
          </w:rPr>
          <w:t>https://doi.org/10.1016/j.ijcip.2017.04.001</w:t>
        </w:r>
      </w:hyperlink>
    </w:p>
    <w:p w14:paraId="56E8CCBA" w14:textId="77777777" w:rsidR="00A74ABA" w:rsidRDefault="00000000">
      <w:r>
        <w:rPr>
          <w:b/>
          <w:sz w:val="20"/>
        </w:rPr>
        <w:t xml:space="preserve">Peer-reviewed: </w:t>
      </w:r>
      <w:r>
        <w:rPr>
          <w:sz w:val="20"/>
        </w:rPr>
        <w:t>Yes — Elsevier journal</w:t>
      </w:r>
    </w:p>
    <w:p w14:paraId="3C02D82F" w14:textId="77777777" w:rsidR="00A74ABA" w:rsidRDefault="00000000">
      <w:r>
        <w:rPr>
          <w:b/>
        </w:rPr>
        <w:t xml:space="preserve">Why this backs your thesis: </w:t>
      </w:r>
      <w:r>
        <w:t>The closest direct comparator to CAS as a whole: a 0–10 medical-device risk score combining a clinician's worst-case patient-impact assessment with a STRIDE-based technical questionnaire. Use it to frame your literature gap precisely — Stine et al. rely on manual clinician judgement per device; CAS instead automates the criticality/context lookup (91-entry device-profile table) and drives it from live ML-classified network flows, at IoMT SOC scale.</w:t>
      </w:r>
    </w:p>
    <w:p w14:paraId="542C4A08" w14:textId="77777777" w:rsidR="00A74ABA" w:rsidRDefault="00000000">
      <w:pPr>
        <w:pStyle w:val="Heading2"/>
      </w:pPr>
      <w:r>
        <w:t>4.6  Edwards Lifesciences / Yusim — Healthcare Vulnerability Scoring System (HVSS)</w:t>
      </w:r>
    </w:p>
    <w:p w14:paraId="4220EF45" w14:textId="77777777" w:rsidR="00A74ABA" w:rsidRDefault="00000000">
      <w:r>
        <w:t xml:space="preserve">O. Yusim (Edwards Lifesciences), </w:t>
      </w:r>
      <w:r>
        <w:rPr>
          <w:i/>
        </w:rPr>
        <w:t>Healthcare Vulnerability Scoring System (HVSS) Calculator</w:t>
      </w:r>
      <w:r>
        <w:t xml:space="preserve"> — industry whitepaper and online tool.</w:t>
      </w:r>
    </w:p>
    <w:p w14:paraId="04880628" w14:textId="77777777" w:rsidR="00A74ABA" w:rsidRDefault="00000000">
      <w:hyperlink r:id="rId14">
        <w:r>
          <w:rPr>
            <w:color w:val="1F335A"/>
            <w:sz w:val="20"/>
            <w:u w:val="single"/>
          </w:rPr>
          <w:t>https://www.linkedin.com/pulse/healthcare-vulnerability-scoring-system-hvss-calculator-oleg-yusim-naa7c</w:t>
        </w:r>
      </w:hyperlink>
    </w:p>
    <w:p w14:paraId="7160E912" w14:textId="77777777" w:rsidR="00A74ABA" w:rsidRDefault="00000000">
      <w:r>
        <w:rPr>
          <w:b/>
          <w:sz w:val="20"/>
        </w:rPr>
        <w:t xml:space="preserve">Peer-reviewed: </w:t>
      </w:r>
      <w:r>
        <w:rPr>
          <w:sz w:val="20"/>
        </w:rPr>
        <w:t>No — industry/gray literature, cite with care</w:t>
      </w:r>
    </w:p>
    <w:p w14:paraId="2DDA4EC0" w14:textId="77777777" w:rsidR="00A74ABA" w:rsidRDefault="00000000">
      <w:r>
        <w:rPr>
          <w:b/>
        </w:rPr>
        <w:t xml:space="preserve">Why this backs your thesis: </w:t>
      </w:r>
      <w:r>
        <w:t>An industry-proposed CVSS v3.1 variant adding clinical-context metrics. Useful as corroborating evidence that industry has independently converged on the same gap CAS addresses, but flag it explicitly as non-peer-reviewed if an examiner asks — do not present it with the same weight as the journal sources above.</w:t>
      </w:r>
    </w:p>
    <w:p w14:paraId="2B0BF54A" w14:textId="77777777" w:rsidR="00A74ABA" w:rsidRDefault="00000000">
      <w:pPr>
        <w:pStyle w:val="Heading1"/>
      </w:pPr>
      <w:r>
        <w:t>5. Medical Device / IoMT Criticality Classification</w:t>
      </w:r>
    </w:p>
    <w:p w14:paraId="04CDF40C" w14:textId="77777777" w:rsidR="00A74ABA" w:rsidRDefault="00000000">
      <w:r>
        <w:rPr>
          <w:i/>
          <w:color w:val="555555"/>
        </w:rPr>
        <w:t>Supports treating device type and clinical role as a structured risk-classification dimension — backs CAS's Clinical Criticality (CC) component specifically.</w:t>
      </w:r>
    </w:p>
    <w:p w14:paraId="6C1833DE" w14:textId="77777777" w:rsidR="00A74ABA" w:rsidRDefault="00000000">
      <w:pPr>
        <w:pStyle w:val="Heading2"/>
      </w:pPr>
      <w:r>
        <w:t>5.1  Alsubaei, Abuhussein &amp; Shiva (2017) — Security and Privacy in the Internet of Medical Things</w:t>
      </w:r>
    </w:p>
    <w:p w14:paraId="778ABEBC" w14:textId="77777777" w:rsidR="00A74ABA" w:rsidRDefault="00000000">
      <w:r>
        <w:t xml:space="preserve">F. Alsubaei, A. Abuhussein, and S. Shiva, “Security and Privacy in the Internet of Medical Things: Taxonomy and Risk Assessment,” </w:t>
      </w:r>
      <w:r>
        <w:rPr>
          <w:i/>
        </w:rPr>
        <w:t>Proc. 2017 IEEE 42nd Conf. Local Computer Networks Workshops (LCN Workshops)</w:t>
      </w:r>
      <w:r>
        <w:t>, pp. 112–120, 2017.</w:t>
      </w:r>
    </w:p>
    <w:p w14:paraId="20C43280" w14:textId="77777777" w:rsidR="00A74ABA" w:rsidRDefault="00000000">
      <w:hyperlink r:id="rId15">
        <w:r>
          <w:rPr>
            <w:color w:val="1F335A"/>
            <w:sz w:val="20"/>
            <w:u w:val="single"/>
          </w:rPr>
          <w:t>https://ieeexplore.ieee.org/document/8110212</w:t>
        </w:r>
      </w:hyperlink>
    </w:p>
    <w:p w14:paraId="21D22A40" w14:textId="77777777" w:rsidR="00A74ABA" w:rsidRDefault="00000000">
      <w:r>
        <w:rPr>
          <w:b/>
          <w:sz w:val="20"/>
        </w:rPr>
        <w:t xml:space="preserve">Peer-reviewed: </w:t>
      </w:r>
      <w:r>
        <w:rPr>
          <w:sz w:val="20"/>
        </w:rPr>
        <w:t>Yes — IEEE conference</w:t>
      </w:r>
    </w:p>
    <w:p w14:paraId="16AB933F" w14:textId="77777777" w:rsidR="00A74ABA" w:rsidRDefault="00000000">
      <w:r>
        <w:rPr>
          <w:b/>
        </w:rPr>
        <w:t xml:space="preserve">Why this backs your thesis: </w:t>
      </w:r>
      <w:r>
        <w:t>An IoMT-specific device/risk taxonomy — supports treating device type and clinical role as a structured, classifiable risk dimension (as CAS's DEVICE_PROFILES table does), rather than an ad hoc label.</w:t>
      </w:r>
    </w:p>
    <w:p w14:paraId="4F3CA1FD" w14:textId="77777777" w:rsidR="00A74ABA" w:rsidRDefault="00000000">
      <w:pPr>
        <w:pStyle w:val="Heading1"/>
      </w:pPr>
      <w:r>
        <w:lastRenderedPageBreak/>
        <w:t>6. AHP-Based Multi-Criteria Weighting Precedent</w:t>
      </w:r>
    </w:p>
    <w:p w14:paraId="641F5966" w14:textId="77777777" w:rsidR="00A74ABA" w:rsidRDefault="00000000">
      <w:r>
        <w:rPr>
          <w:i/>
          <w:color w:val="555555"/>
        </w:rPr>
        <w:t>Supports the methodology used to derive CAS's own weight vector (0.30·CC + 0.25·TR + 0.25·TS + 0.10·AE + 0.10·TC).</w:t>
      </w:r>
    </w:p>
    <w:p w14:paraId="21B58CE0" w14:textId="77777777" w:rsidR="00A74ABA" w:rsidRDefault="00000000">
      <w:pPr>
        <w:pStyle w:val="Heading2"/>
      </w:pPr>
      <w:r>
        <w:t>6.1  Anuar, Papadaki, Furnell &amp; Clarke (2013) — Risk Index Model (RIM)</w:t>
      </w:r>
    </w:p>
    <w:p w14:paraId="4CEA39A7" w14:textId="77777777" w:rsidR="00A74ABA" w:rsidRDefault="00000000">
      <w:r>
        <w:t xml:space="preserve">N. B. Anuar, M. Papadaki, S. Furnell, and N. Clarke, “Incident prioritisation using analytic hierarchy process (AHP): Risk Index Model (RIM),” </w:t>
      </w:r>
      <w:r>
        <w:rPr>
          <w:i/>
        </w:rPr>
        <w:t>Security and Communication Networks</w:t>
      </w:r>
      <w:r>
        <w:t>, vol. 6, no. 9, pp. 1087–1116, 2013.</w:t>
      </w:r>
    </w:p>
    <w:p w14:paraId="50B2920F" w14:textId="77777777" w:rsidR="00A74ABA" w:rsidRDefault="00000000">
      <w:hyperlink r:id="rId16">
        <w:r>
          <w:rPr>
            <w:color w:val="1F335A"/>
            <w:sz w:val="20"/>
            <w:u w:val="single"/>
          </w:rPr>
          <w:t>https://onlinelibrary.wiley.com/doi/abs/10.1002/sec.673</w:t>
        </w:r>
      </w:hyperlink>
    </w:p>
    <w:p w14:paraId="6D9A33D8" w14:textId="77777777" w:rsidR="00A74ABA" w:rsidRDefault="00000000">
      <w:r>
        <w:rPr>
          <w:b/>
          <w:sz w:val="20"/>
        </w:rPr>
        <w:t xml:space="preserve">Peer-reviewed: </w:t>
      </w:r>
      <w:r>
        <w:rPr>
          <w:sz w:val="20"/>
        </w:rPr>
        <w:t>Yes — Wiley journal</w:t>
      </w:r>
    </w:p>
    <w:p w14:paraId="4FC3E2F9" w14:textId="77777777" w:rsidR="00A74ABA" w:rsidRDefault="00000000">
      <w:r>
        <w:rPr>
          <w:b/>
        </w:rPr>
        <w:t xml:space="preserve">Why this backs your thesis: </w:t>
      </w:r>
      <w:r>
        <w:t>Near-identical methodology to CAS's own weight derivation: uses AHP pairwise comparison to build a weighted multi-criteria incident risk index with asset criticality as a decision factor. Cite this directly alongside your AHP-justification chapter/appendix.</w:t>
      </w:r>
    </w:p>
    <w:p w14:paraId="28E74DE3" w14:textId="77777777" w:rsidR="00A74ABA" w:rsidRDefault="00000000">
      <w:pPr>
        <w:pStyle w:val="Heading1"/>
      </w:pPr>
      <w:r>
        <w:t>7. Alert Fatigue &amp; Alert-Ranking as the Correct Benchmark Metric</w:t>
      </w:r>
    </w:p>
    <w:p w14:paraId="4CA3D8BA" w14:textId="77777777" w:rsidR="00A74ABA" w:rsidRDefault="00000000">
      <w:r>
        <w:rPr>
          <w:i/>
          <w:color w:val="555555"/>
        </w:rPr>
        <w:t>Supports the choice of Alert Ranking Accuracy (ARA), Mean Time to Critical Alert Identification (MTCAI), and False Positive Rate / Alert Fatigue Reduction as the right way to operationalise “CAS is better than CVSS,” instead of plain classification accuracy.</w:t>
      </w:r>
    </w:p>
    <w:p w14:paraId="44BE3A8D" w14:textId="77777777" w:rsidR="00A74ABA" w:rsidRDefault="00000000">
      <w:pPr>
        <w:pStyle w:val="Heading2"/>
      </w:pPr>
      <w:r>
        <w:t>7.1  Jalalvand, Baruwal Chhetri, Nepal &amp; Paris (2024) — Alert Prioritisation in SOCs: A Systematic Survey</w:t>
      </w:r>
    </w:p>
    <w:p w14:paraId="50D90B0A" w14:textId="77777777" w:rsidR="00A74ABA" w:rsidRDefault="00000000">
      <w:r>
        <w:t xml:space="preserve">F. Jalalvand, M. Baruwal Chhetri, S. Nepal, and C. Paris, “Alert Prioritisation in Security Operations Centres: A Systematic Survey on Criteria and Methods,” </w:t>
      </w:r>
      <w:r>
        <w:rPr>
          <w:i/>
        </w:rPr>
        <w:t>ACM Computing Surveys</w:t>
      </w:r>
      <w:r>
        <w:t>, vol. 57, no. 2, Art. 42, Nov. 2024.</w:t>
      </w:r>
    </w:p>
    <w:p w14:paraId="318953FA" w14:textId="77777777" w:rsidR="00A74ABA" w:rsidRDefault="00000000">
      <w:hyperlink r:id="rId17">
        <w:r>
          <w:rPr>
            <w:color w:val="1F335A"/>
            <w:sz w:val="20"/>
            <w:u w:val="single"/>
          </w:rPr>
          <w:t>https://dl.acm.org/doi/10.1145/3695462</w:t>
        </w:r>
      </w:hyperlink>
    </w:p>
    <w:p w14:paraId="7C677363" w14:textId="77777777" w:rsidR="00A74ABA" w:rsidRDefault="00000000">
      <w:r>
        <w:rPr>
          <w:b/>
          <w:sz w:val="20"/>
        </w:rPr>
        <w:t xml:space="preserve">Peer-reviewed: </w:t>
      </w:r>
      <w:r>
        <w:rPr>
          <w:sz w:val="20"/>
        </w:rPr>
        <w:t>Yes — ACM journal (systematic survey of 89 papers)</w:t>
      </w:r>
    </w:p>
    <w:p w14:paraId="27C28771" w14:textId="77777777" w:rsidR="00A74ABA" w:rsidRDefault="00000000">
      <w:r>
        <w:rPr>
          <w:b/>
        </w:rPr>
        <w:t xml:space="preserve">Why this backs your thesis: </w:t>
      </w:r>
      <w:r>
        <w:t>Establishes alert-ranking quality (not raw detection accuracy) as the standard way the field measures “better” SOC prioritisation — direct backing for using ARA/MTCAI-style ranking metrics rather than plain classification accuracy to compare CAS vs. CVSS.</w:t>
      </w:r>
    </w:p>
    <w:p w14:paraId="6CD2B1DF" w14:textId="77777777" w:rsidR="00A74ABA" w:rsidRDefault="00000000">
      <w:pPr>
        <w:pStyle w:val="Heading2"/>
      </w:pPr>
      <w:r>
        <w:t>7.2  Tariq, Baruwal Chhetri, Nepal &amp; Paris (2025) — Alert Fatigue in Security Operations Centres</w:t>
      </w:r>
    </w:p>
    <w:p w14:paraId="69FE9E36" w14:textId="77777777" w:rsidR="00A74ABA" w:rsidRDefault="00000000">
      <w:r>
        <w:t xml:space="preserve">S. Tariq, M. Baruwal Chhetri, S. Nepal, and C. Paris, “Alert Fatigue in Security Operations Centres: Research Challenges and Opportunities,” </w:t>
      </w:r>
      <w:r>
        <w:rPr>
          <w:i/>
        </w:rPr>
        <w:t>ACM Computing Surveys</w:t>
      </w:r>
      <w:r>
        <w:t>, vol. 57, 2025.</w:t>
      </w:r>
    </w:p>
    <w:p w14:paraId="68087487" w14:textId="77777777" w:rsidR="00A74ABA" w:rsidRDefault="00000000">
      <w:hyperlink r:id="rId18">
        <w:r>
          <w:rPr>
            <w:color w:val="1F335A"/>
            <w:sz w:val="20"/>
            <w:u w:val="single"/>
          </w:rPr>
          <w:t>https://dl.acm.org/doi/10.1145/3723158</w:t>
        </w:r>
      </w:hyperlink>
    </w:p>
    <w:p w14:paraId="276B4300" w14:textId="77777777" w:rsidR="00A74ABA" w:rsidRDefault="00000000">
      <w:r>
        <w:rPr>
          <w:b/>
          <w:sz w:val="20"/>
        </w:rPr>
        <w:t xml:space="preserve">Peer-reviewed: </w:t>
      </w:r>
      <w:r>
        <w:rPr>
          <w:sz w:val="20"/>
        </w:rPr>
        <w:t>Yes — ACM journal</w:t>
      </w:r>
    </w:p>
    <w:p w14:paraId="58F61650" w14:textId="77777777" w:rsidR="00A74ABA" w:rsidRDefault="00000000">
      <w:r>
        <w:rPr>
          <w:b/>
        </w:rPr>
        <w:t xml:space="preserve">Why this backs your thesis: </w:t>
      </w:r>
      <w:r>
        <w:t>Notes healthcare SOCs face an unusually broad attack surface (endpoints + medical devices + vendor connections), which the survey ties directly to elevated analyst alert fatigue — supports motivating CAS's Alert Fatigue Reduction metric specifically in the hospital/IoMT setting, not as a generic SOC concern.</w:t>
      </w:r>
    </w:p>
    <w:p w14:paraId="73C2E78E" w14:textId="77777777" w:rsidR="00A74ABA" w:rsidRDefault="00000000">
      <w:pPr>
        <w:pStyle w:val="Heading1"/>
      </w:pPr>
      <w:r>
        <w:t>8. Quick-Reference Table</w:t>
      </w:r>
    </w:p>
    <w:p w14:paraId="173A3364" w14:textId="77777777" w:rsidR="00A74ABA" w:rsidRDefault="00000000">
      <w:r>
        <w:rPr>
          <w:i/>
          <w:color w:val="555555"/>
        </w:rPr>
        <w:t>For a viva cheat-sheet: which source, what it supports, and whether it is peer-reviewed academic literature or authoritative guidance/standard.</w:t>
      </w:r>
    </w:p>
    <w:tbl>
      <w:tblPr>
        <w:tblStyle w:val="LightGrid-Accent1"/>
        <w:tblW w:w="0" w:type="auto"/>
        <w:jc w:val="center"/>
        <w:tblLook w:val="04A0" w:firstRow="1" w:lastRow="0" w:firstColumn="1" w:lastColumn="0" w:noHBand="0" w:noVBand="1"/>
      </w:tblPr>
      <w:tblGrid>
        <w:gridCol w:w="2160"/>
        <w:gridCol w:w="2160"/>
        <w:gridCol w:w="2160"/>
        <w:gridCol w:w="2160"/>
      </w:tblGrid>
      <w:tr w:rsidR="00A74ABA" w14:paraId="34A840A2" w14:textId="77777777" w:rsidTr="00A74A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D24019" w14:textId="77777777" w:rsidR="00A74ABA" w:rsidRDefault="00000000">
            <w:r>
              <w:rPr>
                <w:sz w:val="20"/>
              </w:rPr>
              <w:lastRenderedPageBreak/>
              <w:t>#</w:t>
            </w:r>
          </w:p>
        </w:tc>
        <w:tc>
          <w:tcPr>
            <w:tcW w:w="2160" w:type="dxa"/>
          </w:tcPr>
          <w:p w14:paraId="52F1BE78" w14:textId="77777777" w:rsidR="00A74ABA"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2160" w:type="dxa"/>
          </w:tcPr>
          <w:p w14:paraId="1F24F510" w14:textId="77777777" w:rsidR="00A74ABA" w:rsidRDefault="00000000">
            <w:pPr>
              <w:cnfStyle w:val="100000000000" w:firstRow="1" w:lastRow="0" w:firstColumn="0" w:lastColumn="0" w:oddVBand="0" w:evenVBand="0" w:oddHBand="0" w:evenHBand="0" w:firstRowFirstColumn="0" w:firstRowLastColumn="0" w:lastRowFirstColumn="0" w:lastRowLastColumn="0"/>
            </w:pPr>
            <w:r>
              <w:rPr>
                <w:sz w:val="20"/>
              </w:rPr>
              <w:t>Supports</w:t>
            </w:r>
          </w:p>
        </w:tc>
        <w:tc>
          <w:tcPr>
            <w:tcW w:w="2160" w:type="dxa"/>
          </w:tcPr>
          <w:p w14:paraId="67DA16C4" w14:textId="77777777" w:rsidR="00A74ABA" w:rsidRDefault="00000000">
            <w:pPr>
              <w:cnfStyle w:val="100000000000" w:firstRow="1" w:lastRow="0" w:firstColumn="0" w:lastColumn="0" w:oddVBand="0" w:evenVBand="0" w:oddHBand="0" w:evenHBand="0" w:firstRowFirstColumn="0" w:firstRowLastColumn="0" w:lastRowFirstColumn="0" w:lastRowLastColumn="0"/>
            </w:pPr>
            <w:r>
              <w:rPr>
                <w:sz w:val="20"/>
              </w:rPr>
              <w:t>Peer-Reviewed?</w:t>
            </w:r>
          </w:p>
        </w:tc>
      </w:tr>
      <w:tr w:rsidR="00A74ABA" w14:paraId="0D1E7237"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C4621D" w14:textId="77777777" w:rsidR="00A74ABA" w:rsidRDefault="00000000">
            <w:r>
              <w:t>1</w:t>
            </w:r>
          </w:p>
        </w:tc>
        <w:tc>
          <w:tcPr>
            <w:tcW w:w="2160" w:type="dxa"/>
          </w:tcPr>
          <w:p w14:paraId="49F4D584"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Howland (2023)</w:t>
            </w:r>
          </w:p>
        </w:tc>
        <w:tc>
          <w:tcPr>
            <w:tcW w:w="2160" w:type="dxa"/>
          </w:tcPr>
          <w:p w14:paraId="50B000C5"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CVSS is documented as broken</w:t>
            </w:r>
          </w:p>
        </w:tc>
        <w:tc>
          <w:tcPr>
            <w:tcW w:w="2160" w:type="dxa"/>
          </w:tcPr>
          <w:p w14:paraId="0B1A5AEA"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Yes — ACM journal</w:t>
            </w:r>
          </w:p>
        </w:tc>
      </w:tr>
      <w:tr w:rsidR="00A74ABA" w14:paraId="4715D022" w14:textId="77777777" w:rsidTr="00A74AB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106C17" w14:textId="77777777" w:rsidR="00A74ABA" w:rsidRDefault="00000000">
            <w:r>
              <w:t>2</w:t>
            </w:r>
          </w:p>
        </w:tc>
        <w:tc>
          <w:tcPr>
            <w:tcW w:w="2160" w:type="dxa"/>
          </w:tcPr>
          <w:p w14:paraId="650F8C77"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Coutinho et al. (2024)</w:t>
            </w:r>
          </w:p>
        </w:tc>
        <w:tc>
          <w:tcPr>
            <w:tcW w:w="2160" w:type="dxa"/>
          </w:tcPr>
          <w:p w14:paraId="208C9077"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CVSS rank defects from missing context</w:t>
            </w:r>
          </w:p>
        </w:tc>
        <w:tc>
          <w:tcPr>
            <w:tcW w:w="2160" w:type="dxa"/>
          </w:tcPr>
          <w:p w14:paraId="4B8EF9E6"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Yes — ACM conference</w:t>
            </w:r>
          </w:p>
        </w:tc>
      </w:tr>
      <w:tr w:rsidR="00A74ABA" w14:paraId="6BCAC658"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DE918D" w14:textId="77777777" w:rsidR="00A74ABA" w:rsidRDefault="00000000">
            <w:r>
              <w:t>3</w:t>
            </w:r>
          </w:p>
        </w:tc>
        <w:tc>
          <w:tcPr>
            <w:tcW w:w="2160" w:type="dxa"/>
          </w:tcPr>
          <w:p w14:paraId="3782A8F6"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Spring et al. (2021)</w:t>
            </w:r>
          </w:p>
        </w:tc>
        <w:tc>
          <w:tcPr>
            <w:tcW w:w="2160" w:type="dxa"/>
          </w:tcPr>
          <w:p w14:paraId="2A98BDEF"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Precedent: context-aware alternative to CVSS, officially adopted</w:t>
            </w:r>
          </w:p>
        </w:tc>
        <w:tc>
          <w:tcPr>
            <w:tcW w:w="2160" w:type="dxa"/>
          </w:tcPr>
          <w:p w14:paraId="40BB4820"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Guidance — CMU SEI / CISA (not peer-reviewed, but the official U.S. federal standard)</w:t>
            </w:r>
          </w:p>
        </w:tc>
      </w:tr>
      <w:tr w:rsidR="00A74ABA" w14:paraId="1A3B0C44" w14:textId="77777777" w:rsidTr="00A74AB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280C30" w14:textId="77777777" w:rsidR="00A74ABA" w:rsidRDefault="00000000">
            <w:r>
              <w:t>4</w:t>
            </w:r>
          </w:p>
        </w:tc>
        <w:tc>
          <w:tcPr>
            <w:tcW w:w="2160" w:type="dxa"/>
          </w:tcPr>
          <w:p w14:paraId="64686EC4"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MITRE Corporation (2019, FDA-qualified 2020)</w:t>
            </w:r>
          </w:p>
        </w:tc>
        <w:tc>
          <w:tcPr>
            <w:tcW w:w="2160" w:type="dxa"/>
          </w:tcPr>
          <w:p w14:paraId="156E5389"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CVSS unsuited to clinical/patient-safety context (FDA-endorsed)</w:t>
            </w:r>
          </w:p>
        </w:tc>
        <w:tc>
          <w:tcPr>
            <w:tcW w:w="2160" w:type="dxa"/>
          </w:tcPr>
          <w:p w14:paraId="44876BB0"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Authoritative — FDA-qualified tool (not peer-reviewed academic literature)</w:t>
            </w:r>
          </w:p>
        </w:tc>
      </w:tr>
      <w:tr w:rsidR="00A74ABA" w14:paraId="2FD343BB"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52518F" w14:textId="77777777" w:rsidR="00A74ABA" w:rsidRDefault="00000000">
            <w:r>
              <w:t>5</w:t>
            </w:r>
          </w:p>
        </w:tc>
        <w:tc>
          <w:tcPr>
            <w:tcW w:w="2160" w:type="dxa"/>
          </w:tcPr>
          <w:p w14:paraId="7F0FD860"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Bracciale et al. (2025)</w:t>
            </w:r>
          </w:p>
        </w:tc>
        <w:tc>
          <w:tcPr>
            <w:tcW w:w="2160" w:type="dxa"/>
          </w:tcPr>
          <w:p w14:paraId="1DECDDA1"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Prior art: bolting a safety metric onto CVSS for medical devices</w:t>
            </w:r>
          </w:p>
        </w:tc>
        <w:tc>
          <w:tcPr>
            <w:tcW w:w="2160" w:type="dxa"/>
          </w:tcPr>
          <w:p w14:paraId="22FF1B9E"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Yes — Springer Nature journal</w:t>
            </w:r>
          </w:p>
        </w:tc>
      </w:tr>
      <w:tr w:rsidR="00A74ABA" w14:paraId="17230997" w14:textId="77777777" w:rsidTr="00A74AB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DA33C6" w14:textId="77777777" w:rsidR="00A74ABA" w:rsidRDefault="00000000">
            <w:r>
              <w:t>6</w:t>
            </w:r>
          </w:p>
        </w:tc>
        <w:tc>
          <w:tcPr>
            <w:tcW w:w="2160" w:type="dxa"/>
          </w:tcPr>
          <w:p w14:paraId="0C0120C7"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U.S. FDA (2023)</w:t>
            </w:r>
          </w:p>
        </w:tc>
        <w:tc>
          <w:tcPr>
            <w:tcW w:w="2160" w:type="dxa"/>
          </w:tcPr>
          <w:p w14:paraId="225330B6"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Regulatory basis for weighting patient safety separately</w:t>
            </w:r>
          </w:p>
        </w:tc>
        <w:tc>
          <w:tcPr>
            <w:tcW w:w="2160" w:type="dxa"/>
          </w:tcPr>
          <w:p w14:paraId="6C80755B"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Regulatory guidance — U.S. federal agency (not peer-reviewed)</w:t>
            </w:r>
          </w:p>
        </w:tc>
      </w:tr>
      <w:tr w:rsidR="00A74ABA" w14:paraId="187E6795"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339E21" w14:textId="77777777" w:rsidR="00A74ABA" w:rsidRDefault="00000000">
            <w:r>
              <w:t>7</w:t>
            </w:r>
          </w:p>
        </w:tc>
        <w:tc>
          <w:tcPr>
            <w:tcW w:w="2160" w:type="dxa"/>
          </w:tcPr>
          <w:p w14:paraId="75461B45"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AAMI TIR57:2016/(R)2023</w:t>
            </w:r>
          </w:p>
        </w:tc>
        <w:tc>
          <w:tcPr>
            <w:tcW w:w="2160" w:type="dxa"/>
          </w:tcPr>
          <w:p w14:paraId="1D912A9E"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Standard linking security risk to clinical safety risk (ISO 14971)</w:t>
            </w:r>
          </w:p>
        </w:tc>
        <w:tc>
          <w:tcPr>
            <w:tcW w:w="2160" w:type="dxa"/>
          </w:tcPr>
          <w:p w14:paraId="651CAF4F"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Industry standard — AAMI Technical Information Report</w:t>
            </w:r>
          </w:p>
        </w:tc>
      </w:tr>
      <w:tr w:rsidR="00A74ABA" w14:paraId="3DC989C3" w14:textId="77777777" w:rsidTr="00A74AB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587899" w14:textId="77777777" w:rsidR="00A74ABA" w:rsidRDefault="00000000">
            <w:r>
              <w:t>8</w:t>
            </w:r>
          </w:p>
        </w:tc>
        <w:tc>
          <w:tcPr>
            <w:tcW w:w="2160" w:type="dxa"/>
          </w:tcPr>
          <w:p w14:paraId="11176BA3"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Stine, Rice, Dunlap &amp; Pecarina (2017)</w:t>
            </w:r>
          </w:p>
        </w:tc>
        <w:tc>
          <w:tcPr>
            <w:tcW w:w="2160" w:type="dxa"/>
          </w:tcPr>
          <w:p w14:paraId="4A890ED3"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Closest direct comparator: medical-device risk scoring system</w:t>
            </w:r>
          </w:p>
        </w:tc>
        <w:tc>
          <w:tcPr>
            <w:tcW w:w="2160" w:type="dxa"/>
          </w:tcPr>
          <w:p w14:paraId="070AA0DA"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Yes — Elsevier journal</w:t>
            </w:r>
          </w:p>
        </w:tc>
      </w:tr>
      <w:tr w:rsidR="00A74ABA" w14:paraId="1839A249"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B6CB03" w14:textId="77777777" w:rsidR="00A74ABA" w:rsidRDefault="00000000">
            <w:r>
              <w:t>9</w:t>
            </w:r>
          </w:p>
        </w:tc>
        <w:tc>
          <w:tcPr>
            <w:tcW w:w="2160" w:type="dxa"/>
          </w:tcPr>
          <w:p w14:paraId="3A9735BD"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Alsubaei, Abuhussein &amp; Shiva (2017)</w:t>
            </w:r>
          </w:p>
        </w:tc>
        <w:tc>
          <w:tcPr>
            <w:tcW w:w="2160" w:type="dxa"/>
          </w:tcPr>
          <w:p w14:paraId="55F5730B"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IoMT device/risk taxonomy → backs the CC dimension</w:t>
            </w:r>
          </w:p>
        </w:tc>
        <w:tc>
          <w:tcPr>
            <w:tcW w:w="2160" w:type="dxa"/>
          </w:tcPr>
          <w:p w14:paraId="444B4F9A"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Yes — IEEE conference</w:t>
            </w:r>
          </w:p>
        </w:tc>
      </w:tr>
      <w:tr w:rsidR="00A74ABA" w14:paraId="04AB0F1C" w14:textId="77777777" w:rsidTr="00A74AB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138E1A" w14:textId="77777777" w:rsidR="00A74ABA" w:rsidRDefault="00000000">
            <w:r>
              <w:t>10</w:t>
            </w:r>
          </w:p>
        </w:tc>
        <w:tc>
          <w:tcPr>
            <w:tcW w:w="2160" w:type="dxa"/>
          </w:tcPr>
          <w:p w14:paraId="673F7580"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Anuar, Papadaki, Furnell &amp; Clarke (2013)</w:t>
            </w:r>
          </w:p>
        </w:tc>
        <w:tc>
          <w:tcPr>
            <w:tcW w:w="2160" w:type="dxa"/>
          </w:tcPr>
          <w:p w14:paraId="088BABA9"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AHP weighting precedent → backs CAS's weight derivation</w:t>
            </w:r>
          </w:p>
        </w:tc>
        <w:tc>
          <w:tcPr>
            <w:tcW w:w="2160" w:type="dxa"/>
          </w:tcPr>
          <w:p w14:paraId="7145250B"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Yes — Wiley journal</w:t>
            </w:r>
          </w:p>
        </w:tc>
      </w:tr>
      <w:tr w:rsidR="00A74ABA" w14:paraId="07F080B2"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6F5F3E" w14:textId="77777777" w:rsidR="00A74ABA" w:rsidRDefault="00000000">
            <w:r>
              <w:t>11</w:t>
            </w:r>
          </w:p>
        </w:tc>
        <w:tc>
          <w:tcPr>
            <w:tcW w:w="2160" w:type="dxa"/>
          </w:tcPr>
          <w:p w14:paraId="18A59E99"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Jalalvand, Baruwal Chhetri, Nepal &amp; Paris (2024)</w:t>
            </w:r>
          </w:p>
        </w:tc>
        <w:tc>
          <w:tcPr>
            <w:tcW w:w="2160" w:type="dxa"/>
          </w:tcPr>
          <w:p w14:paraId="24C21B97"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Alert-ranking is the correct SOC prioritisation metric</w:t>
            </w:r>
          </w:p>
        </w:tc>
        <w:tc>
          <w:tcPr>
            <w:tcW w:w="2160" w:type="dxa"/>
          </w:tcPr>
          <w:p w14:paraId="45A938B0"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Yes — ACM journal (systematic survey of 89 papers)</w:t>
            </w:r>
          </w:p>
        </w:tc>
      </w:tr>
      <w:tr w:rsidR="00A74ABA" w14:paraId="034F77A5" w14:textId="77777777" w:rsidTr="00A74AB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85EE74" w14:textId="77777777" w:rsidR="00A74ABA" w:rsidRDefault="00000000">
            <w:r>
              <w:t>12</w:t>
            </w:r>
          </w:p>
        </w:tc>
        <w:tc>
          <w:tcPr>
            <w:tcW w:w="2160" w:type="dxa"/>
          </w:tcPr>
          <w:p w14:paraId="1D199E0D"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Tariq, Baruwal Chhetri, Nepal &amp; Paris (2025)</w:t>
            </w:r>
          </w:p>
        </w:tc>
        <w:tc>
          <w:tcPr>
            <w:tcW w:w="2160" w:type="dxa"/>
          </w:tcPr>
          <w:p w14:paraId="7AD11E41"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Healthcare-specific alert fatigue motivation</w:t>
            </w:r>
          </w:p>
        </w:tc>
        <w:tc>
          <w:tcPr>
            <w:tcW w:w="2160" w:type="dxa"/>
          </w:tcPr>
          <w:p w14:paraId="43829308" w14:textId="77777777" w:rsidR="00A74ABA" w:rsidRDefault="00000000">
            <w:pPr>
              <w:cnfStyle w:val="000000010000" w:firstRow="0" w:lastRow="0" w:firstColumn="0" w:lastColumn="0" w:oddVBand="0" w:evenVBand="0" w:oddHBand="0" w:evenHBand="1" w:firstRowFirstColumn="0" w:firstRowLastColumn="0" w:lastRowFirstColumn="0" w:lastRowLastColumn="0"/>
            </w:pPr>
            <w:r>
              <w:rPr>
                <w:sz w:val="18"/>
              </w:rPr>
              <w:t>Yes — ACM journal</w:t>
            </w:r>
          </w:p>
        </w:tc>
      </w:tr>
      <w:tr w:rsidR="00A74ABA" w14:paraId="64F2F48C" w14:textId="77777777" w:rsidTr="00A74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ADB156" w14:textId="77777777" w:rsidR="00A74ABA" w:rsidRDefault="00000000">
            <w:r>
              <w:t>13</w:t>
            </w:r>
          </w:p>
        </w:tc>
        <w:tc>
          <w:tcPr>
            <w:tcW w:w="2160" w:type="dxa"/>
          </w:tcPr>
          <w:p w14:paraId="1478F329"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Edwards Lifesciences / Yusim</w:t>
            </w:r>
          </w:p>
        </w:tc>
        <w:tc>
          <w:tcPr>
            <w:tcW w:w="2160" w:type="dxa"/>
          </w:tcPr>
          <w:p w14:paraId="7F1517E0"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Industry corroboration (cite with caution — gray literature)</w:t>
            </w:r>
          </w:p>
        </w:tc>
        <w:tc>
          <w:tcPr>
            <w:tcW w:w="2160" w:type="dxa"/>
          </w:tcPr>
          <w:p w14:paraId="6741DE1D" w14:textId="77777777" w:rsidR="00A74ABA" w:rsidRDefault="00000000">
            <w:pPr>
              <w:cnfStyle w:val="000000100000" w:firstRow="0" w:lastRow="0" w:firstColumn="0" w:lastColumn="0" w:oddVBand="0" w:evenVBand="0" w:oddHBand="1" w:evenHBand="0" w:firstRowFirstColumn="0" w:firstRowLastColumn="0" w:lastRowFirstColumn="0" w:lastRowLastColumn="0"/>
            </w:pPr>
            <w:r>
              <w:rPr>
                <w:sz w:val="18"/>
              </w:rPr>
              <w:t>No — industry/gray literature, cite with care</w:t>
            </w:r>
          </w:p>
        </w:tc>
      </w:tr>
    </w:tbl>
    <w:p w14:paraId="579C7BEB" w14:textId="77777777" w:rsidR="00A74ABA" w:rsidRDefault="00000000">
      <w:r>
        <w:br w:type="page"/>
      </w:r>
    </w:p>
    <w:p w14:paraId="294AD724" w14:textId="77777777" w:rsidR="00A74ABA" w:rsidRDefault="00000000">
      <w:pPr>
        <w:pStyle w:val="Heading1"/>
      </w:pPr>
      <w:r>
        <w:lastRenderedPageBreak/>
        <w:t>9. Full Reference List (IEEE Format — Ready to Paste into Bibliography)</w:t>
      </w:r>
    </w:p>
    <w:p w14:paraId="372C41B7" w14:textId="77777777" w:rsidR="00A74ABA" w:rsidRDefault="00000000">
      <w:pPr>
        <w:ind w:left="357" w:hanging="357"/>
      </w:pPr>
      <w:r>
        <w:t>[1] H. Howland, “CVSS: Ubiquitous and broken,” Digital Threats: Research and Practice, vol. 4, no. 1, Art. no. 1, Mar. 2023, doi: 10.1145/3491263.</w:t>
      </w:r>
    </w:p>
    <w:p w14:paraId="37E1E7D1" w14:textId="77777777" w:rsidR="00A74ABA" w:rsidRDefault="00000000">
      <w:pPr>
        <w:ind w:left="357" w:hanging="357"/>
      </w:pPr>
      <w:r>
        <w:t>[2] L. S. Coutinho et al., “How context impacts vulnerability severity: An analysis of product-specific CVSS scores,” in Proc. 13th Latin-American Symp. Dependable and Secure Computing (LADC), Recife, Brazil, 2024, doi: 10.1145/3697090.3697109.</w:t>
      </w:r>
    </w:p>
    <w:p w14:paraId="70870AB3" w14:textId="77777777" w:rsidR="00A74ABA" w:rsidRDefault="00000000">
      <w:pPr>
        <w:ind w:left="357" w:hanging="357"/>
      </w:pPr>
      <w:r>
        <w:t>[3] J. M. Spring, A. Householder, E. Hatleback, A. Manion, M. Oliver, V. Sarvapalli, L. Tyzenhaus, and C. Yarbrough, Prioritizing Vulnerability Response: A Stakeholder-Specific Vulnerability Categorization (SSVC), Version 2.0, Carnegie Mellon Univ. Software Engineering Institute, 2021. [Online]. Available: https://www.cisa.gov/stakeholder-specific-vulnerability-categorization-ssvc</w:t>
      </w:r>
    </w:p>
    <w:p w14:paraId="07B263B3" w14:textId="77777777" w:rsidR="00A74ABA" w:rsidRDefault="00000000">
      <w:pPr>
        <w:ind w:left="357" w:hanging="357"/>
      </w:pPr>
      <w:r>
        <w:t>[4] MITRE Corporation, Rubric for Applying CVSS to Medical Devices, prepared for the U.S. Food and Drug Administration, 2019 (qualified as a Medical Device Development Tool, Oct. 2020). [Online]. Available: https://www.mitre.org/news-insights/publication/rubric-applying-cvss-medical-devices</w:t>
      </w:r>
    </w:p>
    <w:p w14:paraId="61A78871" w14:textId="77777777" w:rsidR="00A74ABA" w:rsidRDefault="00000000">
      <w:pPr>
        <w:ind w:left="357" w:hanging="357"/>
      </w:pPr>
      <w:r>
        <w:t>[5] L. Bracciale, S. Riozzi, G. Panico, E. Raso, G. Bianchi, and P. Loreti, “Quantifying medical device cybersecurity risk with CVSS-BTE,” Scientific Reports, vol. 15, 2025, doi: 10.1038/s41598-025-26898-x.</w:t>
      </w:r>
    </w:p>
    <w:p w14:paraId="732A3CA7" w14:textId="77777777" w:rsidR="00A74ABA" w:rsidRDefault="00000000">
      <w:pPr>
        <w:ind w:left="357" w:hanging="357"/>
      </w:pPr>
      <w:r>
        <w:t>[6] U.S. Food and Drug Administration, Cybersecurity in Medical Devices: Quality System Considerations and Content of Premarket Submissions — Guidance for Industry and FDA Staff, Sept. 27, 2023.</w:t>
      </w:r>
    </w:p>
    <w:p w14:paraId="3665B832" w14:textId="77777777" w:rsidR="00A74ABA" w:rsidRDefault="00000000">
      <w:pPr>
        <w:ind w:left="357" w:hanging="357"/>
      </w:pPr>
      <w:r>
        <w:t>[7] Association for the Advancement of Medical Instrumentation, AAMI TIR57:2016/(R)2023, Principles for Medical Device Security — Risk Management, 2023.</w:t>
      </w:r>
    </w:p>
    <w:p w14:paraId="775834CC" w14:textId="77777777" w:rsidR="00A74ABA" w:rsidRDefault="00000000">
      <w:pPr>
        <w:ind w:left="357" w:hanging="357"/>
      </w:pPr>
      <w:r>
        <w:t>[8] I. Stine, M. Rice, S. Dunlap, and J. Pecarina, “A cyber risk scoring system for medical devices,” International Journal of Critical Infrastructure Protection, vol. 19, pp. 32–46, 2017, doi: 10.1016/j.ijcip.2017.04.001.</w:t>
      </w:r>
    </w:p>
    <w:p w14:paraId="0DEE5FC3" w14:textId="77777777" w:rsidR="00A74ABA" w:rsidRDefault="00000000">
      <w:pPr>
        <w:ind w:left="357" w:hanging="357"/>
      </w:pPr>
      <w:r>
        <w:t>[9] F. Alsubaei, A. Abuhussein, and S. Shiva, “Security and privacy in the Internet of Medical Things: Taxonomy and risk assessment,” in Proc. 2017 IEEE 42nd Conf. Local Computer Networks Workshops (LCN Workshops), 2017, pp. 112–120, doi: 10.1109/LCN.Workshops.2017.72.</w:t>
      </w:r>
    </w:p>
    <w:p w14:paraId="0CDC73D1" w14:textId="77777777" w:rsidR="00A74ABA" w:rsidRDefault="00000000">
      <w:pPr>
        <w:ind w:left="357" w:hanging="357"/>
      </w:pPr>
      <w:r>
        <w:t>[10] N. B. Anuar, M. Papadaki, S. Furnell, and N. Clarke, “Incident prioritisation using analytic hierarchy process (AHP): Risk Index Model (RIM),” Security and Communication Networks, vol. 6, no. 9, pp. 1087–1116, 2013, doi: 10.1002/sec.673.</w:t>
      </w:r>
    </w:p>
    <w:p w14:paraId="0053C058" w14:textId="77777777" w:rsidR="00A74ABA" w:rsidRDefault="00000000">
      <w:pPr>
        <w:ind w:left="357" w:hanging="357"/>
      </w:pPr>
      <w:r>
        <w:t>[11] F. Jalalvand, M. Baruwal Chhetri, S. Nepal, and C. Paris, “Alert prioritisation in security operations centres: A systematic survey on criteria and methods,” ACM Computing Surveys, vol. 57, no. 2, Art. 42, Nov. 2024, doi: 10.1145/3695462.</w:t>
      </w:r>
    </w:p>
    <w:p w14:paraId="280691EA" w14:textId="77777777" w:rsidR="00A74ABA" w:rsidRDefault="00000000">
      <w:pPr>
        <w:ind w:left="357" w:hanging="357"/>
      </w:pPr>
      <w:r>
        <w:t>[12] S. Tariq, M. Baruwal Chhetri, S. Nepal, and C. Paris, “Alert fatigue in security operations centres: Research challenges and opportunities,” ACM Computing Surveys, vol. 57, 2025, doi: 10.1145/3723158.</w:t>
      </w:r>
    </w:p>
    <w:p w14:paraId="1F187C5A" w14:textId="77777777" w:rsidR="00A74ABA" w:rsidRDefault="00000000">
      <w:pPr>
        <w:ind w:left="357" w:hanging="357"/>
      </w:pPr>
      <w:r>
        <w:t>[13] O. Yusim, Healthcare Vulnerability Scoring System (HVSS) Calculator, Edwards Lifesciences. [Online]. Available: https://hvss.online (industry resource, not peer-reviewed).</w:t>
      </w:r>
    </w:p>
    <w:sectPr w:rsidR="00A74ABA" w:rsidSect="001308A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835534">
    <w:abstractNumId w:val="8"/>
  </w:num>
  <w:num w:numId="2" w16cid:durableId="980617562">
    <w:abstractNumId w:val="6"/>
  </w:num>
  <w:num w:numId="3" w16cid:durableId="371148632">
    <w:abstractNumId w:val="5"/>
  </w:num>
  <w:num w:numId="4" w16cid:durableId="112360531">
    <w:abstractNumId w:val="4"/>
  </w:num>
  <w:num w:numId="5" w16cid:durableId="2077316837">
    <w:abstractNumId w:val="7"/>
  </w:num>
  <w:num w:numId="6" w16cid:durableId="479080735">
    <w:abstractNumId w:val="3"/>
  </w:num>
  <w:num w:numId="7" w16cid:durableId="525486018">
    <w:abstractNumId w:val="2"/>
  </w:num>
  <w:num w:numId="8" w16cid:durableId="542982337">
    <w:abstractNumId w:val="1"/>
  </w:num>
  <w:num w:numId="9" w16cid:durableId="88934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8AF"/>
    <w:rsid w:val="0015074B"/>
    <w:rsid w:val="0029639D"/>
    <w:rsid w:val="00326F90"/>
    <w:rsid w:val="00460B32"/>
    <w:rsid w:val="00A74ABA"/>
    <w:rsid w:val="00AA1D8D"/>
    <w:rsid w:val="00B47730"/>
    <w:rsid w:val="00CB0664"/>
    <w:rsid w:val="00F23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9E1C9"/>
  <w14:defaultImageDpi w14:val="300"/>
  <w15:docId w15:val="{8DC076FA-41AF-4DDE-8A76-2376DE66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3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35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stakeholder-specific-vulnerability-categorization-ssvc" TargetMode="External"/><Relationship Id="rId13" Type="http://schemas.openxmlformats.org/officeDocument/2006/relationships/hyperlink" Target="https://doi.org/10.1016/j.ijcip.2017.04.001" TargetMode="External"/><Relationship Id="rId18" Type="http://schemas.openxmlformats.org/officeDocument/2006/relationships/hyperlink" Target="https://dl.acm.org/doi/10.1145/3723158" TargetMode="External"/><Relationship Id="rId3" Type="http://schemas.openxmlformats.org/officeDocument/2006/relationships/styles" Target="styles.xml"/><Relationship Id="rId7" Type="http://schemas.openxmlformats.org/officeDocument/2006/relationships/hyperlink" Target="https://dl.acm.org/doi/10.1145/3697090.3697109" TargetMode="External"/><Relationship Id="rId12" Type="http://schemas.openxmlformats.org/officeDocument/2006/relationships/hyperlink" Target="https://webstore.ansi.org/standards/aami/aamitir572016r2023" TargetMode="External"/><Relationship Id="rId17" Type="http://schemas.openxmlformats.org/officeDocument/2006/relationships/hyperlink" Target="https://dl.acm.org/doi/10.1145/3695462" TargetMode="External"/><Relationship Id="rId2" Type="http://schemas.openxmlformats.org/officeDocument/2006/relationships/numbering" Target="numbering.xml"/><Relationship Id="rId16" Type="http://schemas.openxmlformats.org/officeDocument/2006/relationships/hyperlink" Target="https://onlinelibrary.wiley.com/doi/abs/10.1002/sec.67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l.acm.org/doi/10.1145/3491263" TargetMode="External"/><Relationship Id="rId11" Type="http://schemas.openxmlformats.org/officeDocument/2006/relationships/hyperlink" Target="https://www.federalregister.gov/documents/2023/09/27/2023-20955" TargetMode="External"/><Relationship Id="rId5" Type="http://schemas.openxmlformats.org/officeDocument/2006/relationships/webSettings" Target="webSettings.xml"/><Relationship Id="rId15" Type="http://schemas.openxmlformats.org/officeDocument/2006/relationships/hyperlink" Target="https://ieeexplore.ieee.org/document/8110212" TargetMode="External"/><Relationship Id="rId10" Type="http://schemas.openxmlformats.org/officeDocument/2006/relationships/hyperlink" Target="https://www.nature.com/articles/s41598-025-26898-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itre.org/news-insights/publication/rubric-applying-cvss-medical-devices" TargetMode="External"/><Relationship Id="rId14" Type="http://schemas.openxmlformats.org/officeDocument/2006/relationships/hyperlink" Target="https://www.linkedin.com/pulse/healthcare-vulnerability-scoring-system-hvss-calculator-oleg-yusim-naa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Chanidu Rathnayake</cp:lastModifiedBy>
  <cp:revision>3</cp:revision>
  <dcterms:created xsi:type="dcterms:W3CDTF">2013-12-23T23:15:00Z</dcterms:created>
  <dcterms:modified xsi:type="dcterms:W3CDTF">2026-08-23T07:20:00Z</dcterms:modified>
  <cp:category/>
</cp:coreProperties>
</file>