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Report of DcBot</w:t>
      </w:r>
    </w:p>
    <w:p>
      <w:pPr>
        <w:pStyle w:val="Heading1"/>
      </w:pPr>
      <w:r>
        <w:t>Historical Volatility</w:t>
      </w:r>
    </w:p>
    <w:p>
      <w:r>
        <w:drawing>
          <wp:inline xmlns:a="http://schemas.openxmlformats.org/drawingml/2006/main" xmlns:pic="http://schemas.openxmlformats.org/drawingml/2006/picture">
            <wp:extent cx="566928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eklyHistV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Historical Volatility Status</w:t>
            </w:r>
          </w:p>
        </w:tc>
        <w:tc>
          <w:tcPr>
            <w:tcW w:type="dxa" w:w="1440"/>
          </w:tcPr>
          <w:p>
            <w:r>
              <w:t>BTC</w:t>
            </w:r>
          </w:p>
        </w:tc>
        <w:tc>
          <w:tcPr>
            <w:tcW w:type="dxa" w:w="1440"/>
          </w:tcPr>
          <w:p>
            <w:r>
              <w:t>ETH</w:t>
            </w:r>
          </w:p>
        </w:tc>
      </w:tr>
      <w:tr>
        <w:tc>
          <w:tcPr>
            <w:tcW w:type="dxa" w:w="2880"/>
          </w:tcPr>
          <w:p>
            <w:r>
              <w:t>Current Historical Volatility</w:t>
            </w:r>
          </w:p>
        </w:tc>
        <w:tc>
          <w:tcPr>
            <w:tcW w:type="dxa" w:w="2880"/>
          </w:tcPr>
          <w:p>
            <w:r>
              <w:t>3.44%</w:t>
            </w:r>
          </w:p>
        </w:tc>
        <w:tc>
          <w:tcPr>
            <w:tcW w:type="dxa" w:w="2880"/>
          </w:tcPr>
          <w:p>
            <w:r>
              <w:t>4.23%</w:t>
            </w:r>
          </w:p>
        </w:tc>
      </w:tr>
      <w:tr>
        <w:tc>
          <w:tcPr>
            <w:tcW w:type="dxa" w:w="2880"/>
          </w:tcPr>
          <w:p>
            <w:r>
              <w:t>Current Historical Volatility Quantile</w:t>
            </w:r>
          </w:p>
        </w:tc>
        <w:tc>
          <w:tcPr>
            <w:tcW w:type="dxa" w:w="2880"/>
          </w:tcPr>
          <w:p>
            <w:r>
              <w:t>74.02%</w:t>
            </w:r>
          </w:p>
        </w:tc>
        <w:tc>
          <w:tcPr>
            <w:tcW w:type="dxa" w:w="2880"/>
          </w:tcPr>
          <w:p>
            <w:r>
              <w:t>65.71%</w:t>
            </w:r>
          </w:p>
        </w:tc>
      </w:tr>
      <w:tr>
        <w:tc>
          <w:tcPr>
            <w:tcW w:type="dxa" w:w="2880"/>
          </w:tcPr>
          <w:p>
            <w:r>
              <w:t>Weekly Mean of Historical Volatility</w:t>
            </w:r>
          </w:p>
        </w:tc>
        <w:tc>
          <w:tcPr>
            <w:tcW w:type="dxa" w:w="2880"/>
          </w:tcPr>
          <w:p>
            <w:r>
              <w:t>1.23%</w:t>
            </w:r>
          </w:p>
        </w:tc>
        <w:tc>
          <w:tcPr>
            <w:tcW w:type="dxa" w:w="2880"/>
          </w:tcPr>
          <w:p>
            <w:r>
              <w:t>1.82%</w:t>
            </w:r>
          </w:p>
        </w:tc>
      </w:tr>
      <w:tr>
        <w:tc>
          <w:tcPr>
            <w:tcW w:type="dxa" w:w="2880"/>
          </w:tcPr>
          <w:p>
            <w:r>
              <w:t>Weekly Pct_Change of Historical Volatility</w:t>
            </w:r>
          </w:p>
        </w:tc>
        <w:tc>
          <w:tcPr>
            <w:tcW w:type="dxa" w:w="2880"/>
          </w:tcPr>
          <w:p>
            <w:r>
              <w:t>328.49%</w:t>
            </w:r>
          </w:p>
        </w:tc>
        <w:tc>
          <w:tcPr>
            <w:tcW w:type="dxa" w:w="2880"/>
          </w:tcPr>
          <w:p>
            <w:r>
              <w:t>178.58%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