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Report of DcBot</w:t>
      </w:r>
    </w:p>
    <w:p>
      <w:r>
        <w:rPr>
          <w:b/>
        </w:rPr>
        <w:t>1_历史波动率与隐含波动率</w:t>
      </w:r>
    </w:p>
    <w:p>
      <w:r>
        <w:t>波动率过小会导致盈利空间不足带来的磨损，而波动率过大风险也会随之放大，对策略最佳的波动率处于适中状态。以下是2022日历史波动率的统计：</w:t>
      </w:r>
    </w:p>
    <w:p>
      <w:r>
        <w:drawing>
          <wp:inline xmlns:a="http://schemas.openxmlformats.org/drawingml/2006/main" xmlns:pic="http://schemas.openxmlformats.org/drawingml/2006/picture">
            <wp:extent cx="566928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Vol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</w:tcPr>
          <w:p>
            <w:r>
              <w:t>Historical Volatility Statistic 2022</w:t>
            </w:r>
          </w:p>
        </w:tc>
        <w:tc>
          <w:tcPr>
            <w:tcW w:type="dxa" w:w="1440"/>
          </w:tcPr>
          <w:p>
            <w:r>
              <w:t>btcHv</w:t>
            </w:r>
          </w:p>
        </w:tc>
        <w:tc>
          <w:tcPr>
            <w:tcW w:type="dxa" w:w="1440"/>
          </w:tcPr>
          <w:p>
            <w:r>
              <w:t>ethHv</w:t>
            </w:r>
          </w:p>
        </w:tc>
      </w:tr>
      <w:tr>
        <w:tc>
          <w:tcPr>
            <w:tcW w:type="dxa" w:w="2880"/>
          </w:tcPr>
          <w:p>
            <w:r>
              <w:t>count</w:t>
            </w:r>
          </w:p>
        </w:tc>
        <w:tc>
          <w:tcPr>
            <w:tcW w:type="dxa" w:w="2880"/>
          </w:tcPr>
          <w:p>
            <w:r>
              <w:t>8761.0</w:t>
            </w:r>
          </w:p>
        </w:tc>
        <w:tc>
          <w:tcPr>
            <w:tcW w:type="dxa" w:w="2880"/>
          </w:tcPr>
          <w:p>
            <w:r>
              <w:t>8761.0</w:t>
            </w:r>
          </w:p>
        </w:tc>
      </w:tr>
      <w:tr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0.029</w:t>
            </w:r>
          </w:p>
        </w:tc>
        <w:tc>
          <w:tcPr>
            <w:tcW w:type="dxa" w:w="2880"/>
          </w:tcPr>
          <w:p>
            <w:r>
              <w:t>0.039</w:t>
            </w:r>
          </w:p>
        </w:tc>
      </w:tr>
      <w:tr>
        <w:tc>
          <w:tcPr>
            <w:tcW w:type="dxa" w:w="2880"/>
          </w:tcPr>
          <w:p>
            <w:r>
              <w:t>std</w:t>
            </w:r>
          </w:p>
        </w:tc>
        <w:tc>
          <w:tcPr>
            <w:tcW w:type="dxa" w:w="2880"/>
          </w:tcPr>
          <w:p>
            <w:r>
              <w:t>0.017</w:t>
            </w:r>
          </w:p>
        </w:tc>
        <w:tc>
          <w:tcPr>
            <w:tcW w:type="dxa" w:w="2880"/>
          </w:tcPr>
          <w:p>
            <w:r>
              <w:t>0.022</w:t>
            </w:r>
          </w:p>
        </w:tc>
      </w:tr>
      <w:tr>
        <w:tc>
          <w:tcPr>
            <w:tcW w:type="dxa" w:w="2880"/>
          </w:tcPr>
          <w:p>
            <w:r>
              <w:t>min</w:t>
            </w:r>
          </w:p>
        </w:tc>
        <w:tc>
          <w:tcPr>
            <w:tcW w:type="dxa" w:w="2880"/>
          </w:tcPr>
          <w:p>
            <w:r>
              <w:t>0.002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0.018</w:t>
            </w:r>
          </w:p>
        </w:tc>
        <w:tc>
          <w:tcPr>
            <w:tcW w:type="dxa" w:w="2880"/>
          </w:tcPr>
          <w:p>
            <w:r>
              <w:t>0.026</w:t>
            </w:r>
          </w:p>
        </w:tc>
      </w:tr>
      <w:tr>
        <w:tc>
          <w:tcPr>
            <w:tcW w:type="dxa" w:w="2880"/>
          </w:tcPr>
          <w:p>
            <w:r>
              <w:t>50%</w:t>
            </w:r>
          </w:p>
        </w:tc>
        <w:tc>
          <w:tcPr>
            <w:tcW w:type="dxa" w:w="2880"/>
          </w:tcPr>
          <w:p>
            <w:r>
              <w:t>0.026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75%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  <w:tc>
          <w:tcPr>
            <w:tcW w:type="dxa" w:w="2880"/>
          </w:tcPr>
          <w:p>
            <w:r>
              <w:t>0.047</w:t>
            </w:r>
          </w:p>
        </w:tc>
      </w:tr>
      <w:tr>
        <w:tc>
          <w:tcPr>
            <w:tcW w:type="dxa" w:w="2880"/>
          </w:tcPr>
          <w:p>
            <w:r>
              <w:t>max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  <w:tc>
          <w:tcPr>
            <w:tcW w:type="dxa" w:w="2880"/>
          </w:tcPr>
          <w:p>
            <w:r>
              <w:t>0.171</w:t>
            </w:r>
          </w:p>
        </w:tc>
      </w:tr>
    </w:tbl>
    <w:p/>
    <w:p>
      <w:r>
        <w:t>隐含波动率（Implied Volatility）是通过期权定价模型计算得到的的波动率值,又称未来已实现波动率（Future Volatility）或者未来波动率，是预期未来时间段内的标的资产价格变化的幅度。以下是2022年日级别隐含波动率的统计：</w:t>
      </w:r>
    </w:p>
    <w:p>
      <w:r>
        <w:t>数据来源： https://t3index.com/indexes/bit-vol/</w:t>
      </w:r>
    </w:p>
    <w:p>
      <w:r>
        <w:drawing>
          <wp:inline xmlns:a="http://schemas.openxmlformats.org/drawingml/2006/main" xmlns:pic="http://schemas.openxmlformats.org/drawingml/2006/picture">
            <wp:extent cx="5669280" cy="3200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pliedVol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</w:tcPr>
          <w:p>
            <w:r>
              <w:t>Implied Volatility Statistic 2022</w:t>
            </w:r>
          </w:p>
        </w:tc>
        <w:tc>
          <w:tcPr>
            <w:tcW w:type="dxa" w:w="1440"/>
          </w:tcPr>
          <w:p>
            <w:r>
              <w:t>btcHv</w:t>
            </w:r>
          </w:p>
        </w:tc>
        <w:tc>
          <w:tcPr>
            <w:tcW w:type="dxa" w:w="1440"/>
          </w:tcPr>
          <w:p>
            <w:r>
              <w:t>ethHv</w:t>
            </w:r>
          </w:p>
        </w:tc>
      </w:tr>
      <w:tr>
        <w:tc>
          <w:tcPr>
            <w:tcW w:type="dxa" w:w="2880"/>
          </w:tcPr>
          <w:p>
            <w:r>
              <w:t>count</w:t>
            </w:r>
          </w:p>
        </w:tc>
        <w:tc>
          <w:tcPr>
            <w:tcW w:type="dxa" w:w="2880"/>
          </w:tcPr>
          <w:p>
            <w:r>
              <w:t>8761.0</w:t>
            </w:r>
          </w:p>
        </w:tc>
        <w:tc>
          <w:tcPr>
            <w:tcW w:type="dxa" w:w="2880"/>
          </w:tcPr>
          <w:p>
            <w:r>
              <w:t>8761.0</w:t>
            </w:r>
          </w:p>
        </w:tc>
      </w:tr>
      <w:tr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0.029</w:t>
            </w:r>
          </w:p>
        </w:tc>
        <w:tc>
          <w:tcPr>
            <w:tcW w:type="dxa" w:w="2880"/>
          </w:tcPr>
          <w:p>
            <w:r>
              <w:t>0.039</w:t>
            </w:r>
          </w:p>
        </w:tc>
      </w:tr>
      <w:tr>
        <w:tc>
          <w:tcPr>
            <w:tcW w:type="dxa" w:w="2880"/>
          </w:tcPr>
          <w:p>
            <w:r>
              <w:t>std</w:t>
            </w:r>
          </w:p>
        </w:tc>
        <w:tc>
          <w:tcPr>
            <w:tcW w:type="dxa" w:w="2880"/>
          </w:tcPr>
          <w:p>
            <w:r>
              <w:t>0.017</w:t>
            </w:r>
          </w:p>
        </w:tc>
        <w:tc>
          <w:tcPr>
            <w:tcW w:type="dxa" w:w="2880"/>
          </w:tcPr>
          <w:p>
            <w:r>
              <w:t>0.022</w:t>
            </w:r>
          </w:p>
        </w:tc>
      </w:tr>
      <w:tr>
        <w:tc>
          <w:tcPr>
            <w:tcW w:type="dxa" w:w="2880"/>
          </w:tcPr>
          <w:p>
            <w:r>
              <w:t>min</w:t>
            </w:r>
          </w:p>
        </w:tc>
        <w:tc>
          <w:tcPr>
            <w:tcW w:type="dxa" w:w="2880"/>
          </w:tcPr>
          <w:p>
            <w:r>
              <w:t>0.002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0.018</w:t>
            </w:r>
          </w:p>
        </w:tc>
        <w:tc>
          <w:tcPr>
            <w:tcW w:type="dxa" w:w="2880"/>
          </w:tcPr>
          <w:p>
            <w:r>
              <w:t>0.026</w:t>
            </w:r>
          </w:p>
        </w:tc>
      </w:tr>
      <w:tr>
        <w:tc>
          <w:tcPr>
            <w:tcW w:type="dxa" w:w="2880"/>
          </w:tcPr>
          <w:p>
            <w:r>
              <w:t>50%</w:t>
            </w:r>
          </w:p>
        </w:tc>
        <w:tc>
          <w:tcPr>
            <w:tcW w:type="dxa" w:w="2880"/>
          </w:tcPr>
          <w:p>
            <w:r>
              <w:t>0.026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75%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  <w:tc>
          <w:tcPr>
            <w:tcW w:type="dxa" w:w="2880"/>
          </w:tcPr>
          <w:p>
            <w:r>
              <w:t>0.047</w:t>
            </w:r>
          </w:p>
        </w:tc>
      </w:tr>
      <w:tr>
        <w:tc>
          <w:tcPr>
            <w:tcW w:type="dxa" w:w="2880"/>
          </w:tcPr>
          <w:p>
            <w:r>
              <w:t>max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  <w:tc>
          <w:tcPr>
            <w:tcW w:type="dxa" w:w="2880"/>
          </w:tcPr>
          <w:p>
            <w:r>
              <w:t>0.171</w:t>
            </w:r>
          </w:p>
        </w:tc>
      </w:tr>
    </w:tbl>
    <w:p>
      <w:r>
        <w:rPr>
          <w:b/>
        </w:rPr>
        <w:t>本周的历史波动率与隐含波动率的统计</w:t>
      </w:r>
    </w:p>
    <w:p>
      <w:r>
        <w:drawing>
          <wp:inline xmlns:a="http://schemas.openxmlformats.org/drawingml/2006/main" xmlns:pic="http://schemas.openxmlformats.org/drawingml/2006/picture">
            <wp:extent cx="5669280" cy="3200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eklyVo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</w:tcPr>
          <w:p>
            <w:r>
              <w:t>2023-01-06~2023-01-13</w:t>
            </w:r>
          </w:p>
        </w:tc>
        <w:tc>
          <w:tcPr>
            <w:tcW w:type="dxa" w:w="1440"/>
          </w:tcPr>
          <w:p>
            <w:r>
              <w:t>BTC</w:t>
            </w:r>
          </w:p>
        </w:tc>
        <w:tc>
          <w:tcPr>
            <w:tcW w:type="dxa" w:w="1440"/>
          </w:tcPr>
          <w:p>
            <w:r>
              <w:t>ETH</w:t>
            </w:r>
          </w:p>
        </w:tc>
      </w:tr>
      <w:tr>
        <w:tc>
          <w:tcPr>
            <w:tcW w:type="dxa" w:w="2880"/>
          </w:tcPr>
          <w:p>
            <w:r>
              <w:t>Current Historical Volatility</w:t>
            </w:r>
          </w:p>
        </w:tc>
        <w:tc>
          <w:tcPr>
            <w:tcW w:type="dxa" w:w="2880"/>
          </w:tcPr>
          <w:p>
            <w:r>
              <w:t>3.44%</w:t>
            </w:r>
          </w:p>
        </w:tc>
        <w:tc>
          <w:tcPr>
            <w:tcW w:type="dxa" w:w="2880"/>
          </w:tcPr>
          <w:p>
            <w:r>
              <w:t>4.23%</w:t>
            </w:r>
          </w:p>
        </w:tc>
      </w:tr>
      <w:tr>
        <w:tc>
          <w:tcPr>
            <w:tcW w:type="dxa" w:w="2880"/>
          </w:tcPr>
          <w:p>
            <w:r>
              <w:t>Current Historical Volatility Quantile</w:t>
            </w:r>
          </w:p>
        </w:tc>
        <w:tc>
          <w:tcPr>
            <w:tcW w:type="dxa" w:w="2880"/>
          </w:tcPr>
          <w:p>
            <w:r>
              <w:t>74.02%</w:t>
            </w:r>
          </w:p>
        </w:tc>
        <w:tc>
          <w:tcPr>
            <w:tcW w:type="dxa" w:w="2880"/>
          </w:tcPr>
          <w:p>
            <w:r>
              <w:t>65.71%</w:t>
            </w:r>
          </w:p>
        </w:tc>
      </w:tr>
      <w:tr>
        <w:tc>
          <w:tcPr>
            <w:tcW w:type="dxa" w:w="2880"/>
          </w:tcPr>
          <w:p>
            <w:r>
              <w:t>Weekly Mean of Historical Volatility</w:t>
            </w:r>
          </w:p>
        </w:tc>
        <w:tc>
          <w:tcPr>
            <w:tcW w:type="dxa" w:w="2880"/>
          </w:tcPr>
          <w:p>
            <w:r>
              <w:t>1.23%</w:t>
            </w:r>
          </w:p>
        </w:tc>
        <w:tc>
          <w:tcPr>
            <w:tcW w:type="dxa" w:w="2880"/>
          </w:tcPr>
          <w:p>
            <w:r>
              <w:t>1.82%</w:t>
            </w:r>
          </w:p>
        </w:tc>
      </w:tr>
      <w:tr>
        <w:tc>
          <w:tcPr>
            <w:tcW w:type="dxa" w:w="2880"/>
          </w:tcPr>
          <w:p>
            <w:r>
              <w:t>Weekly Pct_Change of Historical Volatility</w:t>
            </w:r>
          </w:p>
        </w:tc>
        <w:tc>
          <w:tcPr>
            <w:tcW w:type="dxa" w:w="2880"/>
          </w:tcPr>
          <w:p>
            <w:r>
              <w:t>328.49%</w:t>
            </w:r>
          </w:p>
        </w:tc>
        <w:tc>
          <w:tcPr>
            <w:tcW w:type="dxa" w:w="2880"/>
          </w:tcPr>
          <w:p>
            <w:r>
              <w:t>178.58%</w:t>
            </w:r>
          </w:p>
        </w:tc>
      </w:tr>
    </w:tbl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</w:tcPr>
          <w:p>
            <w:r>
              <w:t>2023-01-06~2023-01-13</w:t>
            </w:r>
          </w:p>
        </w:tc>
        <w:tc>
          <w:tcPr>
            <w:tcW w:type="dxa" w:w="1440"/>
          </w:tcPr>
          <w:p>
            <w:r>
              <w:t>BTC</w:t>
            </w:r>
          </w:p>
        </w:tc>
        <w:tc>
          <w:tcPr>
            <w:tcW w:type="dxa" w:w="1440"/>
          </w:tcPr>
          <w:p>
            <w:r>
              <w:t>ETH</w:t>
            </w:r>
          </w:p>
        </w:tc>
      </w:tr>
      <w:tr>
        <w:tc>
          <w:tcPr>
            <w:tcW w:type="dxa" w:w="2880"/>
          </w:tcPr>
          <w:p>
            <w:r>
              <w:t>Current Implied Volatility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Current Implied Quantile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1.09%</w:t>
            </w:r>
          </w:p>
        </w:tc>
      </w:tr>
      <w:tr>
        <w:tc>
          <w:tcPr>
            <w:tcW w:type="dxa" w:w="2880"/>
          </w:tcPr>
          <w:p>
            <w:r>
              <w:t>Weekly Mean of Implied Volatility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63</w:t>
            </w:r>
          </w:p>
        </w:tc>
      </w:tr>
      <w:tr>
        <w:tc>
          <w:tcPr>
            <w:tcW w:type="dxa" w:w="2880"/>
          </w:tcPr>
          <w:p>
            <w:r>
              <w:t>Weekly Pct Change of Implied Volatility</w:t>
            </w:r>
          </w:p>
        </w:tc>
        <w:tc>
          <w:tcPr>
            <w:tcW w:type="dxa" w:w="2880"/>
          </w:tcPr>
          <w:p>
            <w:r>
              <w:t>5.24%</w:t>
            </w:r>
          </w:p>
        </w:tc>
        <w:tc>
          <w:tcPr>
            <w:tcW w:type="dxa" w:w="2880"/>
          </w:tcPr>
          <w:p>
            <w:r>
              <w:t>7.01%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