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Weekly Report of DcBot</w:t>
      </w:r>
    </w:p>
    <w:p>
      <w:r>
        <w:rPr>
          <w:b/>
        </w:rPr>
        <w:t>本周的历史波动率与隐含波动率的统计</w:t>
      </w:r>
    </w:p>
    <w:p>
      <w:r>
        <w:t>波动率过小会导致盈利空间不足带来的磨损，而波动率过大风险也会随之放大，对策略最佳的波动率处于适中状态。</w:t>
      </w:r>
    </w:p>
    <w:p>
      <w:r>
        <w:drawing>
          <wp:inline xmlns:a="http://schemas.openxmlformats.org/drawingml/2006/main" xmlns:pic="http://schemas.openxmlformats.org/drawingml/2006/picture">
            <wp:extent cx="566928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eklyVo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本周波动率与隐含波动率都从低位回升，CTA策略有较好的表现。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</w:tcPr>
          <w:p>
            <w:r>
              <w:t>2023-01-06~2023-01-13</w:t>
            </w:r>
          </w:p>
        </w:tc>
        <w:tc>
          <w:tcPr>
            <w:tcW w:type="dxa" w:w="1440"/>
          </w:tcPr>
          <w:p>
            <w:r>
              <w:t>BTC</w:t>
            </w:r>
          </w:p>
        </w:tc>
        <w:tc>
          <w:tcPr>
            <w:tcW w:type="dxa" w:w="1440"/>
          </w:tcPr>
          <w:p>
            <w:r>
              <w:t>ETH</w:t>
            </w:r>
          </w:p>
        </w:tc>
      </w:tr>
      <w:tr>
        <w:tc>
          <w:tcPr>
            <w:tcW w:type="dxa" w:w="2880"/>
          </w:tcPr>
          <w:p>
            <w:r>
              <w:t>Current Historical Volatility</w:t>
            </w:r>
          </w:p>
        </w:tc>
        <w:tc>
          <w:tcPr>
            <w:tcW w:type="dxa" w:w="2880"/>
          </w:tcPr>
          <w:p>
            <w:r>
              <w:t>3.44%</w:t>
            </w:r>
          </w:p>
        </w:tc>
        <w:tc>
          <w:tcPr>
            <w:tcW w:type="dxa" w:w="2880"/>
          </w:tcPr>
          <w:p>
            <w:r>
              <w:t>4.23%</w:t>
            </w:r>
          </w:p>
        </w:tc>
      </w:tr>
      <w:tr>
        <w:tc>
          <w:tcPr>
            <w:tcW w:type="dxa" w:w="2880"/>
          </w:tcPr>
          <w:p>
            <w:r>
              <w:t>Current Historical Volatility Quantile</w:t>
            </w:r>
          </w:p>
        </w:tc>
        <w:tc>
          <w:tcPr>
            <w:tcW w:type="dxa" w:w="2880"/>
          </w:tcPr>
          <w:p>
            <w:r>
              <w:t>74.02%</w:t>
            </w:r>
          </w:p>
        </w:tc>
        <w:tc>
          <w:tcPr>
            <w:tcW w:type="dxa" w:w="2880"/>
          </w:tcPr>
          <w:p>
            <w:r>
              <w:t>65.71%</w:t>
            </w:r>
          </w:p>
        </w:tc>
      </w:tr>
      <w:tr>
        <w:tc>
          <w:tcPr>
            <w:tcW w:type="dxa" w:w="2880"/>
          </w:tcPr>
          <w:p>
            <w:r>
              <w:t>Weekly Mean of Historical Volatility</w:t>
            </w:r>
          </w:p>
        </w:tc>
        <w:tc>
          <w:tcPr>
            <w:tcW w:type="dxa" w:w="2880"/>
          </w:tcPr>
          <w:p>
            <w:r>
              <w:t>1.23%</w:t>
            </w:r>
          </w:p>
        </w:tc>
        <w:tc>
          <w:tcPr>
            <w:tcW w:type="dxa" w:w="2880"/>
          </w:tcPr>
          <w:p>
            <w:r>
              <w:t>1.82%</w:t>
            </w:r>
          </w:p>
        </w:tc>
      </w:tr>
      <w:tr>
        <w:tc>
          <w:tcPr>
            <w:tcW w:type="dxa" w:w="2880"/>
          </w:tcPr>
          <w:p>
            <w:r>
              <w:t>Weekly Pct_Change of Historical Volatility</w:t>
            </w:r>
          </w:p>
        </w:tc>
        <w:tc>
          <w:tcPr>
            <w:tcW w:type="dxa" w:w="2880"/>
          </w:tcPr>
          <w:p>
            <w:r>
              <w:t>328.49%</w:t>
            </w:r>
          </w:p>
        </w:tc>
        <w:tc>
          <w:tcPr>
            <w:tcW w:type="dxa" w:w="2880"/>
          </w:tcPr>
          <w:p>
            <w:r>
              <w:t>178.58%</w:t>
            </w:r>
          </w:p>
        </w:tc>
      </w:tr>
    </w:tbl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</w:tcPr>
          <w:p>
            <w:r>
              <w:t>2023-01-06~2023-01-13</w:t>
            </w:r>
          </w:p>
        </w:tc>
        <w:tc>
          <w:tcPr>
            <w:tcW w:type="dxa" w:w="1440"/>
          </w:tcPr>
          <w:p>
            <w:r>
              <w:t>BTC</w:t>
            </w:r>
          </w:p>
        </w:tc>
        <w:tc>
          <w:tcPr>
            <w:tcW w:type="dxa" w:w="1440"/>
          </w:tcPr>
          <w:p>
            <w:r>
              <w:t>ETH</w:t>
            </w:r>
          </w:p>
        </w:tc>
      </w:tr>
      <w:tr>
        <w:tc>
          <w:tcPr>
            <w:tcW w:type="dxa" w:w="2880"/>
          </w:tcPr>
          <w:p>
            <w:r>
              <w:t>Current Implied Volatility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65</w:t>
            </w:r>
          </w:p>
        </w:tc>
      </w:tr>
      <w:tr>
        <w:tc>
          <w:tcPr>
            <w:tcW w:type="dxa" w:w="2880"/>
          </w:tcPr>
          <w:p>
            <w:r>
              <w:t>Current Implied Quantile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1.09%</w:t>
            </w:r>
          </w:p>
        </w:tc>
      </w:tr>
      <w:tr>
        <w:tc>
          <w:tcPr>
            <w:tcW w:type="dxa" w:w="2880"/>
          </w:tcPr>
          <w:p>
            <w:r>
              <w:t>Weekly Mean of Implied Volatility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63</w:t>
            </w:r>
          </w:p>
        </w:tc>
      </w:tr>
      <w:tr>
        <w:tc>
          <w:tcPr>
            <w:tcW w:type="dxa" w:w="2880"/>
          </w:tcPr>
          <w:p>
            <w:r>
              <w:t>Weekly Pct Change of Implied Volatility</w:t>
            </w:r>
          </w:p>
        </w:tc>
        <w:tc>
          <w:tcPr>
            <w:tcW w:type="dxa" w:w="2880"/>
          </w:tcPr>
          <w:p>
            <w:r>
              <w:t>5.24%</w:t>
            </w:r>
          </w:p>
        </w:tc>
        <w:tc>
          <w:tcPr>
            <w:tcW w:type="dxa" w:w="2880"/>
          </w:tcPr>
          <w:p>
            <w:r>
              <w:t>7.01%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