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Weekly Report of DcBot</w:t>
      </w:r>
    </w:p>
    <w:p>
      <w:r>
        <w:rPr>
          <w:b/>
        </w:rPr>
        <w:t>4. 成交量与未平仓量的值与变化率</w:t>
      </w:r>
    </w:p>
    <w:p>
      <w:r>
        <w:t>成交量越大，代表人们对该币的兴趣就越大。投资者常将成交量视为价格走势强弱与流动性的指标。</w:t>
      </w:r>
    </w:p>
    <w:p>
      <w:r>
        <w:t>不断增加的未平仓头寸表明新的交易者正在进入市场，并可能被用来确认当前的市场趋势。未平仓头寸的下降表明交易员正在平仓，目前的趋势可能正在减弱。</w:t>
      </w:r>
    </w:p>
    <w:p>
      <w:r>
        <w:drawing>
          <wp:inline xmlns:a="http://schemas.openxmlformats.org/drawingml/2006/main" xmlns:pic="http://schemas.openxmlformats.org/drawingml/2006/picture">
            <wp:extent cx="5669280" cy="4572000"/>
            <wp:docPr id="1" name="Picture 1"/>
            <wp:cNvGraphicFramePr>
              <a:graphicFrameLocks noChangeAspect="1"/>
            </wp:cNvGraphicFramePr>
            <a:graphic>
              <a:graphicData uri="http://schemas.openxmlformats.org/drawingml/2006/picture">
                <pic:pic>
                  <pic:nvPicPr>
                    <pic:cNvPr id="0" name="oiVolumePriceBtc.png"/>
                    <pic:cNvPicPr/>
                  </pic:nvPicPr>
                  <pic:blipFill>
                    <a:blip r:embed="rId9"/>
                    <a:stretch>
                      <a:fillRect/>
                    </a:stretch>
                  </pic:blipFill>
                  <pic:spPr>
                    <a:xfrm>
                      <a:off x="0" y="0"/>
                      <a:ext cx="5669280" cy="4572000"/>
                    </a:xfrm>
                    <a:prstGeom prst="rect"/>
                  </pic:spPr>
                </pic:pic>
              </a:graphicData>
            </a:graphic>
          </wp:inline>
        </w:drawing>
      </w:r>
    </w:p>
    <w:p>
      <w:r>
        <w:t>上图最上方BTC的价格走势，中间是BTC成交量、过去一周成交量和一个月的成交量均值，最下方是BTC未平仓量、过去一周和一个月的未平仓量均值。</w:t>
      </w:r>
    </w:p>
    <w:p>
      <w:r>
        <w:drawing>
          <wp:inline xmlns:a="http://schemas.openxmlformats.org/drawingml/2006/main" xmlns:pic="http://schemas.openxmlformats.org/drawingml/2006/picture">
            <wp:extent cx="5669280" cy="4572000"/>
            <wp:docPr id="2" name="Picture 2"/>
            <wp:cNvGraphicFramePr>
              <a:graphicFrameLocks noChangeAspect="1"/>
            </wp:cNvGraphicFramePr>
            <a:graphic>
              <a:graphicData uri="http://schemas.openxmlformats.org/drawingml/2006/picture">
                <pic:pic>
                  <pic:nvPicPr>
                    <pic:cNvPr id="0" name="oiVolumePriceBtc.png"/>
                    <pic:cNvPicPr/>
                  </pic:nvPicPr>
                  <pic:blipFill>
                    <a:blip r:embed="rId9"/>
                    <a:stretch>
                      <a:fillRect/>
                    </a:stretch>
                  </pic:blipFill>
                  <pic:spPr>
                    <a:xfrm>
                      <a:off x="0" y="0"/>
                      <a:ext cx="5669280" cy="4572000"/>
                    </a:xfrm>
                    <a:prstGeom prst="rect"/>
                  </pic:spPr>
                </pic:pic>
              </a:graphicData>
            </a:graphic>
          </wp:inline>
        </w:drawing>
      </w:r>
    </w:p>
    <w:p>
      <w:r>
        <w:t>上图最上方ETH的价格走势，中间是ETH成交量、过去一周成交量和一个月的成交量均值，最下方是ETH未平仓量、过去一周和一个月的未平仓量均值。</w:t>
      </w:r>
    </w:p>
    <w:p>
      <w:r>
        <w:t>除了成交量和未平仓量指标本身，投资者可以通过关注长短期比率的变化率来及时察觉市场的变化。</w:t>
      </w:r>
    </w:p>
    <w:p>
      <w:r>
        <w:drawing>
          <wp:inline xmlns:a="http://schemas.openxmlformats.org/drawingml/2006/main" xmlns:pic="http://schemas.openxmlformats.org/drawingml/2006/picture">
            <wp:extent cx="5669280" cy="4572000"/>
            <wp:docPr id="3" name="Picture 3"/>
            <wp:cNvGraphicFramePr>
              <a:graphicFrameLocks noChangeAspect="1"/>
            </wp:cNvGraphicFramePr>
            <a:graphic>
              <a:graphicData uri="http://schemas.openxmlformats.org/drawingml/2006/picture">
                <pic:pic>
                  <pic:nvPicPr>
                    <pic:cNvPr id="0" name="RatioChart.png"/>
                    <pic:cNvPicPr/>
                  </pic:nvPicPr>
                  <pic:blipFill>
                    <a:blip r:embed="rId10"/>
                    <a:stretch>
                      <a:fillRect/>
                    </a:stretch>
                  </pic:blipFill>
                  <pic:spPr>
                    <a:xfrm>
                      <a:off x="0" y="0"/>
                      <a:ext cx="5669280" cy="4572000"/>
                    </a:xfrm>
                    <a:prstGeom prst="rect"/>
                  </pic:spPr>
                </pic:pic>
              </a:graphicData>
            </a:graphic>
          </wp:inline>
        </w:drawing>
      </w:r>
    </w:p>
    <w:p>
      <w:r>
        <w:t>上图最上方BTC与ETH的过去一周价格均值与一个月的价格均值比率的走势，中间是BTC与ETH的过去一周成交量均值与一个月的成交量均值比率的走势，最下方是BTC与ETH的的过去一周未平仓量均值与一个月的未平仓量均值比率的走势。</w:t>
      </w:r>
    </w:p>
    <w:p>
      <w:r>
        <w:t>表格显示价格、成交量与未平仓量的过去一周与一个月均值的比率在不同天数的变化率。</w:t>
      </w:r>
    </w:p>
    <w:tbl>
      <w:tblPr>
        <w:tblStyle w:val="LightGrid-Accent1"/>
        <w:tblW w:type="auto" w:w="0"/>
        <w:tblLook w:firstColumn="1" w:firstRow="1" w:lastColumn="0" w:lastRow="0" w:noHBand="0" w:noVBand="1" w:val="04A0"/>
      </w:tblPr>
      <w:tblGrid>
        <w:gridCol w:w="1234"/>
        <w:gridCol w:w="1234"/>
        <w:gridCol w:w="1234"/>
        <w:gridCol w:w="1234"/>
        <w:gridCol w:w="1234"/>
        <w:gridCol w:w="1234"/>
        <w:gridCol w:w="1234"/>
      </w:tblGrid>
      <w:tr>
        <w:tc>
          <w:tcPr>
            <w:tcW w:type="dxa" w:w="5760"/>
          </w:tcPr>
          <w:p>
            <w:r>
              <w:t>periodPctChange</w:t>
            </w:r>
          </w:p>
        </w:tc>
        <w:tc>
          <w:tcPr>
            <w:tcW w:type="dxa" w:w="1440"/>
          </w:tcPr>
          <w:p>
            <w:r>
              <w:t>1Day</w:t>
            </w:r>
          </w:p>
        </w:tc>
        <w:tc>
          <w:tcPr>
            <w:tcW w:type="dxa" w:w="1440"/>
          </w:tcPr>
          <w:p>
            <w:r>
              <w:t>3Day</w:t>
            </w:r>
          </w:p>
        </w:tc>
        <w:tc>
          <w:tcPr>
            <w:tcW w:type="dxa" w:w="1440"/>
          </w:tcPr>
          <w:p>
            <w:r>
              <w:t>5Day</w:t>
            </w:r>
          </w:p>
        </w:tc>
        <w:tc>
          <w:tcPr>
            <w:tcW w:type="dxa" w:w="1440"/>
          </w:tcPr>
          <w:p>
            <w:r>
              <w:t>8Day</w:t>
            </w:r>
          </w:p>
        </w:tc>
        <w:tc>
          <w:tcPr>
            <w:tcW w:type="dxa" w:w="1440"/>
          </w:tcPr>
          <w:p>
            <w:r>
              <w:t>13Day</w:t>
            </w:r>
          </w:p>
        </w:tc>
        <w:tc>
          <w:tcPr>
            <w:tcW w:type="dxa" w:w="1440"/>
          </w:tcPr>
          <w:p>
            <w:r>
              <w:t>avg</w:t>
            </w:r>
          </w:p>
        </w:tc>
      </w:tr>
      <w:tr>
        <w:tc>
          <w:tcPr>
            <w:tcW w:type="dxa" w:w="1234"/>
          </w:tcPr>
          <w:p>
            <w:r>
              <w:t>btcCloseRatioPctChange</w:t>
            </w:r>
          </w:p>
        </w:tc>
        <w:tc>
          <w:tcPr>
            <w:tcW w:type="dxa" w:w="1234"/>
          </w:tcPr>
          <w:p>
            <w:r>
              <w:t>2.07</w:t>
            </w:r>
          </w:p>
        </w:tc>
        <w:tc>
          <w:tcPr>
            <w:tcW w:type="dxa" w:w="1234"/>
          </w:tcPr>
          <w:p>
            <w:r>
              <w:t>6.37</w:t>
            </w:r>
          </w:p>
        </w:tc>
        <w:tc>
          <w:tcPr>
            <w:tcW w:type="dxa" w:w="1234"/>
          </w:tcPr>
          <w:p>
            <w:r>
              <w:t>8.7</w:t>
            </w:r>
          </w:p>
        </w:tc>
        <w:tc>
          <w:tcPr>
            <w:tcW w:type="dxa" w:w="1234"/>
          </w:tcPr>
          <w:p>
            <w:r>
              <w:t>10.31</w:t>
            </w:r>
          </w:p>
        </w:tc>
        <w:tc>
          <w:tcPr>
            <w:tcW w:type="dxa" w:w="1234"/>
          </w:tcPr>
          <w:p>
            <w:r>
              <w:t>11.78</w:t>
            </w:r>
          </w:p>
        </w:tc>
        <w:tc>
          <w:tcPr>
            <w:tcW w:type="dxa" w:w="1234"/>
          </w:tcPr>
          <w:p>
            <w:r>
              <w:t>7.85</w:t>
            </w:r>
          </w:p>
        </w:tc>
      </w:tr>
      <w:tr>
        <w:tc>
          <w:tcPr>
            <w:tcW w:type="dxa" w:w="1234"/>
          </w:tcPr>
          <w:p>
            <w:r>
              <w:t>ethCloseRatioPctChange</w:t>
            </w:r>
          </w:p>
        </w:tc>
        <w:tc>
          <w:tcPr>
            <w:tcW w:type="dxa" w:w="1234"/>
          </w:tcPr>
          <w:p>
            <w:r>
              <w:t>1.6</w:t>
            </w:r>
          </w:p>
        </w:tc>
        <w:tc>
          <w:tcPr>
            <w:tcW w:type="dxa" w:w="1234"/>
          </w:tcPr>
          <w:p>
            <w:r>
              <w:t>5.06</w:t>
            </w:r>
          </w:p>
        </w:tc>
        <w:tc>
          <w:tcPr>
            <w:tcW w:type="dxa" w:w="1234"/>
          </w:tcPr>
          <w:p>
            <w:r>
              <w:t>7.67</w:t>
            </w:r>
          </w:p>
        </w:tc>
        <w:tc>
          <w:tcPr>
            <w:tcW w:type="dxa" w:w="1234"/>
          </w:tcPr>
          <w:p>
            <w:r>
              <w:t>11.11</w:t>
            </w:r>
          </w:p>
        </w:tc>
        <w:tc>
          <w:tcPr>
            <w:tcW w:type="dxa" w:w="1234"/>
          </w:tcPr>
          <w:p>
            <w:r>
              <w:t>14.85</w:t>
            </w:r>
          </w:p>
        </w:tc>
        <w:tc>
          <w:tcPr>
            <w:tcW w:type="dxa" w:w="1234"/>
          </w:tcPr>
          <w:p>
            <w:r>
              <w:t>8.06</w:t>
            </w:r>
          </w:p>
        </w:tc>
      </w:tr>
      <w:tr>
        <w:tc>
          <w:tcPr>
            <w:tcW w:type="dxa" w:w="1234"/>
          </w:tcPr>
          <w:p>
            <w:r>
              <w:t>btcVolumeRatioPctChange</w:t>
            </w:r>
          </w:p>
        </w:tc>
        <w:tc>
          <w:tcPr>
            <w:tcW w:type="dxa" w:w="1234"/>
          </w:tcPr>
          <w:p>
            <w:r>
              <w:t>-0.66</w:t>
            </w:r>
          </w:p>
        </w:tc>
        <w:tc>
          <w:tcPr>
            <w:tcW w:type="dxa" w:w="1234"/>
          </w:tcPr>
          <w:p>
            <w:r>
              <w:t>16.49</w:t>
            </w:r>
          </w:p>
        </w:tc>
        <w:tc>
          <w:tcPr>
            <w:tcW w:type="dxa" w:w="1234"/>
          </w:tcPr>
          <w:p>
            <w:r>
              <w:t>43.62</w:t>
            </w:r>
          </w:p>
        </w:tc>
        <w:tc>
          <w:tcPr>
            <w:tcW w:type="dxa" w:w="1234"/>
          </w:tcPr>
          <w:p>
            <w:r>
              <w:t>74.37</w:t>
            </w:r>
          </w:p>
        </w:tc>
        <w:tc>
          <w:tcPr>
            <w:tcW w:type="dxa" w:w="1234"/>
          </w:tcPr>
          <w:p>
            <w:r>
              <w:t>92.79</w:t>
            </w:r>
          </w:p>
        </w:tc>
        <w:tc>
          <w:tcPr>
            <w:tcW w:type="dxa" w:w="1234"/>
          </w:tcPr>
          <w:p>
            <w:r>
              <w:t>45.32</w:t>
            </w:r>
          </w:p>
        </w:tc>
      </w:tr>
      <w:tr>
        <w:tc>
          <w:tcPr>
            <w:tcW w:type="dxa" w:w="1234"/>
          </w:tcPr>
          <w:p>
            <w:r>
              <w:t>ethVolumeRatioPctChange</w:t>
            </w:r>
          </w:p>
        </w:tc>
        <w:tc>
          <w:tcPr>
            <w:tcW w:type="dxa" w:w="1234"/>
          </w:tcPr>
          <w:p>
            <w:r>
              <w:t>-2.01</w:t>
            </w:r>
          </w:p>
        </w:tc>
        <w:tc>
          <w:tcPr>
            <w:tcW w:type="dxa" w:w="1234"/>
          </w:tcPr>
          <w:p>
            <w:r>
              <w:t>24.52</w:t>
            </w:r>
          </w:p>
        </w:tc>
        <w:tc>
          <w:tcPr>
            <w:tcW w:type="dxa" w:w="1234"/>
          </w:tcPr>
          <w:p>
            <w:r>
              <w:t>60.23</w:t>
            </w:r>
          </w:p>
        </w:tc>
        <w:tc>
          <w:tcPr>
            <w:tcW w:type="dxa" w:w="1234"/>
          </w:tcPr>
          <w:p>
            <w:r>
              <w:t>107.55</w:t>
            </w:r>
          </w:p>
        </w:tc>
        <w:tc>
          <w:tcPr>
            <w:tcW w:type="dxa" w:w="1234"/>
          </w:tcPr>
          <w:p>
            <w:r>
              <w:t>135.7</w:t>
            </w:r>
          </w:p>
        </w:tc>
        <w:tc>
          <w:tcPr>
            <w:tcW w:type="dxa" w:w="1234"/>
          </w:tcPr>
          <w:p>
            <w:r>
              <w:t>65.2</w:t>
            </w:r>
          </w:p>
        </w:tc>
      </w:tr>
      <w:tr>
        <w:tc>
          <w:tcPr>
            <w:tcW w:type="dxa" w:w="1234"/>
          </w:tcPr>
          <w:p>
            <w:r>
              <w:t>btcOpenInterestRatioPctChange</w:t>
            </w:r>
          </w:p>
        </w:tc>
        <w:tc>
          <w:tcPr>
            <w:tcW w:type="dxa" w:w="1234"/>
          </w:tcPr>
          <w:p>
            <w:r>
              <w:t>-1.28</w:t>
            </w:r>
          </w:p>
        </w:tc>
        <w:tc>
          <w:tcPr>
            <w:tcW w:type="dxa" w:w="1234"/>
          </w:tcPr>
          <w:p>
            <w:r>
              <w:t>-2.91</w:t>
            </w:r>
          </w:p>
        </w:tc>
        <w:tc>
          <w:tcPr>
            <w:tcW w:type="dxa" w:w="1234"/>
          </w:tcPr>
          <w:p>
            <w:r>
              <w:t>-1.19</w:t>
            </w:r>
          </w:p>
        </w:tc>
        <w:tc>
          <w:tcPr>
            <w:tcW w:type="dxa" w:w="1234"/>
          </w:tcPr>
          <w:p>
            <w:r>
              <w:t>-0.9</w:t>
            </w:r>
          </w:p>
        </w:tc>
        <w:tc>
          <w:tcPr>
            <w:tcW w:type="dxa" w:w="1234"/>
          </w:tcPr>
          <w:p>
            <w:r>
              <w:t>-1.42</w:t>
            </w:r>
          </w:p>
        </w:tc>
        <w:tc>
          <w:tcPr>
            <w:tcW w:type="dxa" w:w="1234"/>
          </w:tcPr>
          <w:p>
            <w:r>
              <w:t>-1.54</w:t>
            </w:r>
          </w:p>
        </w:tc>
      </w:tr>
      <w:tr>
        <w:tc>
          <w:tcPr>
            <w:tcW w:type="dxa" w:w="1234"/>
          </w:tcPr>
          <w:p>
            <w:r>
              <w:t>ethOpenInterestRatioPctChange</w:t>
            </w:r>
          </w:p>
        </w:tc>
        <w:tc>
          <w:tcPr>
            <w:tcW w:type="dxa" w:w="1234"/>
          </w:tcPr>
          <w:p>
            <w:r>
              <w:t>-2.65</w:t>
            </w:r>
          </w:p>
        </w:tc>
        <w:tc>
          <w:tcPr>
            <w:tcW w:type="dxa" w:w="1234"/>
          </w:tcPr>
          <w:p>
            <w:r>
              <w:t>-6.42</w:t>
            </w:r>
          </w:p>
        </w:tc>
        <w:tc>
          <w:tcPr>
            <w:tcW w:type="dxa" w:w="1234"/>
          </w:tcPr>
          <w:p>
            <w:r>
              <w:t>-5.58</w:t>
            </w:r>
          </w:p>
        </w:tc>
        <w:tc>
          <w:tcPr>
            <w:tcW w:type="dxa" w:w="1234"/>
          </w:tcPr>
          <w:p>
            <w:r>
              <w:t>-0.98</w:t>
            </w:r>
          </w:p>
        </w:tc>
        <w:tc>
          <w:tcPr>
            <w:tcW w:type="dxa" w:w="1234"/>
          </w:tcPr>
          <w:p>
            <w:r>
              <w:t>5.05</w:t>
            </w:r>
          </w:p>
        </w:tc>
        <w:tc>
          <w:tcPr>
            <w:tcW w:type="dxa" w:w="1234"/>
          </w:tcPr>
          <w:p>
            <w:r>
              <w:t>-2.12</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