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Monthlyly Report of DcBot</w:t>
      </w:r>
    </w:p>
    <w:p>
      <w:r>
        <w:rPr>
          <w:b/>
        </w:rPr>
        <w:t>2023年1月美国数据公布重要数据的事件与价格变化</w:t>
      </w:r>
    </w:p>
    <w:p>
      <w:r>
        <w:t>非农数据(non-farm payrolls)：</w:t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fp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AfterNf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本月的非农数据公布后都有小幅上涨，事件驱动策略开多进场。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nfp</w:t>
            </w:r>
          </w:p>
        </w:tc>
        <w:tc>
          <w:tcPr>
            <w:tcW w:type="dxa" w:w="1728"/>
          </w:tcPr>
          <w:p>
            <w:r>
              <w:t>nfpActual</w:t>
            </w:r>
          </w:p>
        </w:tc>
        <w:tc>
          <w:tcPr>
            <w:tcW w:type="dxa" w:w="1728"/>
          </w:tcPr>
          <w:p>
            <w:r>
              <w:t>nfpForecast</w:t>
            </w:r>
          </w:p>
        </w:tc>
        <w:tc>
          <w:tcPr>
            <w:tcW w:type="dxa" w:w="1728"/>
          </w:tcPr>
          <w:p>
            <w:r>
              <w:t>after2DayBtcPct</w:t>
            </w:r>
          </w:p>
        </w:tc>
        <w:tc>
          <w:tcPr>
            <w:tcW w:type="dxa" w:w="1728"/>
          </w:tcPr>
          <w:p>
            <w:r>
              <w:t>after2DayEthPct</w:t>
            </w:r>
          </w:p>
        </w:tc>
      </w:tr>
      <w:tr>
        <w:tc>
          <w:tcPr>
            <w:tcW w:type="dxa" w:w="1728"/>
          </w:tcPr>
          <w:p>
            <w:r>
              <w:t>nfpEffect</w:t>
            </w:r>
          </w:p>
        </w:tc>
        <w:tc>
          <w:tcPr>
            <w:tcW w:type="dxa" w:w="1728"/>
          </w:tcPr>
          <w:p>
            <w:r>
              <w:t>223K</w:t>
            </w:r>
          </w:p>
        </w:tc>
        <w:tc>
          <w:tcPr>
            <w:tcW w:type="dxa" w:w="1728"/>
          </w:tcPr>
          <w:p>
            <w:r>
              <w:t>200K</w:t>
            </w:r>
          </w:p>
        </w:tc>
        <w:tc>
          <w:tcPr>
            <w:tcW w:type="dxa" w:w="1728"/>
          </w:tcPr>
          <w:p>
            <w:r>
              <w:t>0.95%</w:t>
            </w:r>
          </w:p>
        </w:tc>
        <w:tc>
          <w:tcPr>
            <w:tcW w:type="dxa" w:w="1728"/>
          </w:tcPr>
          <w:p>
            <w:r>
              <w:t>1.03%</w:t>
            </w:r>
          </w:p>
        </w:tc>
      </w:tr>
    </w:tbl>
    <w:p>
      <w:r>
        <w:t>消费者物价指数(CPI)：</w:t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iDa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AfterCp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本月的CPI数据公布后都有大幅上涨，事件驱动策略开多进场。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cpi</w:t>
            </w:r>
          </w:p>
        </w:tc>
        <w:tc>
          <w:tcPr>
            <w:tcW w:type="dxa" w:w="1728"/>
          </w:tcPr>
          <w:p>
            <w:r>
              <w:t>cpiActual</w:t>
            </w:r>
          </w:p>
        </w:tc>
        <w:tc>
          <w:tcPr>
            <w:tcW w:type="dxa" w:w="1728"/>
          </w:tcPr>
          <w:p>
            <w:r>
              <w:t>cpiForecast</w:t>
            </w:r>
          </w:p>
        </w:tc>
        <w:tc>
          <w:tcPr>
            <w:tcW w:type="dxa" w:w="1728"/>
          </w:tcPr>
          <w:p>
            <w:r>
              <w:t>after2DayBtcPct</w:t>
            </w:r>
          </w:p>
        </w:tc>
        <w:tc>
          <w:tcPr>
            <w:tcW w:type="dxa" w:w="1728"/>
          </w:tcPr>
          <w:p>
            <w:r>
              <w:t>afterTwoDayEthPct</w:t>
            </w:r>
          </w:p>
        </w:tc>
      </w:tr>
      <w:tr>
        <w:tc>
          <w:tcPr>
            <w:tcW w:type="dxa" w:w="1728"/>
          </w:tcPr>
          <w:p>
            <w:r>
              <w:t>cpiEffect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  <w:tc>
          <w:tcPr>
            <w:tcW w:type="dxa" w:w="1728"/>
          </w:tcPr>
          <w:p>
            <w:r>
              <w:t>14.07%</w:t>
            </w:r>
          </w:p>
        </w:tc>
        <w:tc>
          <w:tcPr>
            <w:tcW w:type="dxa" w:w="1728"/>
          </w:tcPr>
          <w:p>
            <w:r>
              <w:t>9.07%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