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 of DcBot</w:t>
      </w:r>
    </w:p>
    <w:p>
      <w:r>
        <w:rPr>
          <w:b/>
        </w:rPr>
        <w:t>4. 成交量与未平仓量的值与变化率</w:t>
      </w:r>
    </w:p>
    <w:p>
      <w:r>
        <w:t>成交量越大，代表人们对该币的兴趣就越大。投资者常将成交量视为价格走势强弱与流动性的指标。</w:t>
      </w:r>
    </w:p>
    <w:p>
      <w:r>
        <w:t>不断增加的未平仓头寸表明新的交易者正在进入市场，并可能被用来确认当前的市场趋势。未平仓头寸的下降表明交易员正在平仓，目前的趋势可能正在减弱。</w:t>
      </w:r>
    </w:p>
    <w:p>
      <w:r>
        <w:drawing>
          <wp:inline xmlns:a="http://schemas.openxmlformats.org/drawingml/2006/main" xmlns:pic="http://schemas.openxmlformats.org/drawingml/2006/picture">
            <wp:extent cx="566928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iVolumePriceBt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上图最上方BTC的价格走势，中间是BTC成交量、过去一周成交量和一个月的成交量均值，最下方是BTC未平仓量、过去一周和一个月的未平仓量均值。</w:t>
      </w:r>
    </w:p>
    <w:p>
      <w:r>
        <w:drawing>
          <wp:inline xmlns:a="http://schemas.openxmlformats.org/drawingml/2006/main" xmlns:pic="http://schemas.openxmlformats.org/drawingml/2006/picture">
            <wp:extent cx="566928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iVolumePriceBt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上图最上方ETH的价格走势，中间是ETH成交量、过去一周成交量和一个月的成交量均值，最下方是ETH未平仓量、过去一周和一个月的未平仓量均值。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